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01" w:rsidRPr="000346A7" w:rsidRDefault="00B53301" w:rsidP="00574291">
      <w:pPr>
        <w:jc w:val="center"/>
        <w:rPr>
          <w:rFonts w:ascii="Times New Roman" w:hAnsi="Times New Roman" w:cs="Times New Roman"/>
          <w:sz w:val="24"/>
          <w:szCs w:val="24"/>
        </w:rPr>
      </w:pPr>
    </w:p>
    <w:p w:rsidR="009A7CAC" w:rsidRPr="000346A7" w:rsidRDefault="009A7CAC" w:rsidP="009A7CAC">
      <w:pPr>
        <w:ind w:left="2160" w:firstLine="720"/>
        <w:rPr>
          <w:rFonts w:ascii="Times New Roman" w:hAnsi="Times New Roman" w:cs="Times New Roman"/>
          <w:b/>
          <w:sz w:val="24"/>
          <w:szCs w:val="24"/>
          <w:u w:val="single"/>
        </w:rPr>
      </w:pPr>
      <w:r w:rsidRPr="000346A7">
        <w:rPr>
          <w:rFonts w:ascii="Times New Roman" w:hAnsi="Times New Roman" w:cs="Times New Roman"/>
          <w:b/>
          <w:sz w:val="24"/>
          <w:szCs w:val="24"/>
          <w:u w:val="single"/>
        </w:rPr>
        <w:t>THE REPUBLIC OF UGANDA</w:t>
      </w:r>
    </w:p>
    <w:p w:rsidR="009A7CAC" w:rsidRPr="000346A7" w:rsidRDefault="009A7CAC" w:rsidP="009A7CAC">
      <w:pPr>
        <w:jc w:val="center"/>
        <w:rPr>
          <w:rFonts w:ascii="Times New Roman" w:hAnsi="Times New Roman" w:cs="Times New Roman"/>
          <w:b/>
          <w:sz w:val="24"/>
          <w:szCs w:val="24"/>
          <w:u w:val="single"/>
        </w:rPr>
      </w:pPr>
      <w:r w:rsidRPr="000346A7">
        <w:rPr>
          <w:rFonts w:ascii="Times New Roman" w:hAnsi="Times New Roman" w:cs="Times New Roman"/>
          <w:b/>
          <w:sz w:val="24"/>
          <w:szCs w:val="24"/>
          <w:u w:val="single"/>
        </w:rPr>
        <w:t>IN THE HIGH COURT OF UGANDA AT KAMPALA</w:t>
      </w:r>
    </w:p>
    <w:p w:rsidR="009A7CAC" w:rsidRPr="000346A7" w:rsidRDefault="009A7CAC" w:rsidP="009A7CAC">
      <w:pPr>
        <w:jc w:val="center"/>
        <w:rPr>
          <w:rFonts w:ascii="Times New Roman" w:hAnsi="Times New Roman" w:cs="Times New Roman"/>
          <w:b/>
          <w:sz w:val="24"/>
          <w:szCs w:val="24"/>
        </w:rPr>
      </w:pPr>
      <w:r w:rsidRPr="000346A7">
        <w:rPr>
          <w:rFonts w:ascii="Times New Roman" w:hAnsi="Times New Roman" w:cs="Times New Roman"/>
          <w:b/>
          <w:sz w:val="24"/>
          <w:szCs w:val="24"/>
        </w:rPr>
        <w:t>(LAND DIVISION)</w:t>
      </w:r>
    </w:p>
    <w:p w:rsidR="009A7CAC" w:rsidRPr="000346A7" w:rsidRDefault="009A7CAC" w:rsidP="009A7CAC">
      <w:pPr>
        <w:pStyle w:val="NormalWeb"/>
        <w:jc w:val="center"/>
        <w:rPr>
          <w:b/>
          <w:bCs/>
        </w:rPr>
      </w:pPr>
      <w:r w:rsidRPr="000346A7">
        <w:rPr>
          <w:b/>
          <w:bCs/>
        </w:rPr>
        <w:t>MISC. APPLICATION NO. 396 OF 2013</w:t>
      </w:r>
    </w:p>
    <w:p w:rsidR="009A7CAC" w:rsidRPr="000346A7" w:rsidRDefault="009A7CAC" w:rsidP="009A7CAC">
      <w:pPr>
        <w:pStyle w:val="NormalWeb"/>
        <w:jc w:val="center"/>
        <w:rPr>
          <w:b/>
          <w:bCs/>
        </w:rPr>
      </w:pPr>
      <w:r w:rsidRPr="000346A7">
        <w:rPr>
          <w:b/>
          <w:bCs/>
        </w:rPr>
        <w:t>(Arising from Civil Suit No. 209 of 2013)</w:t>
      </w:r>
    </w:p>
    <w:p w:rsidR="009A7CAC" w:rsidRPr="000346A7" w:rsidRDefault="009A7CAC" w:rsidP="009A7CAC">
      <w:pPr>
        <w:pStyle w:val="NormalWeb"/>
        <w:numPr>
          <w:ilvl w:val="0"/>
          <w:numId w:val="13"/>
        </w:numPr>
        <w:rPr>
          <w:b/>
          <w:bCs/>
        </w:rPr>
      </w:pPr>
      <w:r w:rsidRPr="000346A7">
        <w:rPr>
          <w:b/>
          <w:bCs/>
        </w:rPr>
        <w:t>BETTY NALIMA</w:t>
      </w:r>
    </w:p>
    <w:p w:rsidR="009A7CAC" w:rsidRPr="000346A7" w:rsidRDefault="009A7CAC" w:rsidP="009A7CAC">
      <w:pPr>
        <w:pStyle w:val="NormalWeb"/>
        <w:numPr>
          <w:ilvl w:val="0"/>
          <w:numId w:val="13"/>
        </w:numPr>
        <w:rPr>
          <w:b/>
          <w:bCs/>
        </w:rPr>
      </w:pPr>
      <w:r w:rsidRPr="000346A7">
        <w:rPr>
          <w:b/>
          <w:bCs/>
        </w:rPr>
        <w:t>NAJJUMA CHRISTINE</w:t>
      </w:r>
    </w:p>
    <w:p w:rsidR="009A7CAC" w:rsidRPr="000346A7" w:rsidRDefault="009A7CAC" w:rsidP="009A7CAC">
      <w:pPr>
        <w:pStyle w:val="NormalWeb"/>
        <w:numPr>
          <w:ilvl w:val="0"/>
          <w:numId w:val="13"/>
        </w:numPr>
        <w:rPr>
          <w:b/>
          <w:bCs/>
        </w:rPr>
      </w:pPr>
      <w:r w:rsidRPr="000346A7">
        <w:rPr>
          <w:b/>
          <w:bCs/>
        </w:rPr>
        <w:t>CAROL NALIMA</w:t>
      </w:r>
    </w:p>
    <w:p w:rsidR="009A7CAC" w:rsidRPr="000346A7" w:rsidRDefault="009A7CAC" w:rsidP="009A7CAC">
      <w:pPr>
        <w:pStyle w:val="NormalWeb"/>
        <w:numPr>
          <w:ilvl w:val="0"/>
          <w:numId w:val="13"/>
        </w:numPr>
        <w:rPr>
          <w:b/>
          <w:bCs/>
        </w:rPr>
      </w:pPr>
      <w:r w:rsidRPr="000346A7">
        <w:rPr>
          <w:b/>
          <w:bCs/>
        </w:rPr>
        <w:t>ESTHER MUKIIBI</w:t>
      </w:r>
    </w:p>
    <w:p w:rsidR="009A7CAC" w:rsidRPr="000346A7" w:rsidRDefault="009A7CAC" w:rsidP="009A7CAC">
      <w:pPr>
        <w:pStyle w:val="NormalWeb"/>
        <w:numPr>
          <w:ilvl w:val="0"/>
          <w:numId w:val="13"/>
        </w:numPr>
        <w:rPr>
          <w:b/>
          <w:bCs/>
        </w:rPr>
      </w:pPr>
      <w:r w:rsidRPr="000346A7">
        <w:rPr>
          <w:b/>
          <w:bCs/>
        </w:rPr>
        <w:t xml:space="preserve">KAKANDE STEVEN ANDREW ........................................................... APPLICANTS </w:t>
      </w:r>
    </w:p>
    <w:p w:rsidR="009A7CAC" w:rsidRPr="000346A7" w:rsidRDefault="009A7CAC" w:rsidP="009A7CAC">
      <w:pPr>
        <w:pStyle w:val="NormalWeb"/>
        <w:jc w:val="center"/>
        <w:rPr>
          <w:b/>
          <w:bCs/>
        </w:rPr>
      </w:pPr>
      <w:r w:rsidRPr="000346A7">
        <w:rPr>
          <w:b/>
          <w:bCs/>
        </w:rPr>
        <w:t>VERSUS</w:t>
      </w:r>
    </w:p>
    <w:p w:rsidR="009A7CAC" w:rsidRPr="000346A7" w:rsidRDefault="009A7CAC" w:rsidP="009A7CAC">
      <w:pPr>
        <w:pStyle w:val="NormalWeb"/>
        <w:numPr>
          <w:ilvl w:val="0"/>
          <w:numId w:val="14"/>
        </w:numPr>
        <w:rPr>
          <w:b/>
          <w:bCs/>
        </w:rPr>
      </w:pPr>
      <w:r w:rsidRPr="000346A7">
        <w:rPr>
          <w:b/>
          <w:bCs/>
        </w:rPr>
        <w:t>SEBYALA MOSES KIWANUKA</w:t>
      </w:r>
    </w:p>
    <w:p w:rsidR="009A7CAC" w:rsidRPr="000346A7" w:rsidRDefault="009A7CAC" w:rsidP="009A7CAC">
      <w:pPr>
        <w:pStyle w:val="NormalWeb"/>
        <w:numPr>
          <w:ilvl w:val="0"/>
          <w:numId w:val="14"/>
        </w:numPr>
        <w:rPr>
          <w:b/>
          <w:bCs/>
        </w:rPr>
      </w:pPr>
      <w:r w:rsidRPr="000346A7">
        <w:rPr>
          <w:b/>
          <w:bCs/>
        </w:rPr>
        <w:t xml:space="preserve"> RICHARD NALIMA</w:t>
      </w:r>
    </w:p>
    <w:p w:rsidR="009A7CAC" w:rsidRPr="000346A7" w:rsidRDefault="009A7CAC" w:rsidP="009A7CAC">
      <w:pPr>
        <w:pStyle w:val="NormalWeb"/>
        <w:numPr>
          <w:ilvl w:val="0"/>
          <w:numId w:val="14"/>
        </w:numPr>
        <w:rPr>
          <w:b/>
          <w:bCs/>
        </w:rPr>
      </w:pPr>
      <w:r w:rsidRPr="000346A7">
        <w:rPr>
          <w:b/>
          <w:bCs/>
        </w:rPr>
        <w:t>GODFREY MUKIIBI NALIMA</w:t>
      </w:r>
    </w:p>
    <w:p w:rsidR="009A7CAC" w:rsidRPr="000346A7" w:rsidRDefault="009A7CAC" w:rsidP="009A7CAC">
      <w:pPr>
        <w:pStyle w:val="NormalWeb"/>
        <w:numPr>
          <w:ilvl w:val="0"/>
          <w:numId w:val="14"/>
        </w:numPr>
        <w:rPr>
          <w:b/>
          <w:bCs/>
        </w:rPr>
      </w:pPr>
      <w:r w:rsidRPr="000346A7">
        <w:rPr>
          <w:b/>
          <w:bCs/>
        </w:rPr>
        <w:t xml:space="preserve"> LUBMARKS INVESTMENT LTD</w:t>
      </w:r>
    </w:p>
    <w:p w:rsidR="009A7CAC" w:rsidRPr="000346A7" w:rsidRDefault="009A7CAC" w:rsidP="009A7CAC">
      <w:pPr>
        <w:pStyle w:val="NormalWeb"/>
        <w:numPr>
          <w:ilvl w:val="0"/>
          <w:numId w:val="14"/>
        </w:numPr>
        <w:rPr>
          <w:b/>
          <w:bCs/>
        </w:rPr>
      </w:pPr>
      <w:r w:rsidRPr="000346A7">
        <w:rPr>
          <w:b/>
          <w:bCs/>
        </w:rPr>
        <w:t>CRANE BANK LTD ......................................................................... RESPONDENTS</w:t>
      </w:r>
    </w:p>
    <w:p w:rsidR="009A7CAC" w:rsidRPr="000346A7" w:rsidRDefault="009A7CAC" w:rsidP="009A7CAC">
      <w:pPr>
        <w:jc w:val="both"/>
        <w:rPr>
          <w:rFonts w:ascii="Times New Roman" w:hAnsi="Times New Roman" w:cs="Times New Roman"/>
          <w:b/>
          <w:bCs/>
          <w:sz w:val="24"/>
          <w:szCs w:val="24"/>
        </w:rPr>
      </w:pPr>
    </w:p>
    <w:p w:rsidR="009A7CAC" w:rsidRPr="000346A7" w:rsidRDefault="009A7CAC" w:rsidP="009A7CAC">
      <w:pPr>
        <w:jc w:val="center"/>
        <w:rPr>
          <w:rFonts w:ascii="Times New Roman" w:hAnsi="Times New Roman" w:cs="Times New Roman"/>
          <w:b/>
          <w:bCs/>
          <w:sz w:val="24"/>
          <w:szCs w:val="24"/>
          <w:u w:val="single"/>
        </w:rPr>
      </w:pPr>
      <w:r w:rsidRPr="000346A7">
        <w:rPr>
          <w:rFonts w:ascii="Times New Roman" w:hAnsi="Times New Roman" w:cs="Times New Roman"/>
          <w:b/>
          <w:bCs/>
          <w:sz w:val="24"/>
          <w:szCs w:val="24"/>
          <w:u w:val="single"/>
        </w:rPr>
        <w:t>Hon. Lady Justice Monica K. Mugenyi</w:t>
      </w:r>
    </w:p>
    <w:p w:rsidR="009A7CAC" w:rsidRPr="000346A7" w:rsidRDefault="009A7CAC" w:rsidP="009A7CAC">
      <w:pPr>
        <w:jc w:val="center"/>
        <w:rPr>
          <w:rFonts w:ascii="Times New Roman" w:hAnsi="Times New Roman" w:cs="Times New Roman"/>
          <w:b/>
          <w:sz w:val="24"/>
          <w:szCs w:val="24"/>
          <w:u w:val="single"/>
        </w:rPr>
      </w:pPr>
      <w:r w:rsidRPr="000346A7">
        <w:rPr>
          <w:rFonts w:ascii="Times New Roman" w:hAnsi="Times New Roman" w:cs="Times New Roman"/>
          <w:b/>
          <w:sz w:val="24"/>
          <w:szCs w:val="24"/>
          <w:u w:val="single"/>
        </w:rPr>
        <w:t>RULING</w:t>
      </w:r>
    </w:p>
    <w:p w:rsidR="00902AB8" w:rsidRPr="000346A7" w:rsidRDefault="00CB63A8" w:rsidP="00A87CD2">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The </w:t>
      </w:r>
      <w:r w:rsidR="007F7375" w:rsidRPr="000346A7">
        <w:rPr>
          <w:rFonts w:ascii="Times New Roman" w:hAnsi="Times New Roman" w:cs="Times New Roman"/>
          <w:sz w:val="24"/>
          <w:szCs w:val="24"/>
        </w:rPr>
        <w:t xml:space="preserve">first </w:t>
      </w:r>
      <w:r w:rsidRPr="000346A7">
        <w:rPr>
          <w:rFonts w:ascii="Times New Roman" w:hAnsi="Times New Roman" w:cs="Times New Roman"/>
          <w:sz w:val="24"/>
          <w:szCs w:val="24"/>
        </w:rPr>
        <w:t>applicant</w:t>
      </w:r>
      <w:r w:rsidR="008C14D2" w:rsidRPr="000346A7">
        <w:rPr>
          <w:rFonts w:ascii="Times New Roman" w:hAnsi="Times New Roman" w:cs="Times New Roman"/>
          <w:sz w:val="24"/>
          <w:szCs w:val="24"/>
        </w:rPr>
        <w:t xml:space="preserve">,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applicant, a</w:t>
      </w:r>
      <w:r w:rsidR="008C14D2" w:rsidRPr="000346A7">
        <w:rPr>
          <w:rFonts w:ascii="Times New Roman" w:hAnsi="Times New Roman" w:cs="Times New Roman"/>
          <w:sz w:val="24"/>
          <w:szCs w:val="24"/>
        </w:rPr>
        <w:t>nd</w:t>
      </w:r>
      <w:r w:rsidRPr="000346A7">
        <w:rPr>
          <w:rFonts w:ascii="Times New Roman" w:hAnsi="Times New Roman" w:cs="Times New Roman"/>
          <w:sz w:val="24"/>
          <w:szCs w:val="24"/>
        </w:rPr>
        <w:t xml:space="preserve"> </w:t>
      </w:r>
      <w:r w:rsidR="007F7375" w:rsidRPr="000346A7">
        <w:rPr>
          <w:rFonts w:ascii="Times New Roman" w:hAnsi="Times New Roman" w:cs="Times New Roman"/>
          <w:sz w:val="24"/>
          <w:szCs w:val="24"/>
        </w:rPr>
        <w:t xml:space="preserve">first </w:t>
      </w:r>
      <w:r w:rsidRPr="000346A7">
        <w:rPr>
          <w:rFonts w:ascii="Times New Roman" w:hAnsi="Times New Roman" w:cs="Times New Roman"/>
          <w:sz w:val="24"/>
          <w:szCs w:val="24"/>
        </w:rPr>
        <w:t xml:space="preserve">respondent were all Directors in Lubmarks Investment Ltd, the </w:t>
      </w:r>
      <w:r w:rsidR="00645B91" w:rsidRPr="000346A7">
        <w:rPr>
          <w:rFonts w:ascii="Times New Roman" w:hAnsi="Times New Roman" w:cs="Times New Roman"/>
          <w:sz w:val="24"/>
          <w:szCs w:val="24"/>
        </w:rPr>
        <w:t>fourth</w:t>
      </w:r>
      <w:r w:rsidRPr="000346A7">
        <w:rPr>
          <w:rFonts w:ascii="Times New Roman" w:hAnsi="Times New Roman" w:cs="Times New Roman"/>
          <w:sz w:val="24"/>
          <w:szCs w:val="24"/>
        </w:rPr>
        <w:t xml:space="preserve"> respondent company.  On 17</w:t>
      </w:r>
      <w:r w:rsidRPr="000346A7">
        <w:rPr>
          <w:rFonts w:ascii="Times New Roman" w:hAnsi="Times New Roman" w:cs="Times New Roman"/>
          <w:sz w:val="24"/>
          <w:szCs w:val="24"/>
          <w:vertAlign w:val="superscript"/>
        </w:rPr>
        <w:t>th</w:t>
      </w:r>
      <w:r w:rsidRPr="000346A7">
        <w:rPr>
          <w:rFonts w:ascii="Times New Roman" w:hAnsi="Times New Roman" w:cs="Times New Roman"/>
          <w:sz w:val="24"/>
          <w:szCs w:val="24"/>
        </w:rPr>
        <w:t xml:space="preserve"> April 2009 </w:t>
      </w:r>
      <w:r w:rsidR="000A5B55" w:rsidRPr="000346A7">
        <w:rPr>
          <w:rFonts w:ascii="Times New Roman" w:hAnsi="Times New Roman" w:cs="Times New Roman"/>
          <w:sz w:val="24"/>
          <w:szCs w:val="24"/>
        </w:rPr>
        <w:t xml:space="preserve">the </w:t>
      </w:r>
      <w:r w:rsidR="00645B91" w:rsidRPr="000346A7">
        <w:rPr>
          <w:rFonts w:ascii="Times New Roman" w:hAnsi="Times New Roman" w:cs="Times New Roman"/>
          <w:sz w:val="24"/>
          <w:szCs w:val="24"/>
        </w:rPr>
        <w:t>fourth</w:t>
      </w:r>
      <w:r w:rsidR="000A5B55" w:rsidRPr="000346A7">
        <w:rPr>
          <w:rFonts w:ascii="Times New Roman" w:hAnsi="Times New Roman" w:cs="Times New Roman"/>
          <w:sz w:val="24"/>
          <w:szCs w:val="24"/>
        </w:rPr>
        <w:t xml:space="preserve"> respondent company obtained an overdraft from the </w:t>
      </w:r>
      <w:r w:rsidR="00993B7F" w:rsidRPr="000346A7">
        <w:rPr>
          <w:rFonts w:ascii="Times New Roman" w:hAnsi="Times New Roman" w:cs="Times New Roman"/>
          <w:sz w:val="24"/>
          <w:szCs w:val="24"/>
        </w:rPr>
        <w:t>fifth</w:t>
      </w:r>
      <w:r w:rsidR="000A5B55" w:rsidRPr="000346A7">
        <w:rPr>
          <w:rFonts w:ascii="Times New Roman" w:hAnsi="Times New Roman" w:cs="Times New Roman"/>
          <w:sz w:val="24"/>
          <w:szCs w:val="24"/>
        </w:rPr>
        <w:t xml:space="preserve"> respondent bank in the sum of Ushs. 300,000,000/=, </w:t>
      </w:r>
      <w:r w:rsidRPr="000346A7">
        <w:rPr>
          <w:rFonts w:ascii="Times New Roman" w:hAnsi="Times New Roman" w:cs="Times New Roman"/>
          <w:sz w:val="24"/>
          <w:szCs w:val="24"/>
        </w:rPr>
        <w:t xml:space="preserve">and </w:t>
      </w:r>
      <w:r w:rsidR="000A5B55" w:rsidRPr="000346A7">
        <w:rPr>
          <w:rFonts w:ascii="Times New Roman" w:hAnsi="Times New Roman" w:cs="Times New Roman"/>
          <w:sz w:val="24"/>
          <w:szCs w:val="24"/>
        </w:rPr>
        <w:t xml:space="preserve">on </w:t>
      </w:r>
      <w:r w:rsidRPr="000346A7">
        <w:rPr>
          <w:rFonts w:ascii="Times New Roman" w:hAnsi="Times New Roman" w:cs="Times New Roman"/>
          <w:sz w:val="24"/>
          <w:szCs w:val="24"/>
        </w:rPr>
        <w:t>8</w:t>
      </w:r>
      <w:r w:rsidRPr="000346A7">
        <w:rPr>
          <w:rFonts w:ascii="Times New Roman" w:hAnsi="Times New Roman" w:cs="Times New Roman"/>
          <w:sz w:val="24"/>
          <w:szCs w:val="24"/>
          <w:vertAlign w:val="superscript"/>
        </w:rPr>
        <w:t>th</w:t>
      </w:r>
      <w:r w:rsidRPr="000346A7">
        <w:rPr>
          <w:rFonts w:ascii="Times New Roman" w:hAnsi="Times New Roman" w:cs="Times New Roman"/>
          <w:sz w:val="24"/>
          <w:szCs w:val="24"/>
        </w:rPr>
        <w:t xml:space="preserve"> January 2010</w:t>
      </w:r>
      <w:r w:rsidR="000A5B55" w:rsidRPr="000346A7">
        <w:rPr>
          <w:rFonts w:ascii="Times New Roman" w:hAnsi="Times New Roman" w:cs="Times New Roman"/>
          <w:sz w:val="24"/>
          <w:szCs w:val="24"/>
        </w:rPr>
        <w:t xml:space="preserve"> the same company obtained a bank guarantee from the same bank in the sum of Ush. 200,000,000/=. </w:t>
      </w:r>
      <w:r w:rsidR="008C14D2" w:rsidRPr="000346A7">
        <w:rPr>
          <w:rFonts w:ascii="Times New Roman" w:hAnsi="Times New Roman" w:cs="Times New Roman"/>
          <w:sz w:val="24"/>
          <w:szCs w:val="24"/>
        </w:rPr>
        <w:t xml:space="preserve"> The bank guarantee was authorized by a </w:t>
      </w:r>
      <w:r w:rsidR="000A5B55" w:rsidRPr="000346A7">
        <w:rPr>
          <w:rFonts w:ascii="Times New Roman" w:hAnsi="Times New Roman" w:cs="Times New Roman"/>
          <w:sz w:val="24"/>
          <w:szCs w:val="24"/>
        </w:rPr>
        <w:t>Board Resolution dated 7</w:t>
      </w:r>
      <w:r w:rsidR="000A5B55" w:rsidRPr="000346A7">
        <w:rPr>
          <w:rFonts w:ascii="Times New Roman" w:hAnsi="Times New Roman" w:cs="Times New Roman"/>
          <w:sz w:val="24"/>
          <w:szCs w:val="24"/>
          <w:vertAlign w:val="superscript"/>
        </w:rPr>
        <w:t>th</w:t>
      </w:r>
      <w:r w:rsidR="000A5B55" w:rsidRPr="000346A7">
        <w:rPr>
          <w:rFonts w:ascii="Times New Roman" w:hAnsi="Times New Roman" w:cs="Times New Roman"/>
          <w:sz w:val="24"/>
          <w:szCs w:val="24"/>
        </w:rPr>
        <w:t xml:space="preserve"> April 2009 and </w:t>
      </w:r>
      <w:r w:rsidR="008C14D2" w:rsidRPr="000346A7">
        <w:rPr>
          <w:rFonts w:ascii="Times New Roman" w:hAnsi="Times New Roman" w:cs="Times New Roman"/>
          <w:sz w:val="24"/>
          <w:szCs w:val="24"/>
        </w:rPr>
        <w:t xml:space="preserve">signed by </w:t>
      </w:r>
      <w:r w:rsidR="007F7375" w:rsidRPr="000346A7">
        <w:rPr>
          <w:rFonts w:ascii="Times New Roman" w:hAnsi="Times New Roman" w:cs="Times New Roman"/>
          <w:sz w:val="24"/>
          <w:szCs w:val="24"/>
        </w:rPr>
        <w:t>first</w:t>
      </w:r>
      <w:r w:rsidR="0035371A" w:rsidRPr="000346A7">
        <w:rPr>
          <w:rFonts w:ascii="Times New Roman" w:hAnsi="Times New Roman" w:cs="Times New Roman"/>
          <w:sz w:val="24"/>
          <w:szCs w:val="24"/>
        </w:rPr>
        <w:t xml:space="preserve"> </w:t>
      </w:r>
      <w:r w:rsidR="000A5B55" w:rsidRPr="000346A7">
        <w:rPr>
          <w:rFonts w:ascii="Times New Roman" w:hAnsi="Times New Roman" w:cs="Times New Roman"/>
          <w:sz w:val="24"/>
          <w:szCs w:val="24"/>
        </w:rPr>
        <w:t xml:space="preserve">respondent and </w:t>
      </w:r>
      <w:r w:rsidR="007F7375" w:rsidRPr="000346A7">
        <w:rPr>
          <w:rFonts w:ascii="Times New Roman" w:hAnsi="Times New Roman" w:cs="Times New Roman"/>
          <w:sz w:val="24"/>
          <w:szCs w:val="24"/>
        </w:rPr>
        <w:t xml:space="preserve">first </w:t>
      </w:r>
      <w:r w:rsidR="000A5B55" w:rsidRPr="000346A7">
        <w:rPr>
          <w:rFonts w:ascii="Times New Roman" w:hAnsi="Times New Roman" w:cs="Times New Roman"/>
          <w:sz w:val="24"/>
          <w:szCs w:val="24"/>
        </w:rPr>
        <w:t>applicant</w:t>
      </w:r>
      <w:r w:rsidR="008C14D2" w:rsidRPr="000346A7">
        <w:rPr>
          <w:rFonts w:ascii="Times New Roman" w:hAnsi="Times New Roman" w:cs="Times New Roman"/>
          <w:sz w:val="24"/>
          <w:szCs w:val="24"/>
        </w:rPr>
        <w:t>.</w:t>
      </w:r>
      <w:r w:rsidR="000A5B55" w:rsidRPr="000346A7">
        <w:rPr>
          <w:rFonts w:ascii="Times New Roman" w:hAnsi="Times New Roman" w:cs="Times New Roman"/>
          <w:sz w:val="24"/>
          <w:szCs w:val="24"/>
        </w:rPr>
        <w:t xml:space="preserve">  No resolution was availed </w:t>
      </w:r>
      <w:r w:rsidR="008C14D2" w:rsidRPr="000346A7">
        <w:rPr>
          <w:rFonts w:ascii="Times New Roman" w:hAnsi="Times New Roman" w:cs="Times New Roman"/>
          <w:sz w:val="24"/>
          <w:szCs w:val="24"/>
        </w:rPr>
        <w:t xml:space="preserve">to this court </w:t>
      </w:r>
      <w:r w:rsidR="000A5B55" w:rsidRPr="000346A7">
        <w:rPr>
          <w:rFonts w:ascii="Times New Roman" w:hAnsi="Times New Roman" w:cs="Times New Roman"/>
          <w:sz w:val="24"/>
          <w:szCs w:val="24"/>
        </w:rPr>
        <w:t xml:space="preserve">in respect of the overdraft facility.  </w:t>
      </w:r>
      <w:r w:rsidR="00A8455B" w:rsidRPr="000346A7">
        <w:rPr>
          <w:rFonts w:ascii="Times New Roman" w:hAnsi="Times New Roman" w:cs="Times New Roman"/>
          <w:sz w:val="24"/>
          <w:szCs w:val="24"/>
        </w:rPr>
        <w:t xml:space="preserve">On </w:t>
      </w:r>
      <w:r w:rsidR="00645B91" w:rsidRPr="000346A7">
        <w:rPr>
          <w:rFonts w:ascii="Times New Roman" w:hAnsi="Times New Roman" w:cs="Times New Roman"/>
          <w:sz w:val="24"/>
          <w:szCs w:val="24"/>
        </w:rPr>
        <w:t>4</w:t>
      </w:r>
      <w:r w:rsidR="00645B91" w:rsidRPr="000346A7">
        <w:rPr>
          <w:rFonts w:ascii="Times New Roman" w:hAnsi="Times New Roman" w:cs="Times New Roman"/>
          <w:sz w:val="24"/>
          <w:szCs w:val="24"/>
          <w:vertAlign w:val="superscript"/>
        </w:rPr>
        <w:t>th</w:t>
      </w:r>
      <w:r w:rsidR="00645B91" w:rsidRPr="000346A7">
        <w:rPr>
          <w:rFonts w:ascii="Times New Roman" w:hAnsi="Times New Roman" w:cs="Times New Roman"/>
          <w:sz w:val="24"/>
          <w:szCs w:val="24"/>
        </w:rPr>
        <w:t xml:space="preserve"> </w:t>
      </w:r>
      <w:r w:rsidR="00A8455B" w:rsidRPr="000346A7">
        <w:rPr>
          <w:rFonts w:ascii="Times New Roman" w:hAnsi="Times New Roman" w:cs="Times New Roman"/>
          <w:sz w:val="24"/>
          <w:szCs w:val="24"/>
        </w:rPr>
        <w:t xml:space="preserve">February 2011 the </w:t>
      </w:r>
      <w:r w:rsidR="00645B91" w:rsidRPr="000346A7">
        <w:rPr>
          <w:rFonts w:ascii="Times New Roman" w:hAnsi="Times New Roman" w:cs="Times New Roman"/>
          <w:sz w:val="24"/>
          <w:szCs w:val="24"/>
        </w:rPr>
        <w:t>fourth</w:t>
      </w:r>
      <w:r w:rsidR="00A8455B" w:rsidRPr="000346A7">
        <w:rPr>
          <w:rFonts w:ascii="Times New Roman" w:hAnsi="Times New Roman" w:cs="Times New Roman"/>
          <w:sz w:val="24"/>
          <w:szCs w:val="24"/>
        </w:rPr>
        <w:t xml:space="preserve"> respondent company passed another Resolution for the increment of the above overdraft and bank guarantee to Ushs. 550,000,000/= and Ushs. 350,000,000/= respectively.  Yet again, on an unclear date in 2011 the said respondent company passed another resolution </w:t>
      </w:r>
      <w:r w:rsidR="00CF332D" w:rsidRPr="000346A7">
        <w:rPr>
          <w:rFonts w:ascii="Times New Roman" w:hAnsi="Times New Roman" w:cs="Times New Roman"/>
          <w:sz w:val="24"/>
          <w:szCs w:val="24"/>
        </w:rPr>
        <w:t>authorizing the increment of the bank guarantee to Ushs. 750,000,000/=.</w:t>
      </w:r>
    </w:p>
    <w:p w:rsidR="00A87CD2" w:rsidRPr="000346A7" w:rsidRDefault="00CF332D" w:rsidP="00902AB8">
      <w:pPr>
        <w:pStyle w:val="ListParagraph"/>
        <w:ind w:left="360"/>
        <w:jc w:val="both"/>
        <w:rPr>
          <w:rFonts w:ascii="Times New Roman" w:hAnsi="Times New Roman" w:cs="Times New Roman"/>
          <w:sz w:val="24"/>
          <w:szCs w:val="24"/>
        </w:rPr>
      </w:pPr>
      <w:r w:rsidRPr="000346A7">
        <w:rPr>
          <w:rFonts w:ascii="Times New Roman" w:hAnsi="Times New Roman" w:cs="Times New Roman"/>
          <w:sz w:val="24"/>
          <w:szCs w:val="24"/>
        </w:rPr>
        <w:t xml:space="preserve">  </w:t>
      </w:r>
    </w:p>
    <w:p w:rsidR="00902AB8" w:rsidRPr="000346A7" w:rsidRDefault="006D0DD7" w:rsidP="00A87CD2">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lastRenderedPageBreak/>
        <w:t xml:space="preserve">On </w:t>
      </w:r>
      <w:r w:rsidR="00645B91" w:rsidRPr="000346A7">
        <w:rPr>
          <w:rFonts w:ascii="Times New Roman" w:hAnsi="Times New Roman" w:cs="Times New Roman"/>
          <w:sz w:val="24"/>
          <w:szCs w:val="24"/>
        </w:rPr>
        <w:t>4</w:t>
      </w:r>
      <w:r w:rsidR="00645B91" w:rsidRPr="000346A7">
        <w:rPr>
          <w:rFonts w:ascii="Times New Roman" w:hAnsi="Times New Roman" w:cs="Times New Roman"/>
          <w:sz w:val="24"/>
          <w:szCs w:val="24"/>
          <w:vertAlign w:val="superscript"/>
        </w:rPr>
        <w:t>th</w:t>
      </w:r>
      <w:r w:rsidR="00645B91"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July 2011 four separate mortgage deeds were executed by the </w:t>
      </w:r>
      <w:r w:rsidR="00645B91" w:rsidRPr="000346A7">
        <w:rPr>
          <w:rFonts w:ascii="Times New Roman" w:hAnsi="Times New Roman" w:cs="Times New Roman"/>
          <w:sz w:val="24"/>
          <w:szCs w:val="24"/>
        </w:rPr>
        <w:t>fourth</w:t>
      </w:r>
      <w:r w:rsidRPr="000346A7">
        <w:rPr>
          <w:rFonts w:ascii="Times New Roman" w:hAnsi="Times New Roman" w:cs="Times New Roman"/>
          <w:sz w:val="24"/>
          <w:szCs w:val="24"/>
        </w:rPr>
        <w:t xml:space="preserve"> and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respondents in respect of properties owned by the </w:t>
      </w:r>
      <w:r w:rsidR="007F7375" w:rsidRPr="000346A7">
        <w:rPr>
          <w:rFonts w:ascii="Times New Roman" w:hAnsi="Times New Roman" w:cs="Times New Roman"/>
          <w:sz w:val="24"/>
          <w:szCs w:val="24"/>
        </w:rPr>
        <w:t xml:space="preserve">first </w:t>
      </w:r>
      <w:r w:rsidRPr="000346A7">
        <w:rPr>
          <w:rFonts w:ascii="Times New Roman" w:hAnsi="Times New Roman" w:cs="Times New Roman"/>
          <w:sz w:val="24"/>
          <w:szCs w:val="24"/>
        </w:rPr>
        <w:t xml:space="preserve">applicant, </w:t>
      </w:r>
      <w:r w:rsidR="00EB414D" w:rsidRPr="000346A7">
        <w:rPr>
          <w:rFonts w:ascii="Times New Roman" w:hAnsi="Times New Roman" w:cs="Times New Roman"/>
          <w:sz w:val="24"/>
          <w:szCs w:val="24"/>
        </w:rPr>
        <w:t xml:space="preserve">and the </w:t>
      </w:r>
      <w:r w:rsidR="0035371A" w:rsidRPr="000346A7">
        <w:rPr>
          <w:rFonts w:ascii="Times New Roman" w:hAnsi="Times New Roman" w:cs="Times New Roman"/>
          <w:sz w:val="24"/>
          <w:szCs w:val="24"/>
        </w:rPr>
        <w:t xml:space="preserve">first, </w:t>
      </w:r>
      <w:r w:rsidR="00934794" w:rsidRPr="000346A7">
        <w:rPr>
          <w:rFonts w:ascii="Times New Roman" w:hAnsi="Times New Roman" w:cs="Times New Roman"/>
          <w:sz w:val="24"/>
          <w:szCs w:val="24"/>
        </w:rPr>
        <w:t>second</w:t>
      </w:r>
      <w:r w:rsidR="00EB414D"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EB414D" w:rsidRPr="000346A7">
        <w:rPr>
          <w:rFonts w:ascii="Times New Roman" w:hAnsi="Times New Roman" w:cs="Times New Roman"/>
          <w:sz w:val="24"/>
          <w:szCs w:val="24"/>
        </w:rPr>
        <w:t xml:space="preserve"> </w:t>
      </w:r>
      <w:r w:rsidRPr="000346A7">
        <w:rPr>
          <w:rFonts w:ascii="Times New Roman" w:hAnsi="Times New Roman" w:cs="Times New Roman"/>
          <w:sz w:val="24"/>
          <w:szCs w:val="24"/>
        </w:rPr>
        <w:t>respondent</w:t>
      </w:r>
      <w:r w:rsidR="00EB414D" w:rsidRPr="000346A7">
        <w:rPr>
          <w:rFonts w:ascii="Times New Roman" w:hAnsi="Times New Roman" w:cs="Times New Roman"/>
          <w:sz w:val="24"/>
          <w:szCs w:val="24"/>
        </w:rPr>
        <w:t>s</w:t>
      </w:r>
      <w:r w:rsidRPr="000346A7">
        <w:rPr>
          <w:rFonts w:ascii="Times New Roman" w:hAnsi="Times New Roman" w:cs="Times New Roman"/>
          <w:sz w:val="24"/>
          <w:szCs w:val="24"/>
        </w:rPr>
        <w:t xml:space="preserve"> respectively.  </w:t>
      </w:r>
      <w:r w:rsidR="00EB414D" w:rsidRPr="000346A7">
        <w:rPr>
          <w:rFonts w:ascii="Times New Roman" w:hAnsi="Times New Roman" w:cs="Times New Roman"/>
          <w:sz w:val="24"/>
          <w:szCs w:val="24"/>
        </w:rPr>
        <w:t xml:space="preserve">The properties in question are the </w:t>
      </w:r>
      <w:r w:rsidR="007F7375" w:rsidRPr="000346A7">
        <w:rPr>
          <w:rFonts w:ascii="Times New Roman" w:hAnsi="Times New Roman" w:cs="Times New Roman"/>
          <w:sz w:val="24"/>
          <w:szCs w:val="24"/>
        </w:rPr>
        <w:t xml:space="preserve">first </w:t>
      </w:r>
      <w:r w:rsidR="00EB414D" w:rsidRPr="000346A7">
        <w:rPr>
          <w:rFonts w:ascii="Times New Roman" w:hAnsi="Times New Roman" w:cs="Times New Roman"/>
          <w:sz w:val="24"/>
          <w:szCs w:val="24"/>
        </w:rPr>
        <w:t xml:space="preserve">applicant’s land comprised in Kyadondo Block 216 plot 2365 at Buye – Ntinda; </w:t>
      </w:r>
      <w:r w:rsidR="007F7375" w:rsidRPr="000346A7">
        <w:rPr>
          <w:rFonts w:ascii="Times New Roman" w:hAnsi="Times New Roman" w:cs="Times New Roman"/>
          <w:sz w:val="24"/>
          <w:szCs w:val="24"/>
        </w:rPr>
        <w:t xml:space="preserve">first </w:t>
      </w:r>
      <w:r w:rsidR="00EB414D" w:rsidRPr="000346A7">
        <w:rPr>
          <w:rFonts w:ascii="Times New Roman" w:hAnsi="Times New Roman" w:cs="Times New Roman"/>
          <w:sz w:val="24"/>
          <w:szCs w:val="24"/>
        </w:rPr>
        <w:t xml:space="preserve">respondent’s land at Kyadondo Block 1495 at Buye – Ntinda; </w:t>
      </w:r>
      <w:r w:rsidR="00934794" w:rsidRPr="000346A7">
        <w:rPr>
          <w:rFonts w:ascii="Times New Roman" w:hAnsi="Times New Roman" w:cs="Times New Roman"/>
          <w:sz w:val="24"/>
          <w:szCs w:val="24"/>
        </w:rPr>
        <w:t>second</w:t>
      </w:r>
      <w:r w:rsidR="00EB414D" w:rsidRPr="000346A7">
        <w:rPr>
          <w:rFonts w:ascii="Times New Roman" w:hAnsi="Times New Roman" w:cs="Times New Roman"/>
          <w:sz w:val="24"/>
          <w:szCs w:val="24"/>
        </w:rPr>
        <w:t xml:space="preserve"> respondent’s land at Kyadondo Block 266 plot 878 at Seguku, and that owned by the </w:t>
      </w:r>
      <w:r w:rsidR="00BC758D" w:rsidRPr="000346A7">
        <w:rPr>
          <w:rFonts w:ascii="Times New Roman" w:hAnsi="Times New Roman" w:cs="Times New Roman"/>
          <w:sz w:val="24"/>
          <w:szCs w:val="24"/>
        </w:rPr>
        <w:t>third</w:t>
      </w:r>
      <w:r w:rsidR="00EB414D" w:rsidRPr="000346A7">
        <w:rPr>
          <w:rFonts w:ascii="Times New Roman" w:hAnsi="Times New Roman" w:cs="Times New Roman"/>
          <w:sz w:val="24"/>
          <w:szCs w:val="24"/>
        </w:rPr>
        <w:t xml:space="preserve"> respondent at Kyadondo Block 206 plot 2982 at Mpererwe. </w:t>
      </w:r>
      <w:r w:rsidR="00DC0437" w:rsidRPr="000346A7">
        <w:rPr>
          <w:rFonts w:ascii="Times New Roman" w:hAnsi="Times New Roman" w:cs="Times New Roman"/>
          <w:sz w:val="24"/>
          <w:szCs w:val="24"/>
        </w:rPr>
        <w:t xml:space="preserve"> On the same date (</w:t>
      </w:r>
      <w:r w:rsidR="00645B91" w:rsidRPr="000346A7">
        <w:rPr>
          <w:rFonts w:ascii="Times New Roman" w:hAnsi="Times New Roman" w:cs="Times New Roman"/>
          <w:sz w:val="24"/>
          <w:szCs w:val="24"/>
        </w:rPr>
        <w:t>4</w:t>
      </w:r>
      <w:r w:rsidR="00645B91" w:rsidRPr="000346A7">
        <w:rPr>
          <w:rFonts w:ascii="Times New Roman" w:hAnsi="Times New Roman" w:cs="Times New Roman"/>
          <w:sz w:val="24"/>
          <w:szCs w:val="24"/>
          <w:vertAlign w:val="superscript"/>
        </w:rPr>
        <w:t>th</w:t>
      </w:r>
      <w:r w:rsidR="00645B91" w:rsidRPr="000346A7">
        <w:rPr>
          <w:rFonts w:ascii="Times New Roman" w:hAnsi="Times New Roman" w:cs="Times New Roman"/>
          <w:sz w:val="24"/>
          <w:szCs w:val="24"/>
        </w:rPr>
        <w:t xml:space="preserve"> </w:t>
      </w:r>
      <w:r w:rsidR="00DC0437" w:rsidRPr="000346A7">
        <w:rPr>
          <w:rFonts w:ascii="Times New Roman" w:hAnsi="Times New Roman" w:cs="Times New Roman"/>
          <w:sz w:val="24"/>
          <w:szCs w:val="24"/>
        </w:rPr>
        <w:t xml:space="preserve">July 2011), the </w:t>
      </w:r>
      <w:r w:rsidR="007F7375" w:rsidRPr="000346A7">
        <w:rPr>
          <w:rFonts w:ascii="Times New Roman" w:hAnsi="Times New Roman" w:cs="Times New Roman"/>
          <w:sz w:val="24"/>
          <w:szCs w:val="24"/>
        </w:rPr>
        <w:t xml:space="preserve">first </w:t>
      </w:r>
      <w:r w:rsidR="00DC0437" w:rsidRPr="000346A7">
        <w:rPr>
          <w:rFonts w:ascii="Times New Roman" w:hAnsi="Times New Roman" w:cs="Times New Roman"/>
          <w:sz w:val="24"/>
          <w:szCs w:val="24"/>
        </w:rPr>
        <w:t xml:space="preserve">and </w:t>
      </w:r>
      <w:r w:rsidR="00934794" w:rsidRPr="000346A7">
        <w:rPr>
          <w:rFonts w:ascii="Times New Roman" w:hAnsi="Times New Roman" w:cs="Times New Roman"/>
          <w:sz w:val="24"/>
          <w:szCs w:val="24"/>
        </w:rPr>
        <w:t>second</w:t>
      </w:r>
      <w:r w:rsidR="00DC0437" w:rsidRPr="000346A7">
        <w:rPr>
          <w:rFonts w:ascii="Times New Roman" w:hAnsi="Times New Roman" w:cs="Times New Roman"/>
          <w:sz w:val="24"/>
          <w:szCs w:val="24"/>
        </w:rPr>
        <w:t xml:space="preserve"> applicants, as well as the </w:t>
      </w:r>
      <w:r w:rsidR="0035371A" w:rsidRPr="000346A7">
        <w:rPr>
          <w:rFonts w:ascii="Times New Roman" w:hAnsi="Times New Roman" w:cs="Times New Roman"/>
          <w:sz w:val="24"/>
          <w:szCs w:val="24"/>
        </w:rPr>
        <w:t xml:space="preserve">first, </w:t>
      </w:r>
      <w:r w:rsidR="00934794" w:rsidRPr="000346A7">
        <w:rPr>
          <w:rFonts w:ascii="Times New Roman" w:hAnsi="Times New Roman" w:cs="Times New Roman"/>
          <w:sz w:val="24"/>
          <w:szCs w:val="24"/>
        </w:rPr>
        <w:t>second</w:t>
      </w:r>
      <w:r w:rsidR="00DC0437"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DC0437" w:rsidRPr="000346A7">
        <w:rPr>
          <w:rFonts w:ascii="Times New Roman" w:hAnsi="Times New Roman" w:cs="Times New Roman"/>
          <w:sz w:val="24"/>
          <w:szCs w:val="24"/>
        </w:rPr>
        <w:t xml:space="preserve"> respondents purportedly executed a guarantee in favour of the </w:t>
      </w:r>
      <w:r w:rsidR="00993B7F" w:rsidRPr="000346A7">
        <w:rPr>
          <w:rFonts w:ascii="Times New Roman" w:hAnsi="Times New Roman" w:cs="Times New Roman"/>
          <w:sz w:val="24"/>
          <w:szCs w:val="24"/>
        </w:rPr>
        <w:t>fifth</w:t>
      </w:r>
      <w:r w:rsidR="00DC0437" w:rsidRPr="000346A7">
        <w:rPr>
          <w:rFonts w:ascii="Times New Roman" w:hAnsi="Times New Roman" w:cs="Times New Roman"/>
          <w:sz w:val="24"/>
          <w:szCs w:val="24"/>
        </w:rPr>
        <w:t xml:space="preserve"> respondent with regard to the mortgages created on the same day. </w:t>
      </w:r>
    </w:p>
    <w:p w:rsidR="00902AB8" w:rsidRPr="000346A7" w:rsidRDefault="00902AB8" w:rsidP="00902AB8">
      <w:pPr>
        <w:pStyle w:val="ListParagraph"/>
        <w:rPr>
          <w:rFonts w:ascii="Times New Roman" w:hAnsi="Times New Roman" w:cs="Times New Roman"/>
          <w:sz w:val="24"/>
          <w:szCs w:val="24"/>
        </w:rPr>
      </w:pPr>
    </w:p>
    <w:p w:rsidR="00902AB8" w:rsidRPr="000346A7" w:rsidRDefault="00EB414D" w:rsidP="00902AB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 It would appear </w:t>
      </w:r>
      <w:r w:rsidR="00A87CD2" w:rsidRPr="000346A7">
        <w:rPr>
          <w:rFonts w:ascii="Times New Roman" w:hAnsi="Times New Roman" w:cs="Times New Roman"/>
          <w:sz w:val="24"/>
          <w:szCs w:val="24"/>
        </w:rPr>
        <w:t xml:space="preserve">that </w:t>
      </w:r>
      <w:r w:rsidRPr="000346A7">
        <w:rPr>
          <w:rFonts w:ascii="Times New Roman" w:hAnsi="Times New Roman" w:cs="Times New Roman"/>
          <w:sz w:val="24"/>
          <w:szCs w:val="24"/>
        </w:rPr>
        <w:t xml:space="preserve">the </w:t>
      </w:r>
      <w:r w:rsidR="00535120" w:rsidRPr="000346A7">
        <w:rPr>
          <w:rFonts w:ascii="Times New Roman" w:hAnsi="Times New Roman" w:cs="Times New Roman"/>
          <w:sz w:val="24"/>
          <w:szCs w:val="24"/>
        </w:rPr>
        <w:t>transaction</w:t>
      </w:r>
      <w:r w:rsidRPr="000346A7">
        <w:rPr>
          <w:rFonts w:ascii="Times New Roman" w:hAnsi="Times New Roman" w:cs="Times New Roman"/>
          <w:sz w:val="24"/>
          <w:szCs w:val="24"/>
        </w:rPr>
        <w:t xml:space="preserve"> entailed an arrangement where the </w:t>
      </w:r>
      <w:r w:rsidR="00645B91" w:rsidRPr="000346A7">
        <w:rPr>
          <w:rFonts w:ascii="Times New Roman" w:hAnsi="Times New Roman" w:cs="Times New Roman"/>
          <w:sz w:val="24"/>
          <w:szCs w:val="24"/>
        </w:rPr>
        <w:t>fourth</w:t>
      </w:r>
      <w:r w:rsidRPr="000346A7">
        <w:rPr>
          <w:rFonts w:ascii="Times New Roman" w:hAnsi="Times New Roman" w:cs="Times New Roman"/>
          <w:sz w:val="24"/>
          <w:szCs w:val="24"/>
        </w:rPr>
        <w:t xml:space="preserve"> defendant, an investment company, was availed financ</w:t>
      </w:r>
      <w:r w:rsidR="00A37033" w:rsidRPr="000346A7">
        <w:rPr>
          <w:rFonts w:ascii="Times New Roman" w:hAnsi="Times New Roman" w:cs="Times New Roman"/>
          <w:sz w:val="24"/>
          <w:szCs w:val="24"/>
        </w:rPr>
        <w:t>es</w:t>
      </w:r>
      <w:r w:rsidRPr="000346A7">
        <w:rPr>
          <w:rFonts w:ascii="Times New Roman" w:hAnsi="Times New Roman" w:cs="Times New Roman"/>
          <w:sz w:val="24"/>
          <w:szCs w:val="24"/>
        </w:rPr>
        <w:t xml:space="preserve"> by the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respondent such as would enable it provide </w:t>
      </w:r>
      <w:r w:rsidR="00F33FB1" w:rsidRPr="000346A7">
        <w:rPr>
          <w:rFonts w:ascii="Times New Roman" w:hAnsi="Times New Roman" w:cs="Times New Roman"/>
          <w:sz w:val="24"/>
          <w:szCs w:val="24"/>
        </w:rPr>
        <w:t>financial</w:t>
      </w:r>
      <w:r w:rsidRPr="000346A7">
        <w:rPr>
          <w:rFonts w:ascii="Times New Roman" w:hAnsi="Times New Roman" w:cs="Times New Roman"/>
          <w:sz w:val="24"/>
          <w:szCs w:val="24"/>
        </w:rPr>
        <w:t xml:space="preserve"> guarantees </w:t>
      </w:r>
      <w:r w:rsidR="00A37033" w:rsidRPr="000346A7">
        <w:rPr>
          <w:rFonts w:ascii="Times New Roman" w:hAnsi="Times New Roman" w:cs="Times New Roman"/>
          <w:sz w:val="24"/>
          <w:szCs w:val="24"/>
        </w:rPr>
        <w:t>to its clients.</w:t>
      </w:r>
      <w:r w:rsidRPr="000346A7">
        <w:rPr>
          <w:rFonts w:ascii="Times New Roman" w:hAnsi="Times New Roman" w:cs="Times New Roman"/>
          <w:sz w:val="24"/>
          <w:szCs w:val="24"/>
        </w:rPr>
        <w:t xml:space="preserve">  </w:t>
      </w:r>
      <w:r w:rsidR="009A7CAC" w:rsidRPr="000346A7">
        <w:rPr>
          <w:rFonts w:ascii="Times New Roman" w:hAnsi="Times New Roman" w:cs="Times New Roman"/>
          <w:sz w:val="24"/>
          <w:szCs w:val="24"/>
        </w:rPr>
        <w:t xml:space="preserve">Upon </w:t>
      </w:r>
      <w:r w:rsidRPr="000346A7">
        <w:rPr>
          <w:rFonts w:ascii="Times New Roman" w:hAnsi="Times New Roman" w:cs="Times New Roman"/>
          <w:sz w:val="24"/>
          <w:szCs w:val="24"/>
        </w:rPr>
        <w:t xml:space="preserve">the </w:t>
      </w:r>
      <w:r w:rsidR="00645B91" w:rsidRPr="000346A7">
        <w:rPr>
          <w:rFonts w:ascii="Times New Roman" w:hAnsi="Times New Roman" w:cs="Times New Roman"/>
          <w:sz w:val="24"/>
          <w:szCs w:val="24"/>
        </w:rPr>
        <w:t>fourth</w:t>
      </w:r>
      <w:r w:rsidRPr="000346A7">
        <w:rPr>
          <w:rFonts w:ascii="Times New Roman" w:hAnsi="Times New Roman" w:cs="Times New Roman"/>
          <w:sz w:val="24"/>
          <w:szCs w:val="24"/>
        </w:rPr>
        <w:t xml:space="preserve"> defendant’s </w:t>
      </w:r>
      <w:r w:rsidR="009A7CAC" w:rsidRPr="000346A7">
        <w:rPr>
          <w:rFonts w:ascii="Times New Roman" w:hAnsi="Times New Roman" w:cs="Times New Roman"/>
          <w:sz w:val="24"/>
          <w:szCs w:val="24"/>
        </w:rPr>
        <w:t xml:space="preserve">default on the </w:t>
      </w:r>
      <w:r w:rsidRPr="000346A7">
        <w:rPr>
          <w:rFonts w:ascii="Times New Roman" w:hAnsi="Times New Roman" w:cs="Times New Roman"/>
          <w:sz w:val="24"/>
          <w:szCs w:val="24"/>
        </w:rPr>
        <w:t>mortgage terms</w:t>
      </w:r>
      <w:r w:rsidR="009A7CAC" w:rsidRPr="000346A7">
        <w:rPr>
          <w:rFonts w:ascii="Times New Roman" w:hAnsi="Times New Roman" w:cs="Times New Roman"/>
          <w:sz w:val="24"/>
          <w:szCs w:val="24"/>
        </w:rPr>
        <w:t xml:space="preserve">, the </w:t>
      </w:r>
      <w:r w:rsidR="00993B7F" w:rsidRPr="000346A7">
        <w:rPr>
          <w:rFonts w:ascii="Times New Roman" w:hAnsi="Times New Roman" w:cs="Times New Roman"/>
          <w:sz w:val="24"/>
          <w:szCs w:val="24"/>
        </w:rPr>
        <w:t>fifth</w:t>
      </w:r>
      <w:r w:rsidR="009A7CAC" w:rsidRPr="000346A7">
        <w:rPr>
          <w:rFonts w:ascii="Times New Roman" w:hAnsi="Times New Roman" w:cs="Times New Roman"/>
          <w:sz w:val="24"/>
          <w:szCs w:val="24"/>
        </w:rPr>
        <w:t xml:space="preserve"> respondent kick-started a loan recovery process that entailed </w:t>
      </w:r>
      <w:r w:rsidR="00F33FB1" w:rsidRPr="000346A7">
        <w:rPr>
          <w:rFonts w:ascii="Times New Roman" w:hAnsi="Times New Roman" w:cs="Times New Roman"/>
          <w:sz w:val="24"/>
          <w:szCs w:val="24"/>
        </w:rPr>
        <w:t xml:space="preserve">notice of </w:t>
      </w:r>
      <w:r w:rsidR="00A1369C" w:rsidRPr="000346A7">
        <w:rPr>
          <w:rFonts w:ascii="Times New Roman" w:hAnsi="Times New Roman" w:cs="Times New Roman"/>
          <w:sz w:val="24"/>
          <w:szCs w:val="24"/>
        </w:rPr>
        <w:t xml:space="preserve">sale of the allegedly mortgaged properties.  </w:t>
      </w:r>
      <w:r w:rsidR="009A7CAC" w:rsidRPr="000346A7">
        <w:rPr>
          <w:rFonts w:ascii="Times New Roman" w:hAnsi="Times New Roman" w:cs="Times New Roman"/>
          <w:sz w:val="24"/>
          <w:szCs w:val="24"/>
        </w:rPr>
        <w:t xml:space="preserve">The applicants thereupon filed </w:t>
      </w:r>
      <w:r w:rsidR="009A7CAC" w:rsidRPr="000346A7">
        <w:rPr>
          <w:rFonts w:ascii="Times New Roman" w:hAnsi="Times New Roman" w:cs="Times New Roman"/>
          <w:b/>
          <w:sz w:val="24"/>
          <w:szCs w:val="24"/>
          <w:u w:val="single"/>
        </w:rPr>
        <w:t>Civil Suit No. 209 of 2013</w:t>
      </w:r>
      <w:r w:rsidR="009A7CAC" w:rsidRPr="000346A7">
        <w:rPr>
          <w:rFonts w:ascii="Times New Roman" w:hAnsi="Times New Roman" w:cs="Times New Roman"/>
          <w:sz w:val="24"/>
          <w:szCs w:val="24"/>
        </w:rPr>
        <w:t xml:space="preserve"> </w:t>
      </w:r>
      <w:r w:rsidR="00BF6129" w:rsidRPr="000346A7">
        <w:rPr>
          <w:rFonts w:ascii="Times New Roman" w:hAnsi="Times New Roman" w:cs="Times New Roman"/>
          <w:i/>
          <w:sz w:val="24"/>
          <w:szCs w:val="24"/>
        </w:rPr>
        <w:t>inter alia</w:t>
      </w:r>
      <w:r w:rsidR="00BF6129" w:rsidRPr="000346A7">
        <w:rPr>
          <w:rFonts w:ascii="Times New Roman" w:hAnsi="Times New Roman" w:cs="Times New Roman"/>
          <w:sz w:val="24"/>
          <w:szCs w:val="24"/>
        </w:rPr>
        <w:t xml:space="preserve"> </w:t>
      </w:r>
      <w:r w:rsidR="009A7CAC" w:rsidRPr="000346A7">
        <w:rPr>
          <w:rFonts w:ascii="Times New Roman" w:hAnsi="Times New Roman" w:cs="Times New Roman"/>
          <w:sz w:val="24"/>
          <w:szCs w:val="24"/>
        </w:rPr>
        <w:t xml:space="preserve">seeking the nullification of the afore-stated mortgage transaction </w:t>
      </w:r>
      <w:r w:rsidR="00BF6129" w:rsidRPr="000346A7">
        <w:rPr>
          <w:rFonts w:ascii="Times New Roman" w:hAnsi="Times New Roman" w:cs="Times New Roman"/>
          <w:sz w:val="24"/>
          <w:szCs w:val="24"/>
        </w:rPr>
        <w:t xml:space="preserve">and a permanent injunction restraining the </w:t>
      </w:r>
      <w:r w:rsidR="00993B7F" w:rsidRPr="000346A7">
        <w:rPr>
          <w:rFonts w:ascii="Times New Roman" w:hAnsi="Times New Roman" w:cs="Times New Roman"/>
          <w:sz w:val="24"/>
          <w:szCs w:val="24"/>
        </w:rPr>
        <w:t>fifth</w:t>
      </w:r>
      <w:r w:rsidR="00BF6129" w:rsidRPr="000346A7">
        <w:rPr>
          <w:rFonts w:ascii="Times New Roman" w:hAnsi="Times New Roman" w:cs="Times New Roman"/>
          <w:sz w:val="24"/>
          <w:szCs w:val="24"/>
        </w:rPr>
        <w:t xml:space="preserve"> respondent from selling the mortgaged properties</w:t>
      </w:r>
      <w:r w:rsidR="00A87CD2" w:rsidRPr="000346A7">
        <w:rPr>
          <w:rFonts w:ascii="Times New Roman" w:hAnsi="Times New Roman" w:cs="Times New Roman"/>
          <w:sz w:val="24"/>
          <w:szCs w:val="24"/>
        </w:rPr>
        <w:t xml:space="preserve"> on account of absence of spousal consent and alleged fraud</w:t>
      </w:r>
      <w:r w:rsidR="00BF6129" w:rsidRPr="000346A7">
        <w:rPr>
          <w:rFonts w:ascii="Times New Roman" w:hAnsi="Times New Roman" w:cs="Times New Roman"/>
          <w:sz w:val="24"/>
          <w:szCs w:val="24"/>
        </w:rPr>
        <w:t xml:space="preserve">.  </w:t>
      </w:r>
      <w:r w:rsidR="009A7CAC" w:rsidRPr="000346A7">
        <w:rPr>
          <w:rFonts w:ascii="Times New Roman" w:hAnsi="Times New Roman" w:cs="Times New Roman"/>
          <w:sz w:val="24"/>
          <w:szCs w:val="24"/>
        </w:rPr>
        <w:t>The present application for a temporary injunction was subsequently filed to forestall the sale of the mortgaged property pending the determination of th</w:t>
      </w:r>
      <w:r w:rsidR="00A1369C" w:rsidRPr="000346A7">
        <w:rPr>
          <w:rFonts w:ascii="Times New Roman" w:hAnsi="Times New Roman" w:cs="Times New Roman"/>
          <w:sz w:val="24"/>
          <w:szCs w:val="24"/>
        </w:rPr>
        <w:t>at</w:t>
      </w:r>
      <w:r w:rsidR="009A7CAC" w:rsidRPr="000346A7">
        <w:rPr>
          <w:rFonts w:ascii="Times New Roman" w:hAnsi="Times New Roman" w:cs="Times New Roman"/>
          <w:sz w:val="24"/>
          <w:szCs w:val="24"/>
        </w:rPr>
        <w:t xml:space="preserve"> suit. </w:t>
      </w:r>
    </w:p>
    <w:p w:rsidR="00902AB8" w:rsidRPr="000346A7" w:rsidRDefault="00902AB8" w:rsidP="00902AB8">
      <w:pPr>
        <w:pStyle w:val="ListParagraph"/>
        <w:rPr>
          <w:rFonts w:ascii="Times New Roman" w:hAnsi="Times New Roman" w:cs="Times New Roman"/>
          <w:sz w:val="24"/>
          <w:szCs w:val="24"/>
        </w:rPr>
      </w:pPr>
    </w:p>
    <w:p w:rsidR="009A7CAC" w:rsidRPr="000346A7" w:rsidRDefault="009A7CAC" w:rsidP="00902AB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 At trial the applicants were represented by Messrs. George Muhangi and Edward Mukwaya, while Mr. Ernest Sembatya represented the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respondent.  In thei</w:t>
      </w:r>
      <w:r w:rsidR="00993B7F" w:rsidRPr="000346A7">
        <w:rPr>
          <w:rFonts w:ascii="Times New Roman" w:hAnsi="Times New Roman" w:cs="Times New Roman"/>
          <w:sz w:val="24"/>
          <w:szCs w:val="24"/>
        </w:rPr>
        <w:t>r written submissions, learned C</w:t>
      </w:r>
      <w:r w:rsidRPr="000346A7">
        <w:rPr>
          <w:rFonts w:ascii="Times New Roman" w:hAnsi="Times New Roman" w:cs="Times New Roman"/>
          <w:sz w:val="24"/>
          <w:szCs w:val="24"/>
        </w:rPr>
        <w:t xml:space="preserve">ounsel for the applicants referred this court to the cases of </w:t>
      </w:r>
      <w:r w:rsidRPr="000346A7">
        <w:rPr>
          <w:rFonts w:ascii="Times New Roman" w:hAnsi="Times New Roman" w:cs="Times New Roman"/>
          <w:b/>
          <w:sz w:val="24"/>
          <w:szCs w:val="24"/>
          <w:u w:val="single"/>
        </w:rPr>
        <w:t>Kiyimba Kaggwa vs. Katende (1985) HCB 43</w:t>
      </w:r>
      <w:r w:rsidRPr="000346A7">
        <w:rPr>
          <w:rFonts w:ascii="Times New Roman" w:hAnsi="Times New Roman" w:cs="Times New Roman"/>
          <w:sz w:val="24"/>
          <w:szCs w:val="24"/>
        </w:rPr>
        <w:t xml:space="preserve"> and </w:t>
      </w:r>
      <w:r w:rsidRPr="000346A7">
        <w:rPr>
          <w:rFonts w:ascii="Times New Roman" w:hAnsi="Times New Roman" w:cs="Times New Roman"/>
          <w:b/>
          <w:sz w:val="24"/>
          <w:szCs w:val="24"/>
          <w:u w:val="single"/>
        </w:rPr>
        <w:t>Giella vs. Casman Brown (1973) EA 358</w:t>
      </w:r>
      <w:r w:rsidRPr="000346A7">
        <w:rPr>
          <w:rFonts w:ascii="Times New Roman" w:hAnsi="Times New Roman" w:cs="Times New Roman"/>
          <w:sz w:val="24"/>
          <w:szCs w:val="24"/>
        </w:rPr>
        <w:t xml:space="preserve">, both of which were cited with approval in </w:t>
      </w:r>
      <w:r w:rsidRPr="000346A7">
        <w:rPr>
          <w:rFonts w:ascii="Times New Roman" w:hAnsi="Times New Roman" w:cs="Times New Roman"/>
          <w:b/>
          <w:sz w:val="24"/>
          <w:szCs w:val="24"/>
          <w:u w:val="single"/>
        </w:rPr>
        <w:t>Digital Solution vs. MTN Uganda Ltd High Court Misc Applic. No. 546 of 2004</w:t>
      </w:r>
      <w:r w:rsidR="0031605A" w:rsidRPr="000346A7">
        <w:rPr>
          <w:rFonts w:ascii="Times New Roman" w:hAnsi="Times New Roman" w:cs="Times New Roman"/>
          <w:b/>
          <w:sz w:val="24"/>
          <w:szCs w:val="24"/>
          <w:u w:val="single"/>
        </w:rPr>
        <w:t>,</w:t>
      </w:r>
      <w:r w:rsidRPr="000346A7">
        <w:rPr>
          <w:rFonts w:ascii="Times New Roman" w:hAnsi="Times New Roman" w:cs="Times New Roman"/>
          <w:sz w:val="24"/>
          <w:szCs w:val="24"/>
        </w:rPr>
        <w:t xml:space="preserve"> in exposition of the grounds for the grant of a temporary injunction.  Counsel re-stated the said grounds as follows:</w:t>
      </w:r>
    </w:p>
    <w:p w:rsidR="009A7CAC" w:rsidRPr="000346A7" w:rsidRDefault="009A7CAC" w:rsidP="009A7CAC">
      <w:pPr>
        <w:pStyle w:val="ListParagraph"/>
        <w:numPr>
          <w:ilvl w:val="0"/>
          <w:numId w:val="15"/>
        </w:numPr>
        <w:jc w:val="both"/>
        <w:rPr>
          <w:rFonts w:ascii="Times New Roman" w:hAnsi="Times New Roman" w:cs="Times New Roman"/>
          <w:i/>
          <w:sz w:val="24"/>
          <w:szCs w:val="24"/>
        </w:rPr>
      </w:pPr>
      <w:r w:rsidRPr="000346A7">
        <w:rPr>
          <w:rFonts w:ascii="Times New Roman" w:hAnsi="Times New Roman" w:cs="Times New Roman"/>
          <w:i/>
          <w:sz w:val="24"/>
          <w:szCs w:val="24"/>
        </w:rPr>
        <w:t>That an application must show a prima facie case with a probability of success.</w:t>
      </w:r>
    </w:p>
    <w:p w:rsidR="009A7CAC" w:rsidRPr="000346A7" w:rsidRDefault="009A7CAC" w:rsidP="009A7CAC">
      <w:pPr>
        <w:pStyle w:val="ListParagraph"/>
        <w:numPr>
          <w:ilvl w:val="0"/>
          <w:numId w:val="15"/>
        </w:numPr>
        <w:jc w:val="both"/>
        <w:rPr>
          <w:rFonts w:ascii="Times New Roman" w:hAnsi="Times New Roman" w:cs="Times New Roman"/>
          <w:i/>
          <w:sz w:val="24"/>
          <w:szCs w:val="24"/>
        </w:rPr>
      </w:pPr>
      <w:r w:rsidRPr="000346A7">
        <w:rPr>
          <w:rFonts w:ascii="Times New Roman" w:hAnsi="Times New Roman" w:cs="Times New Roman"/>
          <w:i/>
          <w:sz w:val="24"/>
          <w:szCs w:val="24"/>
        </w:rPr>
        <w:t>That an interlocutory injunction will not normally be granted unless the applicant might otherwise suffer irreparable injury which would not adequately be compensated by an award of damages.</w:t>
      </w:r>
    </w:p>
    <w:p w:rsidR="00902AB8" w:rsidRPr="000346A7" w:rsidRDefault="009A7CAC" w:rsidP="009A7CAC">
      <w:pPr>
        <w:pStyle w:val="ListParagraph"/>
        <w:numPr>
          <w:ilvl w:val="0"/>
          <w:numId w:val="15"/>
        </w:numPr>
        <w:jc w:val="both"/>
        <w:rPr>
          <w:rFonts w:ascii="Times New Roman" w:hAnsi="Times New Roman" w:cs="Times New Roman"/>
          <w:i/>
          <w:sz w:val="24"/>
          <w:szCs w:val="24"/>
        </w:rPr>
      </w:pPr>
      <w:r w:rsidRPr="000346A7">
        <w:rPr>
          <w:rFonts w:ascii="Times New Roman" w:hAnsi="Times New Roman" w:cs="Times New Roman"/>
          <w:i/>
          <w:sz w:val="24"/>
          <w:szCs w:val="24"/>
        </w:rPr>
        <w:t xml:space="preserve">If the court was in doubt it will decide an application on the </w:t>
      </w:r>
      <w:r w:rsidR="009F5808" w:rsidRPr="000346A7">
        <w:rPr>
          <w:rFonts w:ascii="Times New Roman" w:hAnsi="Times New Roman" w:cs="Times New Roman"/>
          <w:i/>
          <w:sz w:val="24"/>
          <w:szCs w:val="24"/>
        </w:rPr>
        <w:t>b</w:t>
      </w:r>
      <w:r w:rsidRPr="000346A7">
        <w:rPr>
          <w:rFonts w:ascii="Times New Roman" w:hAnsi="Times New Roman" w:cs="Times New Roman"/>
          <w:i/>
          <w:sz w:val="24"/>
          <w:szCs w:val="24"/>
        </w:rPr>
        <w:t xml:space="preserve">alance of convenience. </w:t>
      </w:r>
    </w:p>
    <w:p w:rsidR="00902AB8" w:rsidRPr="000346A7" w:rsidRDefault="009A7CAC" w:rsidP="009A7CAC">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It was Counsel’s contention that the substantive suit herein did establish a prima facie case against the respondents </w:t>
      </w:r>
      <w:r w:rsidR="00870F0E" w:rsidRPr="000346A7">
        <w:rPr>
          <w:rFonts w:ascii="Times New Roman" w:hAnsi="Times New Roman" w:cs="Times New Roman"/>
          <w:sz w:val="24"/>
          <w:szCs w:val="24"/>
        </w:rPr>
        <w:t xml:space="preserve">given the latters’ execution of mortgage deeds without requisite </w:t>
      </w:r>
      <w:r w:rsidRPr="000346A7">
        <w:rPr>
          <w:rFonts w:ascii="Times New Roman" w:hAnsi="Times New Roman" w:cs="Times New Roman"/>
          <w:sz w:val="24"/>
          <w:szCs w:val="24"/>
        </w:rPr>
        <w:t>spousal consent</w:t>
      </w:r>
      <w:r w:rsidR="00870F0E" w:rsidRPr="000346A7">
        <w:rPr>
          <w:rFonts w:ascii="Times New Roman" w:hAnsi="Times New Roman" w:cs="Times New Roman"/>
          <w:sz w:val="24"/>
          <w:szCs w:val="24"/>
        </w:rPr>
        <w:t>.</w:t>
      </w:r>
      <w:r w:rsidRPr="000346A7">
        <w:rPr>
          <w:rFonts w:ascii="Times New Roman" w:hAnsi="Times New Roman" w:cs="Times New Roman"/>
          <w:sz w:val="24"/>
          <w:szCs w:val="24"/>
        </w:rPr>
        <w:t xml:space="preserve">  </w:t>
      </w:r>
      <w:r w:rsidR="00870F0E" w:rsidRPr="000346A7">
        <w:rPr>
          <w:rFonts w:ascii="Times New Roman" w:hAnsi="Times New Roman" w:cs="Times New Roman"/>
          <w:sz w:val="24"/>
          <w:szCs w:val="24"/>
        </w:rPr>
        <w:t xml:space="preserve">Counsel </w:t>
      </w:r>
      <w:r w:rsidR="005A5772" w:rsidRPr="000346A7">
        <w:rPr>
          <w:rFonts w:ascii="Times New Roman" w:hAnsi="Times New Roman" w:cs="Times New Roman"/>
          <w:sz w:val="24"/>
          <w:szCs w:val="24"/>
        </w:rPr>
        <w:t>f</w:t>
      </w:r>
      <w:r w:rsidRPr="000346A7">
        <w:rPr>
          <w:rFonts w:ascii="Times New Roman" w:hAnsi="Times New Roman" w:cs="Times New Roman"/>
          <w:sz w:val="24"/>
          <w:szCs w:val="24"/>
        </w:rPr>
        <w:t xml:space="preserve">aulted Statutory Declarations </w:t>
      </w:r>
      <w:r w:rsidR="00870F0E" w:rsidRPr="000346A7">
        <w:rPr>
          <w:rFonts w:ascii="Times New Roman" w:hAnsi="Times New Roman" w:cs="Times New Roman"/>
          <w:sz w:val="24"/>
          <w:szCs w:val="24"/>
        </w:rPr>
        <w:t xml:space="preserve">deponed </w:t>
      </w:r>
      <w:r w:rsidRPr="000346A7">
        <w:rPr>
          <w:rFonts w:ascii="Times New Roman" w:hAnsi="Times New Roman" w:cs="Times New Roman"/>
          <w:sz w:val="24"/>
          <w:szCs w:val="24"/>
        </w:rPr>
        <w:t xml:space="preserve">by the </w:t>
      </w:r>
      <w:r w:rsidR="00934794" w:rsidRPr="000346A7">
        <w:rPr>
          <w:rFonts w:ascii="Times New Roman" w:hAnsi="Times New Roman" w:cs="Times New Roman"/>
          <w:sz w:val="24"/>
          <w:szCs w:val="24"/>
        </w:rPr>
        <w:t>second</w:t>
      </w:r>
      <w:r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Pr="000346A7">
        <w:rPr>
          <w:rFonts w:ascii="Times New Roman" w:hAnsi="Times New Roman" w:cs="Times New Roman"/>
          <w:sz w:val="24"/>
          <w:szCs w:val="24"/>
        </w:rPr>
        <w:t xml:space="preserve"> respondents</w:t>
      </w:r>
      <w:r w:rsidR="005A5772" w:rsidRPr="000346A7">
        <w:rPr>
          <w:rFonts w:ascii="Times New Roman" w:hAnsi="Times New Roman" w:cs="Times New Roman"/>
          <w:sz w:val="24"/>
          <w:szCs w:val="24"/>
        </w:rPr>
        <w:t xml:space="preserve"> in which they </w:t>
      </w:r>
      <w:r w:rsidR="00870F0E" w:rsidRPr="000346A7">
        <w:rPr>
          <w:rFonts w:ascii="Times New Roman" w:hAnsi="Times New Roman" w:cs="Times New Roman"/>
          <w:sz w:val="24"/>
          <w:szCs w:val="24"/>
        </w:rPr>
        <w:t>declar</w:t>
      </w:r>
      <w:r w:rsidR="005A5772" w:rsidRPr="000346A7">
        <w:rPr>
          <w:rFonts w:ascii="Times New Roman" w:hAnsi="Times New Roman" w:cs="Times New Roman"/>
          <w:sz w:val="24"/>
          <w:szCs w:val="24"/>
        </w:rPr>
        <w:t>ed</w:t>
      </w:r>
      <w:r w:rsidR="00870F0E" w:rsidRPr="000346A7">
        <w:rPr>
          <w:rFonts w:ascii="Times New Roman" w:hAnsi="Times New Roman" w:cs="Times New Roman"/>
          <w:sz w:val="24"/>
          <w:szCs w:val="24"/>
        </w:rPr>
        <w:t xml:space="preserve"> themselves un</w:t>
      </w:r>
      <w:r w:rsidRPr="000346A7">
        <w:rPr>
          <w:rFonts w:ascii="Times New Roman" w:hAnsi="Times New Roman" w:cs="Times New Roman"/>
          <w:sz w:val="24"/>
          <w:szCs w:val="24"/>
        </w:rPr>
        <w:t>married</w:t>
      </w:r>
      <w:r w:rsidR="00870F0E" w:rsidRPr="000346A7">
        <w:rPr>
          <w:rFonts w:ascii="Times New Roman" w:hAnsi="Times New Roman" w:cs="Times New Roman"/>
          <w:sz w:val="24"/>
          <w:szCs w:val="24"/>
        </w:rPr>
        <w:t>,</w:t>
      </w:r>
      <w:r w:rsidRPr="000346A7">
        <w:rPr>
          <w:rFonts w:ascii="Times New Roman" w:hAnsi="Times New Roman" w:cs="Times New Roman"/>
          <w:sz w:val="24"/>
          <w:szCs w:val="24"/>
        </w:rPr>
        <w:t xml:space="preserve"> for having been deponed </w:t>
      </w:r>
      <w:r w:rsidR="00870F0E" w:rsidRPr="000346A7">
        <w:rPr>
          <w:rFonts w:ascii="Times New Roman" w:hAnsi="Times New Roman" w:cs="Times New Roman"/>
          <w:sz w:val="24"/>
          <w:szCs w:val="24"/>
        </w:rPr>
        <w:t xml:space="preserve">a </w:t>
      </w:r>
      <w:r w:rsidR="00C3461E" w:rsidRPr="000346A7">
        <w:rPr>
          <w:rFonts w:ascii="Times New Roman" w:hAnsi="Times New Roman" w:cs="Times New Roman"/>
          <w:sz w:val="24"/>
          <w:szCs w:val="24"/>
        </w:rPr>
        <w:t xml:space="preserve">day </w:t>
      </w:r>
      <w:r w:rsidRPr="000346A7">
        <w:rPr>
          <w:rFonts w:ascii="Times New Roman" w:hAnsi="Times New Roman" w:cs="Times New Roman"/>
          <w:sz w:val="24"/>
          <w:szCs w:val="24"/>
        </w:rPr>
        <w:t>after the execution of the mortgage deeds in question</w:t>
      </w:r>
      <w:r w:rsidR="00C3461E" w:rsidRPr="000346A7">
        <w:rPr>
          <w:rFonts w:ascii="Times New Roman" w:hAnsi="Times New Roman" w:cs="Times New Roman"/>
          <w:sz w:val="24"/>
          <w:szCs w:val="24"/>
        </w:rPr>
        <w:t xml:space="preserve">.  </w:t>
      </w:r>
      <w:r w:rsidR="00993B7F" w:rsidRPr="000346A7">
        <w:rPr>
          <w:rFonts w:ascii="Times New Roman" w:hAnsi="Times New Roman" w:cs="Times New Roman"/>
          <w:sz w:val="24"/>
          <w:szCs w:val="24"/>
        </w:rPr>
        <w:t xml:space="preserve">Counsel </w:t>
      </w:r>
      <w:r w:rsidRPr="000346A7">
        <w:rPr>
          <w:rFonts w:ascii="Times New Roman" w:hAnsi="Times New Roman" w:cs="Times New Roman"/>
          <w:sz w:val="24"/>
          <w:szCs w:val="24"/>
        </w:rPr>
        <w:t xml:space="preserve">argued that securing such declarations after the event did not legalise a mortgage deed that had been illegally executed without spousal consent.  </w:t>
      </w:r>
      <w:r w:rsidR="0071684C" w:rsidRPr="000346A7">
        <w:rPr>
          <w:rFonts w:ascii="Times New Roman" w:hAnsi="Times New Roman" w:cs="Times New Roman"/>
          <w:sz w:val="24"/>
          <w:szCs w:val="24"/>
        </w:rPr>
        <w:t xml:space="preserve">They </w:t>
      </w:r>
      <w:r w:rsidR="00870F0E" w:rsidRPr="000346A7">
        <w:rPr>
          <w:rFonts w:ascii="Times New Roman" w:hAnsi="Times New Roman" w:cs="Times New Roman"/>
          <w:sz w:val="24"/>
          <w:szCs w:val="24"/>
        </w:rPr>
        <w:t xml:space="preserve">questioned the authenticity of </w:t>
      </w:r>
      <w:r w:rsidRPr="000346A7">
        <w:rPr>
          <w:rFonts w:ascii="Times New Roman" w:hAnsi="Times New Roman" w:cs="Times New Roman"/>
          <w:sz w:val="24"/>
          <w:szCs w:val="24"/>
        </w:rPr>
        <w:t xml:space="preserve">personal guarantees and </w:t>
      </w:r>
      <w:r w:rsidRPr="000346A7">
        <w:rPr>
          <w:rFonts w:ascii="Times New Roman" w:hAnsi="Times New Roman" w:cs="Times New Roman"/>
          <w:sz w:val="24"/>
          <w:szCs w:val="24"/>
        </w:rPr>
        <w:lastRenderedPageBreak/>
        <w:t xml:space="preserve">statutory declarations attributed to the </w:t>
      </w:r>
      <w:r w:rsidR="00934794" w:rsidRPr="000346A7">
        <w:rPr>
          <w:rFonts w:ascii="Times New Roman" w:hAnsi="Times New Roman" w:cs="Times New Roman"/>
          <w:sz w:val="24"/>
          <w:szCs w:val="24"/>
        </w:rPr>
        <w:t>second</w:t>
      </w:r>
      <w:r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Pr="000346A7">
        <w:rPr>
          <w:rFonts w:ascii="Times New Roman" w:hAnsi="Times New Roman" w:cs="Times New Roman"/>
          <w:sz w:val="24"/>
          <w:szCs w:val="24"/>
        </w:rPr>
        <w:t xml:space="preserve"> respondents; a</w:t>
      </w:r>
      <w:r w:rsidR="00870F0E" w:rsidRPr="000346A7">
        <w:rPr>
          <w:rFonts w:ascii="Times New Roman" w:hAnsi="Times New Roman" w:cs="Times New Roman"/>
          <w:sz w:val="24"/>
          <w:szCs w:val="24"/>
        </w:rPr>
        <w:t xml:space="preserve">s well as </w:t>
      </w:r>
      <w:r w:rsidRPr="000346A7">
        <w:rPr>
          <w:rFonts w:ascii="Times New Roman" w:hAnsi="Times New Roman" w:cs="Times New Roman"/>
          <w:sz w:val="24"/>
          <w:szCs w:val="24"/>
        </w:rPr>
        <w:t xml:space="preserve">the resolutions purportedly endorsed by the </w:t>
      </w:r>
      <w:r w:rsidR="007F7375" w:rsidRPr="000346A7">
        <w:rPr>
          <w:rFonts w:ascii="Times New Roman" w:hAnsi="Times New Roman" w:cs="Times New Roman"/>
          <w:sz w:val="24"/>
          <w:szCs w:val="24"/>
        </w:rPr>
        <w:t xml:space="preserve">first </w:t>
      </w:r>
      <w:r w:rsidRPr="000346A7">
        <w:rPr>
          <w:rFonts w:ascii="Times New Roman" w:hAnsi="Times New Roman" w:cs="Times New Roman"/>
          <w:sz w:val="24"/>
          <w:szCs w:val="24"/>
        </w:rPr>
        <w:t xml:space="preserve">applicant or any document purportedly executed by her with the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respondent.  It was Counsel’s </w:t>
      </w:r>
      <w:r w:rsidR="00870F0E" w:rsidRPr="000346A7">
        <w:rPr>
          <w:rFonts w:ascii="Times New Roman" w:hAnsi="Times New Roman" w:cs="Times New Roman"/>
          <w:sz w:val="24"/>
          <w:szCs w:val="24"/>
        </w:rPr>
        <w:t>submission</w:t>
      </w:r>
      <w:r w:rsidRPr="000346A7">
        <w:rPr>
          <w:rFonts w:ascii="Times New Roman" w:hAnsi="Times New Roman" w:cs="Times New Roman"/>
          <w:sz w:val="24"/>
          <w:szCs w:val="24"/>
        </w:rPr>
        <w:t xml:space="preserve"> that the </w:t>
      </w:r>
      <w:r w:rsidR="007F7375" w:rsidRPr="000346A7">
        <w:rPr>
          <w:rFonts w:ascii="Times New Roman" w:hAnsi="Times New Roman" w:cs="Times New Roman"/>
          <w:sz w:val="24"/>
          <w:szCs w:val="24"/>
        </w:rPr>
        <w:t xml:space="preserve">first </w:t>
      </w:r>
      <w:r w:rsidRPr="000346A7">
        <w:rPr>
          <w:rFonts w:ascii="Times New Roman" w:hAnsi="Times New Roman" w:cs="Times New Roman"/>
          <w:sz w:val="24"/>
          <w:szCs w:val="24"/>
        </w:rPr>
        <w:t xml:space="preserve">and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respondents had fraudulently colluded to execute the mortgage transaction in issue.  Counsel further contended that the sale of the suit premises would cause irreparable injury to the applicants given that they </w:t>
      </w:r>
      <w:r w:rsidR="00993B7F" w:rsidRPr="000346A7">
        <w:rPr>
          <w:rFonts w:ascii="Times New Roman" w:hAnsi="Times New Roman" w:cs="Times New Roman"/>
          <w:sz w:val="24"/>
          <w:szCs w:val="24"/>
        </w:rPr>
        <w:t>were</w:t>
      </w:r>
      <w:r w:rsidRPr="000346A7">
        <w:rPr>
          <w:rFonts w:ascii="Times New Roman" w:hAnsi="Times New Roman" w:cs="Times New Roman"/>
          <w:sz w:val="24"/>
          <w:szCs w:val="24"/>
        </w:rPr>
        <w:t xml:space="preserve"> the</w:t>
      </w:r>
      <w:r w:rsidR="00870F0E" w:rsidRPr="000346A7">
        <w:rPr>
          <w:rFonts w:ascii="Times New Roman" w:hAnsi="Times New Roman" w:cs="Times New Roman"/>
          <w:sz w:val="24"/>
          <w:szCs w:val="24"/>
        </w:rPr>
        <w:t>ir</w:t>
      </w:r>
      <w:r w:rsidRPr="000346A7">
        <w:rPr>
          <w:rFonts w:ascii="Times New Roman" w:hAnsi="Times New Roman" w:cs="Times New Roman"/>
          <w:sz w:val="24"/>
          <w:szCs w:val="24"/>
        </w:rPr>
        <w:t xml:space="preserve"> matrimonial </w:t>
      </w:r>
      <w:r w:rsidR="00993B7F" w:rsidRPr="000346A7">
        <w:rPr>
          <w:rFonts w:ascii="Times New Roman" w:hAnsi="Times New Roman" w:cs="Times New Roman"/>
          <w:sz w:val="24"/>
          <w:szCs w:val="24"/>
        </w:rPr>
        <w:t>homes</w:t>
      </w:r>
      <w:r w:rsidR="008524AF" w:rsidRPr="000346A7">
        <w:rPr>
          <w:rFonts w:ascii="Times New Roman" w:hAnsi="Times New Roman" w:cs="Times New Roman"/>
          <w:sz w:val="24"/>
          <w:szCs w:val="24"/>
        </w:rPr>
        <w:t xml:space="preserve">, </w:t>
      </w:r>
      <w:r w:rsidRPr="000346A7">
        <w:rPr>
          <w:rFonts w:ascii="Times New Roman" w:hAnsi="Times New Roman" w:cs="Times New Roman"/>
          <w:sz w:val="24"/>
          <w:szCs w:val="24"/>
        </w:rPr>
        <w:t>they derive</w:t>
      </w:r>
      <w:r w:rsidR="008524AF" w:rsidRPr="000346A7">
        <w:rPr>
          <w:rFonts w:ascii="Times New Roman" w:hAnsi="Times New Roman" w:cs="Times New Roman"/>
          <w:sz w:val="24"/>
          <w:szCs w:val="24"/>
        </w:rPr>
        <w:t>d</w:t>
      </w:r>
      <w:r w:rsidRPr="000346A7">
        <w:rPr>
          <w:rFonts w:ascii="Times New Roman" w:hAnsi="Times New Roman" w:cs="Times New Roman"/>
          <w:sz w:val="24"/>
          <w:szCs w:val="24"/>
        </w:rPr>
        <w:t xml:space="preserve"> a livelihood</w:t>
      </w:r>
      <w:r w:rsidR="008524AF" w:rsidRPr="000346A7">
        <w:rPr>
          <w:rFonts w:ascii="Times New Roman" w:hAnsi="Times New Roman" w:cs="Times New Roman"/>
          <w:sz w:val="24"/>
          <w:szCs w:val="24"/>
        </w:rPr>
        <w:t xml:space="preserve"> therefrom</w:t>
      </w:r>
      <w:r w:rsidRPr="000346A7">
        <w:rPr>
          <w:rFonts w:ascii="Times New Roman" w:hAnsi="Times New Roman" w:cs="Times New Roman"/>
          <w:sz w:val="24"/>
          <w:szCs w:val="24"/>
        </w:rPr>
        <w:t xml:space="preserve">, </w:t>
      </w:r>
      <w:r w:rsidR="008524AF" w:rsidRPr="000346A7">
        <w:rPr>
          <w:rFonts w:ascii="Times New Roman" w:hAnsi="Times New Roman" w:cs="Times New Roman"/>
          <w:sz w:val="24"/>
          <w:szCs w:val="24"/>
        </w:rPr>
        <w:t xml:space="preserve">and consequently no amount of damages could </w:t>
      </w:r>
      <w:r w:rsidRPr="000346A7">
        <w:rPr>
          <w:rFonts w:ascii="Times New Roman" w:hAnsi="Times New Roman" w:cs="Times New Roman"/>
          <w:sz w:val="24"/>
          <w:szCs w:val="24"/>
        </w:rPr>
        <w:t>adequately compensate the</w:t>
      </w:r>
      <w:r w:rsidR="008524AF" w:rsidRPr="000346A7">
        <w:rPr>
          <w:rFonts w:ascii="Times New Roman" w:hAnsi="Times New Roman" w:cs="Times New Roman"/>
          <w:sz w:val="24"/>
          <w:szCs w:val="24"/>
        </w:rPr>
        <w:t>ir</w:t>
      </w:r>
      <w:r w:rsidRPr="000346A7">
        <w:rPr>
          <w:rFonts w:ascii="Times New Roman" w:hAnsi="Times New Roman" w:cs="Times New Roman"/>
          <w:sz w:val="24"/>
          <w:szCs w:val="24"/>
        </w:rPr>
        <w:t xml:space="preserve"> loss</w:t>
      </w:r>
      <w:r w:rsidR="008524AF" w:rsidRPr="000346A7">
        <w:rPr>
          <w:rFonts w:ascii="Times New Roman" w:hAnsi="Times New Roman" w:cs="Times New Roman"/>
          <w:sz w:val="24"/>
          <w:szCs w:val="24"/>
        </w:rPr>
        <w:t>.</w:t>
      </w:r>
      <w:r w:rsidRPr="000346A7">
        <w:rPr>
          <w:rFonts w:ascii="Times New Roman" w:hAnsi="Times New Roman" w:cs="Times New Roman"/>
          <w:sz w:val="24"/>
          <w:szCs w:val="24"/>
        </w:rPr>
        <w:t xml:space="preserve">  Finally, Counsel argued that the balance of convenience in this matter favoured the applicants given the inconvenience their families stood to suffer if their matrimonial homes were sold</w:t>
      </w:r>
      <w:r w:rsidR="008524AF" w:rsidRPr="000346A7">
        <w:rPr>
          <w:rFonts w:ascii="Times New Roman" w:hAnsi="Times New Roman" w:cs="Times New Roman"/>
          <w:sz w:val="24"/>
          <w:szCs w:val="24"/>
        </w:rPr>
        <w:t>.</w:t>
      </w:r>
      <w:r w:rsidRPr="000346A7">
        <w:rPr>
          <w:rFonts w:ascii="Times New Roman" w:hAnsi="Times New Roman" w:cs="Times New Roman"/>
          <w:sz w:val="24"/>
          <w:szCs w:val="24"/>
        </w:rPr>
        <w:t xml:space="preserve"> </w:t>
      </w:r>
    </w:p>
    <w:p w:rsidR="009A7CAC" w:rsidRPr="000346A7" w:rsidRDefault="009A7CAC" w:rsidP="00902AB8">
      <w:pPr>
        <w:pStyle w:val="ListParagraph"/>
        <w:ind w:left="360"/>
        <w:jc w:val="both"/>
        <w:rPr>
          <w:rFonts w:ascii="Times New Roman" w:hAnsi="Times New Roman" w:cs="Times New Roman"/>
          <w:sz w:val="24"/>
          <w:szCs w:val="24"/>
        </w:rPr>
      </w:pPr>
      <w:r w:rsidRPr="000346A7">
        <w:rPr>
          <w:rFonts w:ascii="Times New Roman" w:hAnsi="Times New Roman" w:cs="Times New Roman"/>
          <w:sz w:val="24"/>
          <w:szCs w:val="24"/>
        </w:rPr>
        <w:t xml:space="preserve"> </w:t>
      </w:r>
    </w:p>
    <w:p w:rsidR="006B17E7" w:rsidRPr="000346A7" w:rsidRDefault="0050724E" w:rsidP="009A7CAC">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The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respondent, </w:t>
      </w:r>
      <w:r w:rsidR="00993B7F" w:rsidRPr="000346A7">
        <w:rPr>
          <w:rFonts w:ascii="Times New Roman" w:hAnsi="Times New Roman" w:cs="Times New Roman"/>
          <w:sz w:val="24"/>
          <w:szCs w:val="24"/>
        </w:rPr>
        <w:t xml:space="preserve">on the other hand, </w:t>
      </w:r>
      <w:r w:rsidRPr="000346A7">
        <w:rPr>
          <w:rFonts w:ascii="Times New Roman" w:hAnsi="Times New Roman" w:cs="Times New Roman"/>
          <w:sz w:val="24"/>
          <w:szCs w:val="24"/>
        </w:rPr>
        <w:t xml:space="preserve">contested the applicants’ claim that they were not aware of the </w:t>
      </w:r>
      <w:r w:rsidR="008F22A6" w:rsidRPr="000346A7">
        <w:rPr>
          <w:rFonts w:ascii="Times New Roman" w:hAnsi="Times New Roman" w:cs="Times New Roman"/>
          <w:sz w:val="24"/>
          <w:szCs w:val="24"/>
        </w:rPr>
        <w:t>mortgage</w:t>
      </w:r>
      <w:r w:rsidRPr="000346A7">
        <w:rPr>
          <w:rFonts w:ascii="Times New Roman" w:hAnsi="Times New Roman" w:cs="Times New Roman"/>
          <w:sz w:val="24"/>
          <w:szCs w:val="24"/>
        </w:rPr>
        <w:t xml:space="preserve"> transaction</w:t>
      </w:r>
      <w:r w:rsidR="00A13D3F" w:rsidRPr="000346A7">
        <w:rPr>
          <w:rFonts w:ascii="Times New Roman" w:hAnsi="Times New Roman" w:cs="Times New Roman"/>
          <w:sz w:val="24"/>
          <w:szCs w:val="24"/>
        </w:rPr>
        <w:t>, arguing that the</w:t>
      </w:r>
      <w:r w:rsidR="0060209E" w:rsidRPr="000346A7">
        <w:rPr>
          <w:rFonts w:ascii="Times New Roman" w:hAnsi="Times New Roman" w:cs="Times New Roman"/>
          <w:sz w:val="24"/>
          <w:szCs w:val="24"/>
        </w:rPr>
        <w:t>y</w:t>
      </w:r>
      <w:r w:rsidR="00A13D3F" w:rsidRPr="000346A7">
        <w:rPr>
          <w:rFonts w:ascii="Times New Roman" w:hAnsi="Times New Roman" w:cs="Times New Roman"/>
          <w:sz w:val="24"/>
          <w:szCs w:val="24"/>
        </w:rPr>
        <w:t xml:space="preserve"> had </w:t>
      </w:r>
      <w:r w:rsidR="0060209E" w:rsidRPr="000346A7">
        <w:rPr>
          <w:rFonts w:ascii="Times New Roman" w:hAnsi="Times New Roman" w:cs="Times New Roman"/>
          <w:sz w:val="24"/>
          <w:szCs w:val="24"/>
        </w:rPr>
        <w:t xml:space="preserve">duly </w:t>
      </w:r>
      <w:r w:rsidR="00A13D3F" w:rsidRPr="000346A7">
        <w:rPr>
          <w:rFonts w:ascii="Times New Roman" w:hAnsi="Times New Roman" w:cs="Times New Roman"/>
          <w:sz w:val="24"/>
          <w:szCs w:val="24"/>
        </w:rPr>
        <w:t>executed Board Resolutions, mortgage deed</w:t>
      </w:r>
      <w:r w:rsidR="0060209E" w:rsidRPr="000346A7">
        <w:rPr>
          <w:rFonts w:ascii="Times New Roman" w:hAnsi="Times New Roman" w:cs="Times New Roman"/>
          <w:sz w:val="24"/>
          <w:szCs w:val="24"/>
        </w:rPr>
        <w:t>s</w:t>
      </w:r>
      <w:r w:rsidR="00A13D3F" w:rsidRPr="000346A7">
        <w:rPr>
          <w:rFonts w:ascii="Times New Roman" w:hAnsi="Times New Roman" w:cs="Times New Roman"/>
          <w:sz w:val="24"/>
          <w:szCs w:val="24"/>
        </w:rPr>
        <w:t xml:space="preserve">, </w:t>
      </w:r>
      <w:r w:rsidR="0060209E" w:rsidRPr="000346A7">
        <w:rPr>
          <w:rFonts w:ascii="Times New Roman" w:hAnsi="Times New Roman" w:cs="Times New Roman"/>
          <w:sz w:val="24"/>
          <w:szCs w:val="24"/>
        </w:rPr>
        <w:t xml:space="preserve">statutory declarations and a </w:t>
      </w:r>
      <w:r w:rsidR="00A13D3F" w:rsidRPr="000346A7">
        <w:rPr>
          <w:rFonts w:ascii="Times New Roman" w:hAnsi="Times New Roman" w:cs="Times New Roman"/>
          <w:sz w:val="24"/>
          <w:szCs w:val="24"/>
        </w:rPr>
        <w:t>Guarantee</w:t>
      </w:r>
      <w:r w:rsidR="0060209E" w:rsidRPr="000346A7">
        <w:rPr>
          <w:rFonts w:ascii="Times New Roman" w:hAnsi="Times New Roman" w:cs="Times New Roman"/>
          <w:sz w:val="24"/>
          <w:szCs w:val="24"/>
        </w:rPr>
        <w:t xml:space="preserve"> agreement</w:t>
      </w:r>
      <w:r w:rsidR="00A13D3F" w:rsidRPr="000346A7">
        <w:rPr>
          <w:rFonts w:ascii="Times New Roman" w:hAnsi="Times New Roman" w:cs="Times New Roman"/>
          <w:sz w:val="24"/>
          <w:szCs w:val="24"/>
        </w:rPr>
        <w:t xml:space="preserve"> </w:t>
      </w:r>
      <w:r w:rsidR="0060209E" w:rsidRPr="000346A7">
        <w:rPr>
          <w:rFonts w:ascii="Times New Roman" w:hAnsi="Times New Roman" w:cs="Times New Roman"/>
          <w:sz w:val="24"/>
          <w:szCs w:val="24"/>
        </w:rPr>
        <w:t xml:space="preserve">in support </w:t>
      </w:r>
      <w:r w:rsidR="008F22A6" w:rsidRPr="000346A7">
        <w:rPr>
          <w:rFonts w:ascii="Times New Roman" w:hAnsi="Times New Roman" w:cs="Times New Roman"/>
          <w:sz w:val="24"/>
          <w:szCs w:val="24"/>
        </w:rPr>
        <w:t>there</w:t>
      </w:r>
      <w:r w:rsidR="0060209E" w:rsidRPr="000346A7">
        <w:rPr>
          <w:rFonts w:ascii="Times New Roman" w:hAnsi="Times New Roman" w:cs="Times New Roman"/>
          <w:sz w:val="24"/>
          <w:szCs w:val="24"/>
        </w:rPr>
        <w:t>of</w:t>
      </w:r>
      <w:r w:rsidR="008F22A6" w:rsidRPr="000346A7">
        <w:rPr>
          <w:rFonts w:ascii="Times New Roman" w:hAnsi="Times New Roman" w:cs="Times New Roman"/>
          <w:sz w:val="24"/>
          <w:szCs w:val="24"/>
        </w:rPr>
        <w:t>.</w:t>
      </w:r>
      <w:r w:rsidRPr="000346A7">
        <w:rPr>
          <w:rFonts w:ascii="Times New Roman" w:hAnsi="Times New Roman" w:cs="Times New Roman"/>
          <w:sz w:val="24"/>
          <w:szCs w:val="24"/>
        </w:rPr>
        <w:t xml:space="preserve">  </w:t>
      </w:r>
      <w:r w:rsidR="00A13D3F" w:rsidRPr="000346A7">
        <w:rPr>
          <w:rFonts w:ascii="Times New Roman" w:hAnsi="Times New Roman" w:cs="Times New Roman"/>
          <w:sz w:val="24"/>
          <w:szCs w:val="24"/>
        </w:rPr>
        <w:t xml:space="preserve">It was argued for the </w:t>
      </w:r>
      <w:r w:rsidR="00993B7F" w:rsidRPr="000346A7">
        <w:rPr>
          <w:rFonts w:ascii="Times New Roman" w:hAnsi="Times New Roman" w:cs="Times New Roman"/>
          <w:sz w:val="24"/>
          <w:szCs w:val="24"/>
        </w:rPr>
        <w:t>fifth</w:t>
      </w:r>
      <w:r w:rsidR="00A13D3F" w:rsidRPr="000346A7">
        <w:rPr>
          <w:rFonts w:ascii="Times New Roman" w:hAnsi="Times New Roman" w:cs="Times New Roman"/>
          <w:sz w:val="24"/>
          <w:szCs w:val="24"/>
        </w:rPr>
        <w:t xml:space="preserve"> respondent that the </w:t>
      </w:r>
      <w:r w:rsidR="00934794" w:rsidRPr="000346A7">
        <w:rPr>
          <w:rFonts w:ascii="Times New Roman" w:hAnsi="Times New Roman" w:cs="Times New Roman"/>
          <w:sz w:val="24"/>
          <w:szCs w:val="24"/>
        </w:rPr>
        <w:t>second</w:t>
      </w:r>
      <w:r w:rsidR="00A13D3F" w:rsidRPr="000346A7">
        <w:rPr>
          <w:rFonts w:ascii="Times New Roman" w:hAnsi="Times New Roman" w:cs="Times New Roman"/>
          <w:sz w:val="24"/>
          <w:szCs w:val="24"/>
        </w:rPr>
        <w:t xml:space="preserve"> applicant granted spousal consent </w:t>
      </w:r>
      <w:r w:rsidR="00470179" w:rsidRPr="000346A7">
        <w:rPr>
          <w:rFonts w:ascii="Times New Roman" w:hAnsi="Times New Roman" w:cs="Times New Roman"/>
          <w:sz w:val="24"/>
          <w:szCs w:val="24"/>
        </w:rPr>
        <w:t xml:space="preserve">for the transaction </w:t>
      </w:r>
      <w:r w:rsidR="00A13D3F" w:rsidRPr="000346A7">
        <w:rPr>
          <w:rFonts w:ascii="Times New Roman" w:hAnsi="Times New Roman" w:cs="Times New Roman"/>
          <w:sz w:val="24"/>
          <w:szCs w:val="24"/>
        </w:rPr>
        <w:t>by Statutory Declaration,</w:t>
      </w:r>
      <w:r w:rsidR="006B17E7" w:rsidRPr="000346A7">
        <w:rPr>
          <w:rFonts w:ascii="Times New Roman" w:hAnsi="Times New Roman" w:cs="Times New Roman"/>
          <w:sz w:val="24"/>
          <w:szCs w:val="24"/>
        </w:rPr>
        <w:t xml:space="preserve"> while the </w:t>
      </w:r>
      <w:r w:rsidR="00934794" w:rsidRPr="000346A7">
        <w:rPr>
          <w:rFonts w:ascii="Times New Roman" w:hAnsi="Times New Roman" w:cs="Times New Roman"/>
          <w:sz w:val="24"/>
          <w:szCs w:val="24"/>
        </w:rPr>
        <w:t>second</w:t>
      </w:r>
      <w:r w:rsidR="006B17E7"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6B17E7" w:rsidRPr="000346A7">
        <w:rPr>
          <w:rFonts w:ascii="Times New Roman" w:hAnsi="Times New Roman" w:cs="Times New Roman"/>
          <w:sz w:val="24"/>
          <w:szCs w:val="24"/>
        </w:rPr>
        <w:t xml:space="preserve"> respondents swor</w:t>
      </w:r>
      <w:r w:rsidR="0060209E" w:rsidRPr="000346A7">
        <w:rPr>
          <w:rFonts w:ascii="Times New Roman" w:hAnsi="Times New Roman" w:cs="Times New Roman"/>
          <w:sz w:val="24"/>
          <w:szCs w:val="24"/>
        </w:rPr>
        <w:t>e</w:t>
      </w:r>
      <w:r w:rsidR="006B17E7" w:rsidRPr="000346A7">
        <w:rPr>
          <w:rFonts w:ascii="Times New Roman" w:hAnsi="Times New Roman" w:cs="Times New Roman"/>
          <w:sz w:val="24"/>
          <w:szCs w:val="24"/>
        </w:rPr>
        <w:t xml:space="preserve"> Declarations that they were not married and therefore did not require spousal consent. </w:t>
      </w:r>
      <w:r w:rsidR="00322568" w:rsidRPr="000346A7">
        <w:rPr>
          <w:rFonts w:ascii="Times New Roman" w:hAnsi="Times New Roman" w:cs="Times New Roman"/>
          <w:sz w:val="24"/>
          <w:szCs w:val="24"/>
        </w:rPr>
        <w:t xml:space="preserve"> Learned Counsel contended that no proof of marriage was furnished by the </w:t>
      </w:r>
      <w:r w:rsidR="00BC758D" w:rsidRPr="000346A7">
        <w:rPr>
          <w:rFonts w:ascii="Times New Roman" w:hAnsi="Times New Roman" w:cs="Times New Roman"/>
          <w:sz w:val="24"/>
          <w:szCs w:val="24"/>
        </w:rPr>
        <w:t>third</w:t>
      </w:r>
      <w:r w:rsidR="00322568" w:rsidRPr="000346A7">
        <w:rPr>
          <w:rFonts w:ascii="Times New Roman" w:hAnsi="Times New Roman" w:cs="Times New Roman"/>
          <w:sz w:val="24"/>
          <w:szCs w:val="24"/>
        </w:rPr>
        <w:t xml:space="preserve"> and </w:t>
      </w:r>
      <w:r w:rsidR="00645B91" w:rsidRPr="000346A7">
        <w:rPr>
          <w:rFonts w:ascii="Times New Roman" w:hAnsi="Times New Roman" w:cs="Times New Roman"/>
          <w:sz w:val="24"/>
          <w:szCs w:val="24"/>
        </w:rPr>
        <w:t>fourth</w:t>
      </w:r>
      <w:r w:rsidR="00322568" w:rsidRPr="000346A7">
        <w:rPr>
          <w:rFonts w:ascii="Times New Roman" w:hAnsi="Times New Roman" w:cs="Times New Roman"/>
          <w:sz w:val="24"/>
          <w:szCs w:val="24"/>
        </w:rPr>
        <w:t xml:space="preserve"> </w:t>
      </w:r>
      <w:r w:rsidR="003300E3" w:rsidRPr="000346A7">
        <w:rPr>
          <w:rFonts w:ascii="Times New Roman" w:hAnsi="Times New Roman" w:cs="Times New Roman"/>
          <w:sz w:val="24"/>
          <w:szCs w:val="24"/>
        </w:rPr>
        <w:t>applicants</w:t>
      </w:r>
      <w:r w:rsidR="00322568" w:rsidRPr="000346A7">
        <w:rPr>
          <w:rFonts w:ascii="Times New Roman" w:hAnsi="Times New Roman" w:cs="Times New Roman"/>
          <w:sz w:val="24"/>
          <w:szCs w:val="24"/>
        </w:rPr>
        <w:t xml:space="preserve"> neither did any of the applicants file an affidavit of rebuttal in respect of the Statutory Declarations relied upon by the </w:t>
      </w:r>
      <w:r w:rsidR="00993B7F" w:rsidRPr="000346A7">
        <w:rPr>
          <w:rFonts w:ascii="Times New Roman" w:hAnsi="Times New Roman" w:cs="Times New Roman"/>
          <w:sz w:val="24"/>
          <w:szCs w:val="24"/>
        </w:rPr>
        <w:t>fifth</w:t>
      </w:r>
      <w:r w:rsidR="00322568" w:rsidRPr="000346A7">
        <w:rPr>
          <w:rFonts w:ascii="Times New Roman" w:hAnsi="Times New Roman" w:cs="Times New Roman"/>
          <w:sz w:val="24"/>
          <w:szCs w:val="24"/>
        </w:rPr>
        <w:t xml:space="preserve"> respondent.</w:t>
      </w:r>
      <w:r w:rsidR="006B17E7" w:rsidRPr="000346A7">
        <w:rPr>
          <w:rFonts w:ascii="Times New Roman" w:hAnsi="Times New Roman" w:cs="Times New Roman"/>
          <w:sz w:val="24"/>
          <w:szCs w:val="24"/>
        </w:rPr>
        <w:t xml:space="preserve"> </w:t>
      </w:r>
      <w:r w:rsidR="009A7CAC" w:rsidRPr="000346A7">
        <w:rPr>
          <w:rFonts w:ascii="Times New Roman" w:hAnsi="Times New Roman" w:cs="Times New Roman"/>
          <w:sz w:val="24"/>
          <w:szCs w:val="24"/>
        </w:rPr>
        <w:t xml:space="preserve"> </w:t>
      </w:r>
      <w:r w:rsidR="0060209E" w:rsidRPr="000346A7">
        <w:rPr>
          <w:rFonts w:ascii="Times New Roman" w:hAnsi="Times New Roman" w:cs="Times New Roman"/>
          <w:sz w:val="24"/>
          <w:szCs w:val="24"/>
        </w:rPr>
        <w:t xml:space="preserve">It was </w:t>
      </w:r>
      <w:r w:rsidR="00C3461E" w:rsidRPr="000346A7">
        <w:rPr>
          <w:rFonts w:ascii="Times New Roman" w:hAnsi="Times New Roman" w:cs="Times New Roman"/>
          <w:sz w:val="24"/>
          <w:szCs w:val="24"/>
        </w:rPr>
        <w:t>Counsel</w:t>
      </w:r>
      <w:r w:rsidR="0060209E" w:rsidRPr="000346A7">
        <w:rPr>
          <w:rFonts w:ascii="Times New Roman" w:hAnsi="Times New Roman" w:cs="Times New Roman"/>
          <w:sz w:val="24"/>
          <w:szCs w:val="24"/>
        </w:rPr>
        <w:t xml:space="preserve">’s submission </w:t>
      </w:r>
      <w:r w:rsidR="00C3461E" w:rsidRPr="000346A7">
        <w:rPr>
          <w:rFonts w:ascii="Times New Roman" w:hAnsi="Times New Roman" w:cs="Times New Roman"/>
          <w:sz w:val="24"/>
          <w:szCs w:val="24"/>
        </w:rPr>
        <w:t xml:space="preserve">that the deponement of the said Declarations a day after the execution of the mortgage deeds </w:t>
      </w:r>
      <w:r w:rsidR="00470179" w:rsidRPr="000346A7">
        <w:rPr>
          <w:rFonts w:ascii="Times New Roman" w:hAnsi="Times New Roman" w:cs="Times New Roman"/>
          <w:sz w:val="24"/>
          <w:szCs w:val="24"/>
        </w:rPr>
        <w:t xml:space="preserve">was inconsequential </w:t>
      </w:r>
      <w:r w:rsidR="00C3461E" w:rsidRPr="000346A7">
        <w:rPr>
          <w:rFonts w:ascii="Times New Roman" w:hAnsi="Times New Roman" w:cs="Times New Roman"/>
          <w:sz w:val="24"/>
          <w:szCs w:val="24"/>
        </w:rPr>
        <w:t xml:space="preserve">as the Deeds were </w:t>
      </w:r>
      <w:r w:rsidR="0060209E" w:rsidRPr="000346A7">
        <w:rPr>
          <w:rFonts w:ascii="Times New Roman" w:hAnsi="Times New Roman" w:cs="Times New Roman"/>
          <w:sz w:val="24"/>
          <w:szCs w:val="24"/>
        </w:rPr>
        <w:t xml:space="preserve">subsequently </w:t>
      </w:r>
      <w:r w:rsidR="00C3461E" w:rsidRPr="000346A7">
        <w:rPr>
          <w:rFonts w:ascii="Times New Roman" w:hAnsi="Times New Roman" w:cs="Times New Roman"/>
          <w:sz w:val="24"/>
          <w:szCs w:val="24"/>
        </w:rPr>
        <w:t>registered and took legal effect on 1</w:t>
      </w:r>
      <w:r w:rsidR="00470179" w:rsidRPr="000346A7">
        <w:rPr>
          <w:rFonts w:ascii="Times New Roman" w:hAnsi="Times New Roman" w:cs="Times New Roman"/>
          <w:sz w:val="24"/>
          <w:szCs w:val="24"/>
        </w:rPr>
        <w:t>5</w:t>
      </w:r>
      <w:r w:rsidR="00470179" w:rsidRPr="000346A7">
        <w:rPr>
          <w:rFonts w:ascii="Times New Roman" w:hAnsi="Times New Roman" w:cs="Times New Roman"/>
          <w:sz w:val="24"/>
          <w:szCs w:val="24"/>
          <w:vertAlign w:val="superscript"/>
        </w:rPr>
        <w:t>th</w:t>
      </w:r>
      <w:r w:rsidR="00470179" w:rsidRPr="000346A7">
        <w:rPr>
          <w:rFonts w:ascii="Times New Roman" w:hAnsi="Times New Roman" w:cs="Times New Roman"/>
          <w:sz w:val="24"/>
          <w:szCs w:val="24"/>
        </w:rPr>
        <w:t xml:space="preserve"> </w:t>
      </w:r>
      <w:r w:rsidR="00C3461E" w:rsidRPr="000346A7">
        <w:rPr>
          <w:rFonts w:ascii="Times New Roman" w:hAnsi="Times New Roman" w:cs="Times New Roman"/>
          <w:sz w:val="24"/>
          <w:szCs w:val="24"/>
        </w:rPr>
        <w:t>August 2011, well after securing the requisite consent.  Counsel faulted the applicants for raising the question of fraud with no particulars or mention thereof in the supporting affidavit.</w:t>
      </w:r>
    </w:p>
    <w:p w:rsidR="0060209E" w:rsidRPr="000346A7" w:rsidRDefault="0060209E" w:rsidP="0060209E">
      <w:pPr>
        <w:pStyle w:val="ListParagraph"/>
        <w:ind w:left="360"/>
        <w:jc w:val="both"/>
        <w:rPr>
          <w:rFonts w:ascii="Times New Roman" w:hAnsi="Times New Roman" w:cs="Times New Roman"/>
          <w:sz w:val="24"/>
          <w:szCs w:val="24"/>
        </w:rPr>
      </w:pPr>
    </w:p>
    <w:p w:rsidR="003300E3" w:rsidRPr="000346A7" w:rsidRDefault="009A7CAC" w:rsidP="003300E3">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On the issue of irreparable damage, </w:t>
      </w:r>
      <w:r w:rsidR="00535120" w:rsidRPr="000346A7">
        <w:rPr>
          <w:rFonts w:ascii="Times New Roman" w:hAnsi="Times New Roman" w:cs="Times New Roman"/>
          <w:sz w:val="24"/>
          <w:szCs w:val="24"/>
        </w:rPr>
        <w:t>learned C</w:t>
      </w:r>
      <w:r w:rsidR="00EC2CEA" w:rsidRPr="000346A7">
        <w:rPr>
          <w:rFonts w:ascii="Times New Roman" w:hAnsi="Times New Roman" w:cs="Times New Roman"/>
          <w:sz w:val="24"/>
          <w:szCs w:val="24"/>
        </w:rPr>
        <w:t xml:space="preserve">ounsel advanced the position in </w:t>
      </w:r>
      <w:r w:rsidR="00EC2CEA" w:rsidRPr="000346A7">
        <w:rPr>
          <w:rFonts w:ascii="Times New Roman" w:hAnsi="Times New Roman" w:cs="Times New Roman"/>
          <w:b/>
          <w:sz w:val="24"/>
          <w:szCs w:val="24"/>
          <w:u w:val="single"/>
        </w:rPr>
        <w:t>Kakooza Abdulla vs. Stanbic Bank Uganda Ltd Misc. Applic. No. 614 of 2012</w:t>
      </w:r>
      <w:r w:rsidR="00EC2CEA" w:rsidRPr="000346A7">
        <w:rPr>
          <w:rFonts w:ascii="Times New Roman" w:hAnsi="Times New Roman" w:cs="Times New Roman"/>
          <w:sz w:val="24"/>
          <w:szCs w:val="24"/>
        </w:rPr>
        <w:t xml:space="preserve">, </w:t>
      </w:r>
      <w:r w:rsidR="004F2BF1" w:rsidRPr="000346A7">
        <w:rPr>
          <w:rFonts w:ascii="Times New Roman" w:hAnsi="Times New Roman" w:cs="Times New Roman"/>
          <w:sz w:val="24"/>
          <w:szCs w:val="24"/>
        </w:rPr>
        <w:t xml:space="preserve">that </w:t>
      </w:r>
      <w:r w:rsidR="00EC2CEA" w:rsidRPr="000346A7">
        <w:rPr>
          <w:rFonts w:ascii="Times New Roman" w:hAnsi="Times New Roman" w:cs="Times New Roman"/>
          <w:sz w:val="24"/>
          <w:szCs w:val="24"/>
        </w:rPr>
        <w:t>‘</w:t>
      </w:r>
      <w:r w:rsidR="00EC2CEA" w:rsidRPr="000346A7">
        <w:rPr>
          <w:rFonts w:ascii="Times New Roman" w:hAnsi="Times New Roman" w:cs="Times New Roman"/>
          <w:b/>
          <w:sz w:val="24"/>
          <w:szCs w:val="24"/>
        </w:rPr>
        <w:t>security pledged to a financial institution or bank stand the risk of being sold and the intended sale is within the contemplation of the parties to the loan agreement</w:t>
      </w:r>
      <w:r w:rsidR="004F2BF1" w:rsidRPr="000346A7">
        <w:rPr>
          <w:rFonts w:ascii="Times New Roman" w:hAnsi="Times New Roman" w:cs="Times New Roman"/>
          <w:b/>
          <w:sz w:val="24"/>
          <w:szCs w:val="24"/>
        </w:rPr>
        <w:t xml:space="preserve">.  In other words, the sale of property by the mortgagee cannot lead to irreparable loss since it is the contractual arrangement or intention of the parties and expressly provided in the loan agreement or mortgage deed.’ </w:t>
      </w:r>
      <w:r w:rsidR="004F2BF1" w:rsidRPr="000346A7">
        <w:rPr>
          <w:rFonts w:ascii="Times New Roman" w:hAnsi="Times New Roman" w:cs="Times New Roman"/>
          <w:i/>
          <w:sz w:val="24"/>
          <w:szCs w:val="24"/>
        </w:rPr>
        <w:t>See also</w:t>
      </w:r>
      <w:r w:rsidR="004F2BF1" w:rsidRPr="000346A7">
        <w:rPr>
          <w:rFonts w:ascii="Times New Roman" w:hAnsi="Times New Roman" w:cs="Times New Roman"/>
          <w:b/>
          <w:i/>
          <w:sz w:val="24"/>
          <w:szCs w:val="24"/>
        </w:rPr>
        <w:t xml:space="preserve"> </w:t>
      </w:r>
      <w:r w:rsidR="004F2BF1" w:rsidRPr="000346A7">
        <w:rPr>
          <w:rFonts w:ascii="Times New Roman" w:hAnsi="Times New Roman" w:cs="Times New Roman"/>
          <w:b/>
          <w:i/>
          <w:sz w:val="24"/>
          <w:szCs w:val="24"/>
          <w:u w:val="single"/>
        </w:rPr>
        <w:t>Matex Commercial Supplies Ltd &amp; Another vs. Euro Bank Ltd (In Liquidation) (2008) 1 EA 216</w:t>
      </w:r>
      <w:r w:rsidR="004F2BF1" w:rsidRPr="000346A7">
        <w:rPr>
          <w:rFonts w:ascii="Times New Roman" w:hAnsi="Times New Roman" w:cs="Times New Roman"/>
          <w:sz w:val="24"/>
          <w:szCs w:val="24"/>
        </w:rPr>
        <w:t xml:space="preserve"> </w:t>
      </w:r>
      <w:r w:rsidR="004F2BF1" w:rsidRPr="000346A7">
        <w:rPr>
          <w:rFonts w:ascii="Times New Roman" w:hAnsi="Times New Roman" w:cs="Times New Roman"/>
          <w:i/>
          <w:sz w:val="24"/>
          <w:szCs w:val="24"/>
        </w:rPr>
        <w:t xml:space="preserve">and </w:t>
      </w:r>
      <w:r w:rsidR="004F2BF1" w:rsidRPr="000346A7">
        <w:rPr>
          <w:rFonts w:ascii="Times New Roman" w:hAnsi="Times New Roman" w:cs="Times New Roman"/>
          <w:b/>
          <w:i/>
          <w:sz w:val="24"/>
          <w:szCs w:val="24"/>
          <w:u w:val="single"/>
        </w:rPr>
        <w:t>Maithya vs. Housing Finance Co. of Kenya &amp; Another (2003) 1 EA 133</w:t>
      </w:r>
      <w:r w:rsidR="004F2BF1" w:rsidRPr="000346A7">
        <w:rPr>
          <w:rFonts w:ascii="Times New Roman" w:hAnsi="Times New Roman" w:cs="Times New Roman"/>
          <w:sz w:val="24"/>
          <w:szCs w:val="24"/>
        </w:rPr>
        <w:t>.</w:t>
      </w:r>
      <w:r w:rsidR="00535120" w:rsidRPr="000346A7">
        <w:rPr>
          <w:rFonts w:ascii="Times New Roman" w:hAnsi="Times New Roman" w:cs="Times New Roman"/>
          <w:b/>
          <w:sz w:val="24"/>
          <w:szCs w:val="24"/>
        </w:rPr>
        <w:t xml:space="preserve">  </w:t>
      </w:r>
      <w:r w:rsidR="004F2BF1" w:rsidRPr="000346A7">
        <w:rPr>
          <w:rFonts w:ascii="Times New Roman" w:hAnsi="Times New Roman" w:cs="Times New Roman"/>
          <w:sz w:val="24"/>
          <w:szCs w:val="24"/>
        </w:rPr>
        <w:t>C</w:t>
      </w:r>
      <w:r w:rsidRPr="000346A7">
        <w:rPr>
          <w:rFonts w:ascii="Times New Roman" w:hAnsi="Times New Roman" w:cs="Times New Roman"/>
          <w:sz w:val="24"/>
          <w:szCs w:val="24"/>
        </w:rPr>
        <w:t xml:space="preserve">ounsel argued that should </w:t>
      </w:r>
      <w:r w:rsidR="004B0916" w:rsidRPr="000346A7">
        <w:rPr>
          <w:rFonts w:ascii="Times New Roman" w:hAnsi="Times New Roman" w:cs="Times New Roman"/>
          <w:sz w:val="24"/>
          <w:szCs w:val="24"/>
        </w:rPr>
        <w:t>t</w:t>
      </w:r>
      <w:r w:rsidRPr="000346A7">
        <w:rPr>
          <w:rFonts w:ascii="Times New Roman" w:hAnsi="Times New Roman" w:cs="Times New Roman"/>
          <w:sz w:val="24"/>
          <w:szCs w:val="24"/>
        </w:rPr>
        <w:t xml:space="preserve">his </w:t>
      </w:r>
      <w:r w:rsidR="004B0916" w:rsidRPr="000346A7">
        <w:rPr>
          <w:rFonts w:ascii="Times New Roman" w:hAnsi="Times New Roman" w:cs="Times New Roman"/>
          <w:sz w:val="24"/>
          <w:szCs w:val="24"/>
        </w:rPr>
        <w:t>application be disallowed</w:t>
      </w:r>
      <w:r w:rsidRPr="000346A7">
        <w:rPr>
          <w:rFonts w:ascii="Times New Roman" w:hAnsi="Times New Roman" w:cs="Times New Roman"/>
          <w:sz w:val="24"/>
          <w:szCs w:val="24"/>
        </w:rPr>
        <w:t>, the respondent bank was able to sufficiently recompense the applicant</w:t>
      </w:r>
      <w:r w:rsidR="004B0916" w:rsidRPr="000346A7">
        <w:rPr>
          <w:rFonts w:ascii="Times New Roman" w:hAnsi="Times New Roman" w:cs="Times New Roman"/>
          <w:sz w:val="24"/>
          <w:szCs w:val="24"/>
        </w:rPr>
        <w:t>s</w:t>
      </w:r>
      <w:r w:rsidRPr="000346A7">
        <w:rPr>
          <w:rFonts w:ascii="Times New Roman" w:hAnsi="Times New Roman" w:cs="Times New Roman"/>
          <w:sz w:val="24"/>
          <w:szCs w:val="24"/>
        </w:rPr>
        <w:t xml:space="preserve"> for any loss suffered in the event that </w:t>
      </w:r>
      <w:r w:rsidR="004B0916" w:rsidRPr="000346A7">
        <w:rPr>
          <w:rFonts w:ascii="Times New Roman" w:hAnsi="Times New Roman" w:cs="Times New Roman"/>
          <w:sz w:val="24"/>
          <w:szCs w:val="24"/>
        </w:rPr>
        <w:t xml:space="preserve">they </w:t>
      </w:r>
      <w:r w:rsidR="00322568" w:rsidRPr="000346A7">
        <w:rPr>
          <w:rFonts w:ascii="Times New Roman" w:hAnsi="Times New Roman" w:cs="Times New Roman"/>
          <w:sz w:val="24"/>
          <w:szCs w:val="24"/>
        </w:rPr>
        <w:t>won</w:t>
      </w:r>
      <w:r w:rsidRPr="000346A7">
        <w:rPr>
          <w:rFonts w:ascii="Times New Roman" w:hAnsi="Times New Roman" w:cs="Times New Roman"/>
          <w:sz w:val="24"/>
          <w:szCs w:val="24"/>
        </w:rPr>
        <w:t xml:space="preserve"> the substantive suit</w:t>
      </w:r>
      <w:r w:rsidR="004B0916" w:rsidRPr="000346A7">
        <w:rPr>
          <w:rFonts w:ascii="Times New Roman" w:hAnsi="Times New Roman" w:cs="Times New Roman"/>
          <w:sz w:val="24"/>
          <w:szCs w:val="24"/>
        </w:rPr>
        <w:t xml:space="preserve"> after the sale of their properties</w:t>
      </w:r>
      <w:r w:rsidRPr="000346A7">
        <w:rPr>
          <w:rFonts w:ascii="Times New Roman" w:hAnsi="Times New Roman" w:cs="Times New Roman"/>
          <w:sz w:val="24"/>
          <w:szCs w:val="24"/>
        </w:rPr>
        <w:t xml:space="preserve">.  </w:t>
      </w:r>
      <w:r w:rsidR="00003378" w:rsidRPr="000346A7">
        <w:rPr>
          <w:rFonts w:ascii="Times New Roman" w:hAnsi="Times New Roman" w:cs="Times New Roman"/>
          <w:sz w:val="24"/>
          <w:szCs w:val="24"/>
        </w:rPr>
        <w:t xml:space="preserve">He referred this court to </w:t>
      </w:r>
      <w:r w:rsidR="004F2BF1" w:rsidRPr="000346A7">
        <w:rPr>
          <w:rFonts w:ascii="Times New Roman" w:hAnsi="Times New Roman" w:cs="Times New Roman"/>
          <w:sz w:val="24"/>
          <w:szCs w:val="24"/>
        </w:rPr>
        <w:t xml:space="preserve">the decision in </w:t>
      </w:r>
      <w:r w:rsidR="004F2BF1" w:rsidRPr="000346A7">
        <w:rPr>
          <w:rFonts w:ascii="Times New Roman" w:hAnsi="Times New Roman" w:cs="Times New Roman"/>
          <w:b/>
          <w:sz w:val="24"/>
          <w:szCs w:val="24"/>
          <w:u w:val="single"/>
        </w:rPr>
        <w:t>Castle Estates Ltd vs. Barclays Bank of Uganda Ltd Commercial Court Misc. Applic. No. 129 of 2009</w:t>
      </w:r>
      <w:r w:rsidR="004F2BF1" w:rsidRPr="000346A7">
        <w:rPr>
          <w:rFonts w:ascii="Times New Roman" w:hAnsi="Times New Roman" w:cs="Times New Roman"/>
          <w:sz w:val="24"/>
          <w:szCs w:val="24"/>
        </w:rPr>
        <w:t xml:space="preserve"> where the following </w:t>
      </w:r>
      <w:r w:rsidR="00003378" w:rsidRPr="000346A7">
        <w:rPr>
          <w:rFonts w:ascii="Times New Roman" w:hAnsi="Times New Roman" w:cs="Times New Roman"/>
          <w:sz w:val="24"/>
          <w:szCs w:val="24"/>
        </w:rPr>
        <w:t>passage</w:t>
      </w:r>
      <w:r w:rsidR="00815C2A" w:rsidRPr="000346A7">
        <w:rPr>
          <w:rFonts w:ascii="Times New Roman" w:hAnsi="Times New Roman" w:cs="Times New Roman"/>
          <w:sz w:val="24"/>
          <w:szCs w:val="24"/>
        </w:rPr>
        <w:t xml:space="preserve"> from </w:t>
      </w:r>
      <w:r w:rsidR="00815C2A" w:rsidRPr="000346A7">
        <w:rPr>
          <w:rFonts w:ascii="Times New Roman" w:hAnsi="Times New Roman" w:cs="Times New Roman"/>
          <w:b/>
          <w:sz w:val="24"/>
          <w:szCs w:val="24"/>
          <w:u w:val="single"/>
        </w:rPr>
        <w:t>American Cyanamid vs Ethicon (1975) 1 All ER 504</w:t>
      </w:r>
      <w:r w:rsidR="00815C2A" w:rsidRPr="000346A7">
        <w:rPr>
          <w:rFonts w:ascii="Times New Roman" w:hAnsi="Times New Roman" w:cs="Times New Roman"/>
          <w:sz w:val="24"/>
          <w:szCs w:val="24"/>
        </w:rPr>
        <w:t xml:space="preserve"> was cited with approval:</w:t>
      </w:r>
    </w:p>
    <w:p w:rsidR="002472B8" w:rsidRPr="000346A7" w:rsidRDefault="00815C2A" w:rsidP="002472B8">
      <w:pPr>
        <w:pStyle w:val="ListParagraph"/>
        <w:jc w:val="both"/>
        <w:rPr>
          <w:rFonts w:ascii="Times New Roman" w:hAnsi="Times New Roman" w:cs="Times New Roman"/>
          <w:sz w:val="24"/>
          <w:szCs w:val="24"/>
        </w:rPr>
      </w:pPr>
      <w:r w:rsidRPr="000346A7">
        <w:rPr>
          <w:rFonts w:ascii="Times New Roman" w:hAnsi="Times New Roman" w:cs="Times New Roman"/>
          <w:sz w:val="24"/>
          <w:szCs w:val="24"/>
        </w:rPr>
        <w:lastRenderedPageBreak/>
        <w:t>“</w:t>
      </w:r>
      <w:r w:rsidRPr="000346A7">
        <w:rPr>
          <w:rFonts w:ascii="Times New Roman" w:hAnsi="Times New Roman" w:cs="Times New Roman"/>
          <w:b/>
          <w:sz w:val="24"/>
          <w:szCs w:val="24"/>
        </w:rPr>
        <w:t>If damages in the measure recoverable at Common Law would be adequate remedy and the defendant would be in a financial position to recover them, no interlocutory injunction should normally be granted however strong the plaintiffs claim appeared at that stage</w:t>
      </w:r>
      <w:r w:rsidRPr="000346A7">
        <w:rPr>
          <w:rFonts w:ascii="Times New Roman" w:hAnsi="Times New Roman" w:cs="Times New Roman"/>
          <w:sz w:val="24"/>
          <w:szCs w:val="24"/>
        </w:rPr>
        <w:t>.”</w:t>
      </w:r>
    </w:p>
    <w:p w:rsidR="002472B8" w:rsidRPr="000346A7" w:rsidRDefault="002472B8" w:rsidP="002472B8">
      <w:pPr>
        <w:pStyle w:val="ListParagraph"/>
        <w:jc w:val="both"/>
        <w:rPr>
          <w:rFonts w:ascii="Times New Roman" w:hAnsi="Times New Roman" w:cs="Times New Roman"/>
          <w:sz w:val="24"/>
          <w:szCs w:val="24"/>
        </w:rPr>
      </w:pPr>
    </w:p>
    <w:p w:rsidR="008D3981" w:rsidRPr="000346A7" w:rsidRDefault="00003378" w:rsidP="008D3981">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With regard to the issue of </w:t>
      </w:r>
      <w:r w:rsidR="00427EA6" w:rsidRPr="000346A7">
        <w:rPr>
          <w:rFonts w:ascii="Times New Roman" w:hAnsi="Times New Roman" w:cs="Times New Roman"/>
          <w:sz w:val="24"/>
          <w:szCs w:val="24"/>
        </w:rPr>
        <w:t xml:space="preserve">balance of convenience, </w:t>
      </w:r>
      <w:r w:rsidR="00535120" w:rsidRPr="000346A7">
        <w:rPr>
          <w:rFonts w:ascii="Times New Roman" w:hAnsi="Times New Roman" w:cs="Times New Roman"/>
          <w:sz w:val="24"/>
          <w:szCs w:val="24"/>
        </w:rPr>
        <w:t xml:space="preserve">it was Counsel’s contention that </w:t>
      </w:r>
      <w:r w:rsidR="00B07D1D" w:rsidRPr="000346A7">
        <w:rPr>
          <w:rFonts w:ascii="Times New Roman" w:hAnsi="Times New Roman" w:cs="Times New Roman"/>
          <w:sz w:val="24"/>
          <w:szCs w:val="24"/>
        </w:rPr>
        <w:t xml:space="preserve">whereas the respondent bank </w:t>
      </w:r>
      <w:r w:rsidR="00A37033" w:rsidRPr="000346A7">
        <w:rPr>
          <w:rFonts w:ascii="Times New Roman" w:hAnsi="Times New Roman" w:cs="Times New Roman"/>
          <w:sz w:val="24"/>
          <w:szCs w:val="24"/>
        </w:rPr>
        <w:t xml:space="preserve">had </w:t>
      </w:r>
      <w:r w:rsidR="00B07D1D" w:rsidRPr="000346A7">
        <w:rPr>
          <w:rFonts w:ascii="Times New Roman" w:hAnsi="Times New Roman" w:cs="Times New Roman"/>
          <w:sz w:val="24"/>
          <w:szCs w:val="24"/>
        </w:rPr>
        <w:t>suffered the inconvenience of having depositors</w:t>
      </w:r>
      <w:r w:rsidR="00535120" w:rsidRPr="000346A7">
        <w:rPr>
          <w:rFonts w:ascii="Times New Roman" w:hAnsi="Times New Roman" w:cs="Times New Roman"/>
          <w:sz w:val="24"/>
          <w:szCs w:val="24"/>
        </w:rPr>
        <w:t>’</w:t>
      </w:r>
      <w:r w:rsidR="00B07D1D" w:rsidRPr="000346A7">
        <w:rPr>
          <w:rFonts w:ascii="Times New Roman" w:hAnsi="Times New Roman" w:cs="Times New Roman"/>
          <w:sz w:val="24"/>
          <w:szCs w:val="24"/>
        </w:rPr>
        <w:t xml:space="preserve"> monies unutilized owing to the </w:t>
      </w:r>
      <w:r w:rsidR="00645B91" w:rsidRPr="000346A7">
        <w:rPr>
          <w:rFonts w:ascii="Times New Roman" w:hAnsi="Times New Roman" w:cs="Times New Roman"/>
          <w:sz w:val="24"/>
          <w:szCs w:val="24"/>
        </w:rPr>
        <w:t>fourth</w:t>
      </w:r>
      <w:r w:rsidR="00B07D1D" w:rsidRPr="000346A7">
        <w:rPr>
          <w:rFonts w:ascii="Times New Roman" w:hAnsi="Times New Roman" w:cs="Times New Roman"/>
          <w:sz w:val="24"/>
          <w:szCs w:val="24"/>
        </w:rPr>
        <w:t xml:space="preserve"> respondent’s </w:t>
      </w:r>
      <w:r w:rsidRPr="000346A7">
        <w:rPr>
          <w:rFonts w:ascii="Times New Roman" w:hAnsi="Times New Roman" w:cs="Times New Roman"/>
          <w:sz w:val="24"/>
          <w:szCs w:val="24"/>
        </w:rPr>
        <w:t>default</w:t>
      </w:r>
      <w:r w:rsidR="00B07D1D" w:rsidRPr="000346A7">
        <w:rPr>
          <w:rFonts w:ascii="Times New Roman" w:hAnsi="Times New Roman" w:cs="Times New Roman"/>
          <w:sz w:val="24"/>
          <w:szCs w:val="24"/>
        </w:rPr>
        <w:t xml:space="preserve">; the applicants </w:t>
      </w:r>
      <w:r w:rsidR="00A37033" w:rsidRPr="000346A7">
        <w:rPr>
          <w:rFonts w:ascii="Times New Roman" w:hAnsi="Times New Roman" w:cs="Times New Roman"/>
          <w:sz w:val="24"/>
          <w:szCs w:val="24"/>
        </w:rPr>
        <w:t>did</w:t>
      </w:r>
      <w:r w:rsidR="00B07D1D" w:rsidRPr="000346A7">
        <w:rPr>
          <w:rFonts w:ascii="Times New Roman" w:hAnsi="Times New Roman" w:cs="Times New Roman"/>
          <w:sz w:val="24"/>
          <w:szCs w:val="24"/>
        </w:rPr>
        <w:t xml:space="preserve"> not stand to suffer any inconvenience.</w:t>
      </w:r>
      <w:r w:rsidR="00A37033"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 In a brief reply, however, </w:t>
      </w:r>
      <w:r w:rsidR="009A7CAC" w:rsidRPr="000346A7">
        <w:rPr>
          <w:rFonts w:ascii="Times New Roman" w:hAnsi="Times New Roman" w:cs="Times New Roman"/>
          <w:sz w:val="24"/>
          <w:szCs w:val="24"/>
        </w:rPr>
        <w:t xml:space="preserve">it was </w:t>
      </w:r>
      <w:r w:rsidR="00535120" w:rsidRPr="000346A7">
        <w:rPr>
          <w:rFonts w:ascii="Times New Roman" w:hAnsi="Times New Roman" w:cs="Times New Roman"/>
          <w:sz w:val="24"/>
          <w:szCs w:val="24"/>
        </w:rPr>
        <w:t>argue</w:t>
      </w:r>
      <w:r w:rsidR="009A7CAC" w:rsidRPr="000346A7">
        <w:rPr>
          <w:rFonts w:ascii="Times New Roman" w:hAnsi="Times New Roman" w:cs="Times New Roman"/>
          <w:sz w:val="24"/>
          <w:szCs w:val="24"/>
        </w:rPr>
        <w:t xml:space="preserve">d that </w:t>
      </w:r>
      <w:r w:rsidRPr="000346A7">
        <w:rPr>
          <w:rFonts w:ascii="Times New Roman" w:hAnsi="Times New Roman" w:cs="Times New Roman"/>
          <w:sz w:val="24"/>
          <w:szCs w:val="24"/>
        </w:rPr>
        <w:t xml:space="preserve">the </w:t>
      </w:r>
      <w:r w:rsidR="00993B7F" w:rsidRPr="000346A7">
        <w:rPr>
          <w:rFonts w:ascii="Times New Roman" w:hAnsi="Times New Roman" w:cs="Times New Roman"/>
          <w:sz w:val="24"/>
          <w:szCs w:val="24"/>
        </w:rPr>
        <w:t>fifth</w:t>
      </w:r>
      <w:r w:rsidR="00A37033" w:rsidRPr="000346A7">
        <w:rPr>
          <w:rFonts w:ascii="Times New Roman" w:hAnsi="Times New Roman" w:cs="Times New Roman"/>
          <w:sz w:val="24"/>
          <w:szCs w:val="24"/>
        </w:rPr>
        <w:t xml:space="preserve"> respondent bore </w:t>
      </w:r>
      <w:r w:rsidR="009A7CAC" w:rsidRPr="000346A7">
        <w:rPr>
          <w:rFonts w:ascii="Times New Roman" w:hAnsi="Times New Roman" w:cs="Times New Roman"/>
          <w:sz w:val="24"/>
          <w:szCs w:val="24"/>
        </w:rPr>
        <w:t xml:space="preserve">the </w:t>
      </w:r>
      <w:r w:rsidR="00B55D66" w:rsidRPr="000346A7">
        <w:rPr>
          <w:rFonts w:ascii="Times New Roman" w:hAnsi="Times New Roman" w:cs="Times New Roman"/>
          <w:sz w:val="24"/>
          <w:szCs w:val="24"/>
        </w:rPr>
        <w:t xml:space="preserve">onus of proof </w:t>
      </w:r>
      <w:r w:rsidR="00A37033" w:rsidRPr="000346A7">
        <w:rPr>
          <w:rFonts w:ascii="Times New Roman" w:hAnsi="Times New Roman" w:cs="Times New Roman"/>
          <w:sz w:val="24"/>
          <w:szCs w:val="24"/>
        </w:rPr>
        <w:t>that the disputed transaction documents were properly executed</w:t>
      </w:r>
      <w:r w:rsidR="00675EDB" w:rsidRPr="000346A7">
        <w:rPr>
          <w:rFonts w:ascii="Times New Roman" w:hAnsi="Times New Roman" w:cs="Times New Roman"/>
          <w:sz w:val="24"/>
          <w:szCs w:val="24"/>
        </w:rPr>
        <w:t xml:space="preserve">; proof of the deponed marriages was a matter for the substantive suit; the balance of convenience favoured the maintenance of the status quo, and Regulation 13(1) of the Mortgage Regulations that the </w:t>
      </w:r>
      <w:r w:rsidR="00993B7F" w:rsidRPr="000346A7">
        <w:rPr>
          <w:rFonts w:ascii="Times New Roman" w:hAnsi="Times New Roman" w:cs="Times New Roman"/>
          <w:sz w:val="24"/>
          <w:szCs w:val="24"/>
        </w:rPr>
        <w:t>fifth</w:t>
      </w:r>
      <w:r w:rsidR="00675EDB" w:rsidRPr="000346A7">
        <w:rPr>
          <w:rFonts w:ascii="Times New Roman" w:hAnsi="Times New Roman" w:cs="Times New Roman"/>
          <w:sz w:val="24"/>
          <w:szCs w:val="24"/>
        </w:rPr>
        <w:t xml:space="preserve"> respondent had sought to invoke as an alternative prayer was inapplicable in the absence of a valuation report of the properties’ forced sale values.</w:t>
      </w:r>
      <w:r w:rsidR="008D3981" w:rsidRPr="000346A7">
        <w:rPr>
          <w:rFonts w:ascii="Times New Roman" w:hAnsi="Times New Roman" w:cs="Times New Roman"/>
          <w:b/>
          <w:sz w:val="24"/>
          <w:szCs w:val="24"/>
          <w:highlight w:val="green"/>
        </w:rPr>
        <w:t xml:space="preserve"> </w:t>
      </w:r>
    </w:p>
    <w:p w:rsidR="009F5808" w:rsidRPr="000346A7" w:rsidRDefault="009F5808" w:rsidP="009F5808">
      <w:pPr>
        <w:pStyle w:val="ListParagraph"/>
        <w:rPr>
          <w:rFonts w:ascii="Times New Roman" w:hAnsi="Times New Roman" w:cs="Times New Roman"/>
          <w:sz w:val="24"/>
          <w:szCs w:val="24"/>
        </w:rPr>
      </w:pPr>
    </w:p>
    <w:p w:rsidR="004C1C7D" w:rsidRPr="000346A7" w:rsidRDefault="009A7CAC" w:rsidP="009F580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Order 41 rule 1(a) of the Civil Procedure Rules (CPR) mandates courts to grant a temporary injunction to restrain any party to a suit from ‘</w:t>
      </w:r>
      <w:r w:rsidRPr="000346A7">
        <w:rPr>
          <w:rFonts w:ascii="Times New Roman" w:hAnsi="Times New Roman" w:cs="Times New Roman"/>
          <w:b/>
          <w:sz w:val="24"/>
          <w:szCs w:val="24"/>
        </w:rPr>
        <w:t>wasting, damaging or alienating an</w:t>
      </w:r>
      <w:r w:rsidR="00E5438C" w:rsidRPr="000346A7">
        <w:rPr>
          <w:rFonts w:ascii="Times New Roman" w:hAnsi="Times New Roman" w:cs="Times New Roman"/>
          <w:b/>
          <w:sz w:val="24"/>
          <w:szCs w:val="24"/>
        </w:rPr>
        <w:t>y property in dispute in a suit</w:t>
      </w:r>
      <w:r w:rsidRPr="000346A7">
        <w:rPr>
          <w:rFonts w:ascii="Times New Roman" w:hAnsi="Times New Roman" w:cs="Times New Roman"/>
          <w:sz w:val="24"/>
          <w:szCs w:val="24"/>
        </w:rPr>
        <w:t>.</w:t>
      </w:r>
      <w:r w:rsidR="00E5438C" w:rsidRPr="000346A7">
        <w:rPr>
          <w:rFonts w:ascii="Times New Roman" w:hAnsi="Times New Roman" w:cs="Times New Roman"/>
          <w:sz w:val="24"/>
          <w:szCs w:val="24"/>
        </w:rPr>
        <w:t>’</w:t>
      </w:r>
      <w:r w:rsidRPr="000346A7">
        <w:rPr>
          <w:rFonts w:ascii="Times New Roman" w:hAnsi="Times New Roman" w:cs="Times New Roman"/>
          <w:sz w:val="24"/>
          <w:szCs w:val="24"/>
        </w:rPr>
        <w:t xml:space="preserve"> </w:t>
      </w:r>
      <w:r w:rsidR="00F33FB1" w:rsidRPr="000346A7">
        <w:rPr>
          <w:rFonts w:ascii="Times New Roman" w:hAnsi="Times New Roman" w:cs="Times New Roman"/>
          <w:sz w:val="24"/>
          <w:szCs w:val="24"/>
        </w:rPr>
        <w:t xml:space="preserve"> In the instant case, the said legal provision was invoked to restrain the alienation by the </w:t>
      </w:r>
      <w:r w:rsidR="00993B7F" w:rsidRPr="000346A7">
        <w:rPr>
          <w:rFonts w:ascii="Times New Roman" w:hAnsi="Times New Roman" w:cs="Times New Roman"/>
          <w:sz w:val="24"/>
          <w:szCs w:val="24"/>
        </w:rPr>
        <w:t>fifth</w:t>
      </w:r>
      <w:r w:rsidR="00F33FB1" w:rsidRPr="000346A7">
        <w:rPr>
          <w:rFonts w:ascii="Times New Roman" w:hAnsi="Times New Roman" w:cs="Times New Roman"/>
          <w:sz w:val="24"/>
          <w:szCs w:val="24"/>
        </w:rPr>
        <w:t xml:space="preserve"> respondent of the properties afore-cited.</w:t>
      </w:r>
    </w:p>
    <w:p w:rsidR="009409AA" w:rsidRPr="000346A7" w:rsidRDefault="00255AFB" w:rsidP="004C1C7D">
      <w:pPr>
        <w:pStyle w:val="ListParagraph"/>
        <w:ind w:left="360"/>
        <w:jc w:val="both"/>
        <w:rPr>
          <w:rFonts w:ascii="Times New Roman" w:hAnsi="Times New Roman" w:cs="Times New Roman"/>
          <w:sz w:val="24"/>
          <w:szCs w:val="24"/>
        </w:rPr>
      </w:pPr>
      <w:r w:rsidRPr="000346A7">
        <w:rPr>
          <w:rFonts w:ascii="Times New Roman" w:hAnsi="Times New Roman" w:cs="Times New Roman"/>
          <w:sz w:val="24"/>
          <w:szCs w:val="24"/>
        </w:rPr>
        <w:t xml:space="preserve"> </w:t>
      </w:r>
      <w:r w:rsidR="009A7CAC" w:rsidRPr="000346A7">
        <w:rPr>
          <w:rFonts w:ascii="Times New Roman" w:hAnsi="Times New Roman" w:cs="Times New Roman"/>
          <w:sz w:val="24"/>
          <w:szCs w:val="24"/>
        </w:rPr>
        <w:t xml:space="preserve"> </w:t>
      </w:r>
    </w:p>
    <w:p w:rsidR="009409AA" w:rsidRPr="000346A7" w:rsidRDefault="00E965B8" w:rsidP="00FB16F3">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As was demonstrated in the case of </w:t>
      </w:r>
      <w:r w:rsidRPr="000346A7">
        <w:rPr>
          <w:rFonts w:ascii="Times New Roman" w:hAnsi="Times New Roman" w:cs="Times New Roman"/>
          <w:b/>
          <w:sz w:val="24"/>
          <w:szCs w:val="24"/>
          <w:u w:val="single"/>
        </w:rPr>
        <w:t>Mbidde Foundation Ltd &amp; Another vs. Secretary General of the East African Community &amp; Another East African Court of Justice (First Division) Applications No.s 5 &amp; 10 of 2014</w:t>
      </w:r>
      <w:r w:rsidRPr="000346A7">
        <w:rPr>
          <w:rFonts w:ascii="Times New Roman" w:hAnsi="Times New Roman" w:cs="Times New Roman"/>
          <w:sz w:val="24"/>
          <w:szCs w:val="24"/>
        </w:rPr>
        <w:t>, the ‘</w:t>
      </w:r>
      <w:r w:rsidRPr="000346A7">
        <w:rPr>
          <w:rFonts w:ascii="Times New Roman" w:hAnsi="Times New Roman" w:cs="Times New Roman"/>
          <w:i/>
          <w:sz w:val="24"/>
          <w:szCs w:val="24"/>
        </w:rPr>
        <w:t>prima facie</w:t>
      </w:r>
      <w:r w:rsidRPr="000346A7">
        <w:rPr>
          <w:rFonts w:ascii="Times New Roman" w:hAnsi="Times New Roman" w:cs="Times New Roman"/>
          <w:sz w:val="24"/>
          <w:szCs w:val="24"/>
        </w:rPr>
        <w:t xml:space="preserve"> rule’ in applications for temporary injunctions</w:t>
      </w:r>
      <w:r w:rsidR="00F33FB1" w:rsidRPr="000346A7">
        <w:rPr>
          <w:rFonts w:ascii="Times New Roman" w:hAnsi="Times New Roman" w:cs="Times New Roman"/>
          <w:sz w:val="24"/>
          <w:szCs w:val="24"/>
        </w:rPr>
        <w:t>,</w:t>
      </w:r>
      <w:r w:rsidRPr="000346A7">
        <w:rPr>
          <w:rFonts w:ascii="Times New Roman" w:hAnsi="Times New Roman" w:cs="Times New Roman"/>
          <w:sz w:val="24"/>
          <w:szCs w:val="24"/>
        </w:rPr>
        <w:t xml:space="preserve"> as had hitherto been espoused in </w:t>
      </w:r>
      <w:r w:rsidRPr="000346A7">
        <w:rPr>
          <w:rFonts w:ascii="Times New Roman" w:hAnsi="Times New Roman" w:cs="Times New Roman"/>
          <w:b/>
          <w:iCs/>
          <w:sz w:val="24"/>
          <w:szCs w:val="24"/>
          <w:u w:val="single"/>
        </w:rPr>
        <w:t>Giella vs. Casman Brown</w:t>
      </w:r>
      <w:r w:rsidRPr="000346A7">
        <w:rPr>
          <w:rFonts w:ascii="Times New Roman" w:hAnsi="Times New Roman" w:cs="Times New Roman"/>
          <w:b/>
          <w:sz w:val="24"/>
          <w:szCs w:val="24"/>
          <w:u w:val="single"/>
        </w:rPr>
        <w:t xml:space="preserve"> (1973) EA 358 </w:t>
      </w:r>
      <w:r w:rsidRPr="000346A7">
        <w:rPr>
          <w:rFonts w:ascii="Times New Roman" w:hAnsi="Times New Roman" w:cs="Times New Roman"/>
          <w:sz w:val="24"/>
          <w:szCs w:val="24"/>
        </w:rPr>
        <w:t>(Court of Appeal)</w:t>
      </w:r>
      <w:r w:rsidR="00F33FB1" w:rsidRPr="000346A7">
        <w:rPr>
          <w:rFonts w:ascii="Times New Roman" w:hAnsi="Times New Roman" w:cs="Times New Roman"/>
          <w:sz w:val="24"/>
          <w:szCs w:val="24"/>
        </w:rPr>
        <w:t>,</w:t>
      </w:r>
      <w:r w:rsidRPr="000346A7">
        <w:rPr>
          <w:rFonts w:ascii="Times New Roman" w:hAnsi="Times New Roman" w:cs="Times New Roman"/>
          <w:sz w:val="24"/>
          <w:szCs w:val="24"/>
        </w:rPr>
        <w:t xml:space="preserve"> was reversed by the House of Lords in the case of </w:t>
      </w:r>
      <w:r w:rsidRPr="000346A7">
        <w:rPr>
          <w:rFonts w:ascii="Times New Roman" w:hAnsi="Times New Roman" w:cs="Times New Roman"/>
          <w:b/>
          <w:sz w:val="24"/>
          <w:szCs w:val="24"/>
          <w:u w:val="single"/>
        </w:rPr>
        <w:t>American Cyanamid vs. Ethicon Ltd (1975) AC 396</w:t>
      </w:r>
      <w:r w:rsidRPr="000346A7">
        <w:rPr>
          <w:rFonts w:ascii="Times New Roman" w:hAnsi="Times New Roman" w:cs="Times New Roman"/>
          <w:sz w:val="24"/>
          <w:szCs w:val="24"/>
        </w:rPr>
        <w:t>.</w:t>
      </w:r>
      <w:r w:rsidR="004C1C7D"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 In </w:t>
      </w:r>
      <w:r w:rsidRPr="000346A7">
        <w:rPr>
          <w:rFonts w:ascii="Times New Roman" w:hAnsi="Times New Roman" w:cs="Times New Roman"/>
          <w:b/>
          <w:sz w:val="24"/>
          <w:szCs w:val="24"/>
          <w:u w:val="single"/>
        </w:rPr>
        <w:t>Mbidde Foundation Ltd &amp; Another</w:t>
      </w:r>
      <w:r w:rsidRPr="000346A7">
        <w:rPr>
          <w:rFonts w:ascii="Times New Roman" w:hAnsi="Times New Roman" w:cs="Times New Roman"/>
          <w:sz w:val="24"/>
          <w:szCs w:val="24"/>
        </w:rPr>
        <w:t xml:space="preserve"> (supra) the conditions for the grant of a temporary injunction were</w:t>
      </w:r>
      <w:r w:rsidR="004C1C7D" w:rsidRPr="000346A7">
        <w:rPr>
          <w:rFonts w:ascii="Times New Roman" w:hAnsi="Times New Roman" w:cs="Times New Roman"/>
          <w:sz w:val="24"/>
          <w:szCs w:val="24"/>
        </w:rPr>
        <w:t xml:space="preserve">, quite rightly in my view, </w:t>
      </w:r>
      <w:r w:rsidRPr="000346A7">
        <w:rPr>
          <w:rFonts w:ascii="Times New Roman" w:hAnsi="Times New Roman" w:cs="Times New Roman"/>
          <w:sz w:val="24"/>
          <w:szCs w:val="24"/>
        </w:rPr>
        <w:t xml:space="preserve">held to have been most persuasively summed up in </w:t>
      </w:r>
      <w:r w:rsidRPr="000346A7">
        <w:rPr>
          <w:rFonts w:ascii="Times New Roman" w:hAnsi="Times New Roman" w:cs="Times New Roman"/>
          <w:b/>
          <w:sz w:val="24"/>
          <w:szCs w:val="24"/>
          <w:u w:val="single"/>
        </w:rPr>
        <w:t xml:space="preserve">Halsbury’s Laws of England, Vol. 11 (2009), </w:t>
      </w:r>
      <w:r w:rsidR="00993B7F" w:rsidRPr="000346A7">
        <w:rPr>
          <w:rFonts w:ascii="Times New Roman" w:hAnsi="Times New Roman" w:cs="Times New Roman"/>
          <w:b/>
          <w:sz w:val="24"/>
          <w:szCs w:val="24"/>
          <w:u w:val="single"/>
        </w:rPr>
        <w:t>fifth</w:t>
      </w:r>
      <w:r w:rsidRPr="000346A7">
        <w:rPr>
          <w:rFonts w:ascii="Times New Roman" w:hAnsi="Times New Roman" w:cs="Times New Roman"/>
          <w:b/>
          <w:sz w:val="24"/>
          <w:szCs w:val="24"/>
          <w:u w:val="single"/>
        </w:rPr>
        <w:t xml:space="preserve"> Edition, para. 385</w:t>
      </w:r>
      <w:r w:rsidRPr="000346A7">
        <w:rPr>
          <w:rFonts w:ascii="Times New Roman" w:hAnsi="Times New Roman" w:cs="Times New Roman"/>
          <w:sz w:val="24"/>
          <w:szCs w:val="24"/>
        </w:rPr>
        <w:t xml:space="preserve"> as follows: </w:t>
      </w:r>
    </w:p>
    <w:p w:rsidR="009409AA" w:rsidRPr="000346A7" w:rsidRDefault="00E965B8" w:rsidP="00902AB8">
      <w:pPr>
        <w:pStyle w:val="ListParagraph"/>
        <w:jc w:val="both"/>
        <w:rPr>
          <w:rFonts w:ascii="Times New Roman" w:hAnsi="Times New Roman" w:cs="Times New Roman"/>
          <w:b/>
          <w:sz w:val="24"/>
          <w:szCs w:val="24"/>
        </w:rPr>
      </w:pPr>
      <w:r w:rsidRPr="000346A7">
        <w:rPr>
          <w:rFonts w:ascii="Times New Roman" w:hAnsi="Times New Roman" w:cs="Times New Roman"/>
          <w:b/>
          <w:sz w:val="24"/>
          <w:szCs w:val="24"/>
        </w:rPr>
        <w:t xml:space="preserve">“On an application for an interlocutory injunction the court must be satisfied that there is a serious question to be tried.  The material available to court at the hearing of the application must disclose that the claimant has real prospects for succeeding in his claim for a permanent injunction at the trial.  The former requirement that the claimant should establish a strong prima facie case for a permanent injunction before the court would grant an interim injunction has been removed.” </w:t>
      </w:r>
    </w:p>
    <w:p w:rsidR="004C1C7D" w:rsidRPr="000346A7" w:rsidRDefault="004C1C7D" w:rsidP="00902AB8">
      <w:pPr>
        <w:pStyle w:val="ListParagraph"/>
        <w:jc w:val="both"/>
        <w:rPr>
          <w:rFonts w:ascii="Times New Roman" w:hAnsi="Times New Roman" w:cs="Times New Roman"/>
          <w:b/>
          <w:sz w:val="24"/>
          <w:szCs w:val="24"/>
        </w:rPr>
      </w:pPr>
    </w:p>
    <w:p w:rsidR="009409AA" w:rsidRPr="000346A7" w:rsidRDefault="00FB16F3" w:rsidP="00902AB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As to the determination of</w:t>
      </w:r>
      <w:r w:rsidR="004C1C7D"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‘a serious question to be tried’, </w:t>
      </w:r>
      <w:r w:rsidR="009032DA" w:rsidRPr="000346A7">
        <w:rPr>
          <w:rFonts w:ascii="Times New Roman" w:hAnsi="Times New Roman" w:cs="Times New Roman"/>
          <w:sz w:val="24"/>
          <w:szCs w:val="24"/>
        </w:rPr>
        <w:t xml:space="preserve">in </w:t>
      </w:r>
      <w:r w:rsidR="009032DA" w:rsidRPr="000346A7">
        <w:rPr>
          <w:rFonts w:ascii="Times New Roman" w:hAnsi="Times New Roman" w:cs="Times New Roman"/>
          <w:b/>
          <w:sz w:val="24"/>
          <w:szCs w:val="24"/>
          <w:u w:val="single"/>
        </w:rPr>
        <w:t>American Cyanamid vs. Ethicon Ltd (1975) AC 396 at 407</w:t>
      </w:r>
      <w:r w:rsidR="009032DA" w:rsidRPr="000346A7">
        <w:rPr>
          <w:rFonts w:ascii="Times New Roman" w:hAnsi="Times New Roman" w:cs="Times New Roman"/>
          <w:sz w:val="24"/>
          <w:szCs w:val="24"/>
        </w:rPr>
        <w:t xml:space="preserve">, Lord Diplock </w:t>
      </w:r>
      <w:r w:rsidR="004C1C7D" w:rsidRPr="000346A7">
        <w:rPr>
          <w:rFonts w:ascii="Times New Roman" w:hAnsi="Times New Roman" w:cs="Times New Roman"/>
          <w:sz w:val="24"/>
          <w:szCs w:val="24"/>
        </w:rPr>
        <w:t>held that it was no function of a court hearing an application for an interlocutory injunction ‘</w:t>
      </w:r>
      <w:r w:rsidR="009032DA" w:rsidRPr="000346A7">
        <w:rPr>
          <w:rFonts w:ascii="Times New Roman" w:hAnsi="Times New Roman" w:cs="Times New Roman"/>
          <w:b/>
          <w:sz w:val="24"/>
          <w:szCs w:val="24"/>
        </w:rPr>
        <w:t xml:space="preserve">to try to resolve conflicts of evidence on affidavits as to facts on which the claims of either party may ultimately depend nor </w:t>
      </w:r>
      <w:r w:rsidR="009032DA" w:rsidRPr="000346A7">
        <w:rPr>
          <w:rFonts w:ascii="Times New Roman" w:hAnsi="Times New Roman" w:cs="Times New Roman"/>
          <w:b/>
          <w:sz w:val="24"/>
          <w:szCs w:val="24"/>
        </w:rPr>
        <w:lastRenderedPageBreak/>
        <w:t>to decide difficult questions of law which call for detailed argument and mature consideration</w:t>
      </w:r>
      <w:r w:rsidR="009032DA" w:rsidRPr="000346A7">
        <w:rPr>
          <w:rFonts w:ascii="Times New Roman" w:hAnsi="Times New Roman" w:cs="Times New Roman"/>
          <w:sz w:val="24"/>
          <w:szCs w:val="24"/>
        </w:rPr>
        <w:t>.</w:t>
      </w:r>
      <w:r w:rsidR="004C1C7D" w:rsidRPr="000346A7">
        <w:rPr>
          <w:rFonts w:ascii="Times New Roman" w:hAnsi="Times New Roman" w:cs="Times New Roman"/>
          <w:sz w:val="24"/>
          <w:szCs w:val="24"/>
        </w:rPr>
        <w:t>’  A</w:t>
      </w:r>
      <w:r w:rsidR="00FD2866" w:rsidRPr="000346A7">
        <w:rPr>
          <w:rFonts w:ascii="Times New Roman" w:hAnsi="Times New Roman" w:cs="Times New Roman"/>
          <w:sz w:val="24"/>
          <w:szCs w:val="24"/>
        </w:rPr>
        <w:t xml:space="preserve">ll that needed to be shown was that the application had ‘substance and reality.’  </w:t>
      </w:r>
      <w:r w:rsidR="00FD2866" w:rsidRPr="000346A7">
        <w:rPr>
          <w:rFonts w:ascii="Times New Roman" w:hAnsi="Times New Roman" w:cs="Times New Roman"/>
          <w:i/>
          <w:sz w:val="24"/>
          <w:szCs w:val="24"/>
        </w:rPr>
        <w:t>See</w:t>
      </w:r>
      <w:r w:rsidR="00FD2866" w:rsidRPr="000346A7">
        <w:rPr>
          <w:rFonts w:ascii="Times New Roman" w:hAnsi="Times New Roman" w:cs="Times New Roman"/>
          <w:sz w:val="24"/>
          <w:szCs w:val="24"/>
        </w:rPr>
        <w:t xml:space="preserve"> </w:t>
      </w:r>
      <w:r w:rsidR="009032DA" w:rsidRPr="000346A7">
        <w:rPr>
          <w:rFonts w:ascii="Times New Roman" w:hAnsi="Times New Roman" w:cs="Times New Roman"/>
          <w:b/>
          <w:i/>
          <w:color w:val="000000"/>
          <w:sz w:val="24"/>
          <w:szCs w:val="24"/>
          <w:u w:val="single"/>
        </w:rPr>
        <w:t>‘Blackstone’s Civil Procedure’, 2005, Oxford University Press, p. 393</w:t>
      </w:r>
      <w:r w:rsidR="00FD2866" w:rsidRPr="000346A7">
        <w:rPr>
          <w:rFonts w:ascii="Times New Roman" w:hAnsi="Times New Roman" w:cs="Times New Roman"/>
          <w:color w:val="000000"/>
          <w:sz w:val="24"/>
          <w:szCs w:val="24"/>
        </w:rPr>
        <w:t xml:space="preserve">.  </w:t>
      </w:r>
      <w:r w:rsidR="009032DA" w:rsidRPr="000346A7">
        <w:rPr>
          <w:rFonts w:ascii="Times New Roman" w:hAnsi="Times New Roman" w:cs="Times New Roman"/>
          <w:color w:val="000000"/>
          <w:sz w:val="24"/>
          <w:szCs w:val="24"/>
        </w:rPr>
        <w:t>On the other hand,</w:t>
      </w:r>
      <w:r w:rsidR="009032DA" w:rsidRPr="000346A7">
        <w:rPr>
          <w:rFonts w:ascii="Times New Roman" w:hAnsi="Times New Roman" w:cs="Times New Roman"/>
          <w:b/>
          <w:color w:val="000000"/>
          <w:sz w:val="24"/>
          <w:szCs w:val="24"/>
        </w:rPr>
        <w:t xml:space="preserve"> </w:t>
      </w:r>
      <w:r w:rsidR="00F33FB1" w:rsidRPr="000346A7">
        <w:rPr>
          <w:rFonts w:ascii="Times New Roman" w:hAnsi="Times New Roman" w:cs="Times New Roman"/>
          <w:b/>
          <w:sz w:val="24"/>
          <w:szCs w:val="24"/>
          <w:u w:val="single"/>
        </w:rPr>
        <w:t>Halsbury’s Laws of England</w:t>
      </w:r>
      <w:r w:rsidR="00F33FB1" w:rsidRPr="000346A7">
        <w:rPr>
          <w:rFonts w:ascii="Times New Roman" w:hAnsi="Times New Roman" w:cs="Times New Roman"/>
          <w:sz w:val="24"/>
          <w:szCs w:val="24"/>
        </w:rPr>
        <w:t xml:space="preserve"> (supra) </w:t>
      </w:r>
      <w:r w:rsidR="009032DA" w:rsidRPr="000346A7">
        <w:rPr>
          <w:rFonts w:ascii="Times New Roman" w:hAnsi="Times New Roman" w:cs="Times New Roman"/>
          <w:sz w:val="24"/>
          <w:szCs w:val="24"/>
        </w:rPr>
        <w:t xml:space="preserve">more specifically </w:t>
      </w:r>
      <w:r w:rsidR="00F33FB1" w:rsidRPr="000346A7">
        <w:rPr>
          <w:rFonts w:ascii="Times New Roman" w:hAnsi="Times New Roman" w:cs="Times New Roman"/>
          <w:sz w:val="24"/>
          <w:szCs w:val="24"/>
        </w:rPr>
        <w:t>posits</w:t>
      </w:r>
      <w:r w:rsidR="001A363B" w:rsidRPr="000346A7">
        <w:rPr>
          <w:rFonts w:ascii="Times New Roman" w:hAnsi="Times New Roman" w:cs="Times New Roman"/>
          <w:sz w:val="24"/>
          <w:szCs w:val="24"/>
        </w:rPr>
        <w:t>:</w:t>
      </w:r>
      <w:r w:rsidR="00F33FB1" w:rsidRPr="000346A7">
        <w:rPr>
          <w:rFonts w:ascii="Times New Roman" w:hAnsi="Times New Roman" w:cs="Times New Roman"/>
          <w:sz w:val="24"/>
          <w:szCs w:val="24"/>
        </w:rPr>
        <w:t xml:space="preserve"> </w:t>
      </w:r>
    </w:p>
    <w:p w:rsidR="00F33FB1" w:rsidRPr="000346A7" w:rsidRDefault="001A363B" w:rsidP="00902AB8">
      <w:pPr>
        <w:pStyle w:val="ListParagraph"/>
        <w:jc w:val="both"/>
        <w:rPr>
          <w:rFonts w:ascii="Times New Roman" w:hAnsi="Times New Roman" w:cs="Times New Roman"/>
          <w:b/>
          <w:sz w:val="24"/>
          <w:szCs w:val="24"/>
        </w:rPr>
      </w:pPr>
      <w:r w:rsidRPr="000346A7">
        <w:rPr>
          <w:rFonts w:ascii="Times New Roman" w:hAnsi="Times New Roman" w:cs="Times New Roman"/>
          <w:b/>
          <w:sz w:val="24"/>
          <w:szCs w:val="24"/>
        </w:rPr>
        <w:t>“W</w:t>
      </w:r>
      <w:r w:rsidR="00F33FB1" w:rsidRPr="000346A7">
        <w:rPr>
          <w:rFonts w:ascii="Times New Roman" w:hAnsi="Times New Roman" w:cs="Times New Roman"/>
          <w:b/>
          <w:sz w:val="24"/>
          <w:szCs w:val="24"/>
        </w:rPr>
        <w:t>here</w:t>
      </w:r>
      <w:r w:rsidR="00F33FB1" w:rsidRPr="000346A7">
        <w:rPr>
          <w:rFonts w:ascii="Times New Roman" w:hAnsi="Times New Roman" w:cs="Times New Roman"/>
          <w:sz w:val="24"/>
          <w:szCs w:val="24"/>
        </w:rPr>
        <w:t xml:space="preserve"> </w:t>
      </w:r>
      <w:r w:rsidR="00F33FB1" w:rsidRPr="000346A7">
        <w:rPr>
          <w:rFonts w:ascii="Times New Roman" w:hAnsi="Times New Roman" w:cs="Times New Roman"/>
          <w:b/>
          <w:sz w:val="24"/>
          <w:szCs w:val="24"/>
        </w:rPr>
        <w:t>the application is to restrain the exercise of an alleged right, the claimant should show that there are substantial grounds for doubting the existence of the right.</w:t>
      </w:r>
      <w:r w:rsidR="00100CF8" w:rsidRPr="000346A7">
        <w:rPr>
          <w:rFonts w:ascii="Times New Roman" w:hAnsi="Times New Roman" w:cs="Times New Roman"/>
          <w:b/>
          <w:sz w:val="24"/>
          <w:szCs w:val="24"/>
        </w:rPr>
        <w:t xml:space="preserve">  The claimant must show that an injunction until the hearing is necessary to protect him against irreparable injury; mere inconvenience is not enough.</w:t>
      </w:r>
      <w:r w:rsidRPr="000346A7">
        <w:rPr>
          <w:rFonts w:ascii="Times New Roman" w:hAnsi="Times New Roman" w:cs="Times New Roman"/>
          <w:b/>
          <w:sz w:val="24"/>
          <w:szCs w:val="24"/>
        </w:rPr>
        <w:t>”</w:t>
      </w:r>
    </w:p>
    <w:p w:rsidR="009F5808" w:rsidRPr="000346A7" w:rsidRDefault="009F5808" w:rsidP="00902AB8">
      <w:pPr>
        <w:pStyle w:val="ListParagraph"/>
        <w:jc w:val="both"/>
        <w:rPr>
          <w:rFonts w:ascii="Times New Roman" w:hAnsi="Times New Roman" w:cs="Times New Roman"/>
          <w:sz w:val="24"/>
          <w:szCs w:val="24"/>
        </w:rPr>
      </w:pPr>
    </w:p>
    <w:p w:rsidR="009409AA" w:rsidRPr="000346A7" w:rsidRDefault="008D3981" w:rsidP="009A7CAC">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Consequently, i</w:t>
      </w:r>
      <w:r w:rsidR="009032DA" w:rsidRPr="000346A7">
        <w:rPr>
          <w:rFonts w:ascii="Times New Roman" w:hAnsi="Times New Roman" w:cs="Times New Roman"/>
          <w:sz w:val="24"/>
          <w:szCs w:val="24"/>
        </w:rPr>
        <w:t>t appears to me</w:t>
      </w:r>
      <w:r w:rsidR="00527C5E" w:rsidRPr="000346A7">
        <w:rPr>
          <w:rFonts w:ascii="Times New Roman" w:hAnsi="Times New Roman" w:cs="Times New Roman"/>
          <w:sz w:val="24"/>
          <w:szCs w:val="24"/>
        </w:rPr>
        <w:t xml:space="preserve"> </w:t>
      </w:r>
      <w:r w:rsidR="009032DA" w:rsidRPr="000346A7">
        <w:rPr>
          <w:rFonts w:ascii="Times New Roman" w:hAnsi="Times New Roman" w:cs="Times New Roman"/>
          <w:sz w:val="24"/>
          <w:szCs w:val="24"/>
        </w:rPr>
        <w:t xml:space="preserve">that </w:t>
      </w:r>
      <w:r w:rsidR="00527C5E" w:rsidRPr="000346A7">
        <w:rPr>
          <w:rFonts w:ascii="Times New Roman" w:hAnsi="Times New Roman" w:cs="Times New Roman"/>
          <w:sz w:val="24"/>
          <w:szCs w:val="24"/>
        </w:rPr>
        <w:t xml:space="preserve">a court </w:t>
      </w:r>
      <w:r w:rsidR="00B728B4" w:rsidRPr="000346A7">
        <w:rPr>
          <w:rFonts w:ascii="Times New Roman" w:hAnsi="Times New Roman" w:cs="Times New Roman"/>
          <w:sz w:val="24"/>
          <w:szCs w:val="24"/>
        </w:rPr>
        <w:t xml:space="preserve">adjudicating </w:t>
      </w:r>
      <w:r w:rsidR="00527C5E" w:rsidRPr="000346A7">
        <w:rPr>
          <w:rFonts w:ascii="Times New Roman" w:hAnsi="Times New Roman" w:cs="Times New Roman"/>
          <w:sz w:val="24"/>
          <w:szCs w:val="24"/>
        </w:rPr>
        <w:t>an application for a temporary injunction is required to investigate the merits of the substantive suit in respect of which the application arises to a very limited extent</w:t>
      </w:r>
      <w:r w:rsidR="009032DA" w:rsidRPr="000346A7">
        <w:rPr>
          <w:rFonts w:ascii="Times New Roman" w:hAnsi="Times New Roman" w:cs="Times New Roman"/>
          <w:sz w:val="24"/>
          <w:szCs w:val="24"/>
        </w:rPr>
        <w:t xml:space="preserve"> only</w:t>
      </w:r>
      <w:r w:rsidR="00AD68AE" w:rsidRPr="000346A7">
        <w:rPr>
          <w:rFonts w:ascii="Times New Roman" w:hAnsi="Times New Roman" w:cs="Times New Roman"/>
          <w:sz w:val="24"/>
          <w:szCs w:val="24"/>
        </w:rPr>
        <w:t xml:space="preserve">.  Where the application is to restrain the exercise of an alleged legal right, the </w:t>
      </w:r>
      <w:r w:rsidR="002A1406" w:rsidRPr="000346A7">
        <w:rPr>
          <w:rFonts w:ascii="Times New Roman" w:hAnsi="Times New Roman" w:cs="Times New Roman"/>
          <w:sz w:val="24"/>
          <w:szCs w:val="24"/>
        </w:rPr>
        <w:t xml:space="preserve">onus is on the </w:t>
      </w:r>
      <w:r w:rsidR="00AD68AE" w:rsidRPr="000346A7">
        <w:rPr>
          <w:rFonts w:ascii="Times New Roman" w:hAnsi="Times New Roman" w:cs="Times New Roman"/>
          <w:sz w:val="24"/>
          <w:szCs w:val="24"/>
        </w:rPr>
        <w:t xml:space="preserve">applicant </w:t>
      </w:r>
      <w:r w:rsidR="002A1406" w:rsidRPr="000346A7">
        <w:rPr>
          <w:rFonts w:ascii="Times New Roman" w:hAnsi="Times New Roman" w:cs="Times New Roman"/>
          <w:sz w:val="24"/>
          <w:szCs w:val="24"/>
        </w:rPr>
        <w:t xml:space="preserve">to </w:t>
      </w:r>
      <w:r w:rsidR="00AD68AE" w:rsidRPr="000346A7">
        <w:rPr>
          <w:rFonts w:ascii="Times New Roman" w:hAnsi="Times New Roman" w:cs="Times New Roman"/>
          <w:sz w:val="24"/>
          <w:szCs w:val="24"/>
        </w:rPr>
        <w:t xml:space="preserve">demonstrate substantial grounds for doubting or negating the existence of such right.  </w:t>
      </w:r>
      <w:r w:rsidR="005E5792" w:rsidRPr="000346A7">
        <w:rPr>
          <w:rFonts w:ascii="Times New Roman" w:hAnsi="Times New Roman" w:cs="Times New Roman"/>
          <w:sz w:val="24"/>
          <w:szCs w:val="24"/>
        </w:rPr>
        <w:t xml:space="preserve">Where a determination is made that there is </w:t>
      </w:r>
      <w:r w:rsidR="0005136D" w:rsidRPr="000346A7">
        <w:rPr>
          <w:rFonts w:ascii="Times New Roman" w:hAnsi="Times New Roman" w:cs="Times New Roman"/>
          <w:sz w:val="24"/>
          <w:szCs w:val="24"/>
        </w:rPr>
        <w:t>no serious question to be tried, an application for a temporary injunction would be dismissed on that premise alone.  However, where a</w:t>
      </w:r>
      <w:r w:rsidR="005E5792" w:rsidRPr="000346A7">
        <w:rPr>
          <w:rFonts w:ascii="Times New Roman" w:hAnsi="Times New Roman" w:cs="Times New Roman"/>
          <w:sz w:val="24"/>
          <w:szCs w:val="24"/>
        </w:rPr>
        <w:t xml:space="preserve"> serious question </w:t>
      </w:r>
      <w:r w:rsidR="0005136D" w:rsidRPr="000346A7">
        <w:rPr>
          <w:rFonts w:ascii="Times New Roman" w:hAnsi="Times New Roman" w:cs="Times New Roman"/>
          <w:sz w:val="24"/>
          <w:szCs w:val="24"/>
        </w:rPr>
        <w:t xml:space="preserve">for determination has been demonstrated, </w:t>
      </w:r>
      <w:r w:rsidR="005E5792" w:rsidRPr="000346A7">
        <w:rPr>
          <w:rFonts w:ascii="Times New Roman" w:hAnsi="Times New Roman" w:cs="Times New Roman"/>
          <w:sz w:val="24"/>
          <w:szCs w:val="24"/>
        </w:rPr>
        <w:t xml:space="preserve">courts will normally </w:t>
      </w:r>
      <w:r w:rsidR="0005136D" w:rsidRPr="000346A7">
        <w:rPr>
          <w:rFonts w:ascii="Times New Roman" w:hAnsi="Times New Roman" w:cs="Times New Roman"/>
          <w:sz w:val="24"/>
          <w:szCs w:val="24"/>
        </w:rPr>
        <w:t xml:space="preserve">inquire into whether or not </w:t>
      </w:r>
      <w:r w:rsidR="00365F88" w:rsidRPr="000346A7">
        <w:rPr>
          <w:rFonts w:ascii="Times New Roman" w:hAnsi="Times New Roman" w:cs="Times New Roman"/>
          <w:sz w:val="24"/>
          <w:szCs w:val="24"/>
        </w:rPr>
        <w:t xml:space="preserve">any injury suffered by the applicant </w:t>
      </w:r>
      <w:r w:rsidR="0005136D" w:rsidRPr="000346A7">
        <w:rPr>
          <w:rFonts w:ascii="Times New Roman" w:hAnsi="Times New Roman" w:cs="Times New Roman"/>
          <w:sz w:val="24"/>
          <w:szCs w:val="24"/>
        </w:rPr>
        <w:t>could be adequately compensated by damages in the event that the action for which restraint had been sought, in the first place, would have transpired</w:t>
      </w:r>
      <w:r w:rsidR="005E5792" w:rsidRPr="000346A7">
        <w:rPr>
          <w:rFonts w:ascii="Times New Roman" w:hAnsi="Times New Roman" w:cs="Times New Roman"/>
          <w:sz w:val="24"/>
          <w:szCs w:val="24"/>
        </w:rPr>
        <w:t>.</w:t>
      </w:r>
      <w:r w:rsidR="002A7DB8" w:rsidRPr="000346A7">
        <w:rPr>
          <w:rFonts w:ascii="Times New Roman" w:hAnsi="Times New Roman" w:cs="Times New Roman"/>
          <w:sz w:val="24"/>
          <w:szCs w:val="24"/>
        </w:rPr>
        <w:t xml:space="preserve"> </w:t>
      </w:r>
    </w:p>
    <w:p w:rsidR="00B728B4" w:rsidRPr="000346A7" w:rsidRDefault="00B728B4" w:rsidP="00B728B4">
      <w:pPr>
        <w:pStyle w:val="ListParagraph"/>
        <w:ind w:left="360"/>
        <w:jc w:val="both"/>
        <w:rPr>
          <w:rFonts w:ascii="Times New Roman" w:hAnsi="Times New Roman" w:cs="Times New Roman"/>
          <w:sz w:val="24"/>
          <w:szCs w:val="24"/>
        </w:rPr>
      </w:pPr>
    </w:p>
    <w:p w:rsidR="00902AB8" w:rsidRPr="000346A7" w:rsidRDefault="002A7DB8" w:rsidP="00902AB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 </w:t>
      </w:r>
      <w:r w:rsidR="00E448BA" w:rsidRPr="000346A7">
        <w:rPr>
          <w:rFonts w:ascii="Times New Roman" w:hAnsi="Times New Roman" w:cs="Times New Roman"/>
          <w:sz w:val="24"/>
          <w:szCs w:val="24"/>
        </w:rPr>
        <w:t xml:space="preserve">In </w:t>
      </w:r>
      <w:r w:rsidR="00E448BA" w:rsidRPr="000346A7">
        <w:rPr>
          <w:rFonts w:ascii="Times New Roman" w:hAnsi="Times New Roman" w:cs="Times New Roman"/>
          <w:b/>
          <w:sz w:val="24"/>
          <w:szCs w:val="24"/>
          <w:u w:val="single"/>
        </w:rPr>
        <w:t>American Cyanamid</w:t>
      </w:r>
      <w:r w:rsidR="00E448BA" w:rsidRPr="000346A7">
        <w:rPr>
          <w:rFonts w:ascii="Times New Roman" w:hAnsi="Times New Roman" w:cs="Times New Roman"/>
          <w:sz w:val="24"/>
          <w:szCs w:val="24"/>
        </w:rPr>
        <w:t xml:space="preserve"> (</w:t>
      </w:r>
      <w:r w:rsidR="00157B22" w:rsidRPr="000346A7">
        <w:rPr>
          <w:rFonts w:ascii="Times New Roman" w:hAnsi="Times New Roman" w:cs="Times New Roman"/>
          <w:sz w:val="24"/>
          <w:szCs w:val="24"/>
        </w:rPr>
        <w:t>supra</w:t>
      </w:r>
      <w:r w:rsidR="00E448BA" w:rsidRPr="000346A7">
        <w:rPr>
          <w:rFonts w:ascii="Times New Roman" w:hAnsi="Times New Roman" w:cs="Times New Roman"/>
          <w:sz w:val="24"/>
          <w:szCs w:val="24"/>
        </w:rPr>
        <w:t xml:space="preserve">) </w:t>
      </w:r>
      <w:r w:rsidR="00FF3E4E" w:rsidRPr="000346A7">
        <w:rPr>
          <w:rFonts w:ascii="Times New Roman" w:hAnsi="Times New Roman" w:cs="Times New Roman"/>
          <w:sz w:val="24"/>
          <w:szCs w:val="24"/>
        </w:rPr>
        <w:t>the adequacy of damages in an application for a temporary</w:t>
      </w:r>
      <w:r w:rsidR="00E448BA" w:rsidRPr="000346A7">
        <w:rPr>
          <w:rFonts w:ascii="Times New Roman" w:hAnsi="Times New Roman" w:cs="Times New Roman"/>
          <w:sz w:val="24"/>
          <w:szCs w:val="24"/>
        </w:rPr>
        <w:t xml:space="preserve"> injunction</w:t>
      </w:r>
      <w:r w:rsidR="00896884" w:rsidRPr="000346A7">
        <w:rPr>
          <w:rFonts w:ascii="Times New Roman" w:hAnsi="Times New Roman" w:cs="Times New Roman"/>
          <w:sz w:val="24"/>
          <w:szCs w:val="24"/>
        </w:rPr>
        <w:t xml:space="preserve"> w</w:t>
      </w:r>
      <w:r w:rsidR="00FF3E4E" w:rsidRPr="000346A7">
        <w:rPr>
          <w:rFonts w:ascii="Times New Roman" w:hAnsi="Times New Roman" w:cs="Times New Roman"/>
          <w:sz w:val="24"/>
          <w:szCs w:val="24"/>
        </w:rPr>
        <w:t>as</w:t>
      </w:r>
      <w:r w:rsidR="00896884" w:rsidRPr="000346A7">
        <w:rPr>
          <w:rFonts w:ascii="Times New Roman" w:hAnsi="Times New Roman" w:cs="Times New Roman"/>
          <w:sz w:val="24"/>
          <w:szCs w:val="24"/>
        </w:rPr>
        <w:t xml:space="preserve"> </w:t>
      </w:r>
      <w:r w:rsidR="00F67B7F" w:rsidRPr="000346A7">
        <w:rPr>
          <w:rFonts w:ascii="Times New Roman" w:hAnsi="Times New Roman" w:cs="Times New Roman"/>
          <w:sz w:val="24"/>
          <w:szCs w:val="24"/>
        </w:rPr>
        <w:t>addressed</w:t>
      </w:r>
      <w:r w:rsidR="00896884" w:rsidRPr="000346A7">
        <w:rPr>
          <w:rFonts w:ascii="Times New Roman" w:hAnsi="Times New Roman" w:cs="Times New Roman"/>
          <w:sz w:val="24"/>
          <w:szCs w:val="24"/>
        </w:rPr>
        <w:t xml:space="preserve"> </w:t>
      </w:r>
      <w:r w:rsidR="00E448BA" w:rsidRPr="000346A7">
        <w:rPr>
          <w:rFonts w:ascii="Times New Roman" w:hAnsi="Times New Roman" w:cs="Times New Roman"/>
          <w:sz w:val="24"/>
          <w:szCs w:val="24"/>
        </w:rPr>
        <w:t>as follows:</w:t>
      </w:r>
    </w:p>
    <w:p w:rsidR="00D85DBD" w:rsidRPr="000346A7" w:rsidRDefault="00E448BA" w:rsidP="00902AB8">
      <w:pPr>
        <w:pStyle w:val="ListParagraph"/>
        <w:jc w:val="both"/>
        <w:rPr>
          <w:rFonts w:ascii="Times New Roman" w:hAnsi="Times New Roman" w:cs="Times New Roman"/>
          <w:sz w:val="24"/>
          <w:szCs w:val="24"/>
        </w:rPr>
      </w:pPr>
      <w:r w:rsidRPr="000346A7">
        <w:rPr>
          <w:rFonts w:ascii="Times New Roman" w:hAnsi="Times New Roman" w:cs="Times New Roman"/>
          <w:sz w:val="24"/>
          <w:szCs w:val="24"/>
        </w:rPr>
        <w:t>“</w:t>
      </w:r>
      <w:r w:rsidRPr="000346A7">
        <w:rPr>
          <w:rFonts w:ascii="Times New Roman" w:hAnsi="Times New Roman" w:cs="Times New Roman"/>
          <w:b/>
          <w:sz w:val="24"/>
          <w:szCs w:val="24"/>
        </w:rPr>
        <w:t xml:space="preserve">The object of the interlocutory injunction is to protect the plaintiff against injury by violation of his right for which he could not be adequately compensated in damages recoverable in the action if the uncertainty were resolved in his favour </w:t>
      </w:r>
      <w:r w:rsidR="00D85DBD" w:rsidRPr="000346A7">
        <w:rPr>
          <w:rFonts w:ascii="Times New Roman" w:hAnsi="Times New Roman" w:cs="Times New Roman"/>
          <w:b/>
          <w:sz w:val="24"/>
          <w:szCs w:val="24"/>
        </w:rPr>
        <w:t>at the trial; but the plaintiff’s need for such protection must be weighed against the corresponding need of the defendant to be protected against injury resulting from his having been prevented from exercising his own legal rights for which he could not be adequately compensated under the plaintiff’s undertaking in damages if the uncertainty were resolved in the defendant’s favour at trial.  The court must weigh one need against another and determine where ‘the balance of convenience’ lies</w:t>
      </w:r>
      <w:r w:rsidR="00D85DBD" w:rsidRPr="000346A7">
        <w:rPr>
          <w:rFonts w:ascii="Times New Roman" w:hAnsi="Times New Roman" w:cs="Times New Roman"/>
          <w:sz w:val="24"/>
          <w:szCs w:val="24"/>
        </w:rPr>
        <w:t xml:space="preserve">.” </w:t>
      </w:r>
    </w:p>
    <w:p w:rsidR="00B728B4" w:rsidRPr="000346A7" w:rsidRDefault="00B728B4" w:rsidP="00902AB8">
      <w:pPr>
        <w:pStyle w:val="ListParagraph"/>
        <w:jc w:val="both"/>
        <w:rPr>
          <w:rFonts w:ascii="Times New Roman" w:hAnsi="Times New Roman" w:cs="Times New Roman"/>
          <w:sz w:val="24"/>
          <w:szCs w:val="24"/>
        </w:rPr>
      </w:pPr>
    </w:p>
    <w:p w:rsidR="009409AA" w:rsidRPr="000346A7" w:rsidRDefault="00D85DBD" w:rsidP="00D85DBD">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In other words, </w:t>
      </w:r>
      <w:r w:rsidR="00063309" w:rsidRPr="000346A7">
        <w:rPr>
          <w:rFonts w:ascii="Times New Roman" w:hAnsi="Times New Roman" w:cs="Times New Roman"/>
          <w:sz w:val="24"/>
          <w:szCs w:val="24"/>
        </w:rPr>
        <w:t xml:space="preserve">the question of irreparable injury by either party was </w:t>
      </w:r>
      <w:r w:rsidR="00F67B7F" w:rsidRPr="000346A7">
        <w:rPr>
          <w:rFonts w:ascii="Times New Roman" w:hAnsi="Times New Roman" w:cs="Times New Roman"/>
          <w:sz w:val="24"/>
          <w:szCs w:val="24"/>
        </w:rPr>
        <w:t xml:space="preserve">deemed to be </w:t>
      </w:r>
      <w:r w:rsidR="00063309" w:rsidRPr="000346A7">
        <w:rPr>
          <w:rFonts w:ascii="Times New Roman" w:hAnsi="Times New Roman" w:cs="Times New Roman"/>
          <w:sz w:val="24"/>
          <w:szCs w:val="24"/>
        </w:rPr>
        <w:t xml:space="preserve">one of the </w:t>
      </w:r>
      <w:r w:rsidR="002A1406" w:rsidRPr="000346A7">
        <w:rPr>
          <w:rFonts w:ascii="Times New Roman" w:hAnsi="Times New Roman" w:cs="Times New Roman"/>
          <w:sz w:val="24"/>
          <w:szCs w:val="24"/>
        </w:rPr>
        <w:t>factors</w:t>
      </w:r>
      <w:r w:rsidR="00063309" w:rsidRPr="000346A7">
        <w:rPr>
          <w:rFonts w:ascii="Times New Roman" w:hAnsi="Times New Roman" w:cs="Times New Roman"/>
          <w:sz w:val="24"/>
          <w:szCs w:val="24"/>
        </w:rPr>
        <w:t xml:space="preserve"> to be weighed by court</w:t>
      </w:r>
      <w:r w:rsidR="00F67B7F" w:rsidRPr="000346A7">
        <w:rPr>
          <w:rFonts w:ascii="Times New Roman" w:hAnsi="Times New Roman" w:cs="Times New Roman"/>
          <w:sz w:val="24"/>
          <w:szCs w:val="24"/>
        </w:rPr>
        <w:t>s</w:t>
      </w:r>
      <w:r w:rsidR="00063309" w:rsidRPr="000346A7">
        <w:rPr>
          <w:rFonts w:ascii="Times New Roman" w:hAnsi="Times New Roman" w:cs="Times New Roman"/>
          <w:sz w:val="24"/>
          <w:szCs w:val="24"/>
        </w:rPr>
        <w:t xml:space="preserve"> in determining where the balance of convenience lies.  </w:t>
      </w:r>
      <w:r w:rsidR="00365F88" w:rsidRPr="000346A7">
        <w:rPr>
          <w:rFonts w:ascii="Times New Roman" w:hAnsi="Times New Roman" w:cs="Times New Roman"/>
          <w:sz w:val="24"/>
          <w:szCs w:val="24"/>
        </w:rPr>
        <w:t xml:space="preserve">In that sense, the </w:t>
      </w:r>
      <w:r w:rsidR="00CF1F11" w:rsidRPr="000346A7">
        <w:rPr>
          <w:rFonts w:ascii="Times New Roman" w:hAnsi="Times New Roman" w:cs="Times New Roman"/>
          <w:sz w:val="24"/>
          <w:szCs w:val="24"/>
        </w:rPr>
        <w:t xml:space="preserve">balance of convenience </w:t>
      </w:r>
      <w:r w:rsidR="00063309" w:rsidRPr="000346A7">
        <w:rPr>
          <w:rFonts w:ascii="Times New Roman" w:hAnsi="Times New Roman" w:cs="Times New Roman"/>
          <w:sz w:val="24"/>
          <w:szCs w:val="24"/>
        </w:rPr>
        <w:t xml:space="preserve">would be </w:t>
      </w:r>
      <w:r w:rsidR="00CF1F11" w:rsidRPr="000346A7">
        <w:rPr>
          <w:rFonts w:ascii="Times New Roman" w:hAnsi="Times New Roman" w:cs="Times New Roman"/>
          <w:sz w:val="24"/>
          <w:szCs w:val="24"/>
        </w:rPr>
        <w:t xml:space="preserve">determined </w:t>
      </w:r>
      <w:r w:rsidRPr="000346A7">
        <w:rPr>
          <w:rFonts w:ascii="Times New Roman" w:hAnsi="Times New Roman" w:cs="Times New Roman"/>
          <w:sz w:val="24"/>
          <w:szCs w:val="24"/>
        </w:rPr>
        <w:t xml:space="preserve">by weighing the </w:t>
      </w:r>
      <w:r w:rsidR="001A363B" w:rsidRPr="000346A7">
        <w:rPr>
          <w:rFonts w:ascii="Times New Roman" w:hAnsi="Times New Roman" w:cs="Times New Roman"/>
          <w:sz w:val="24"/>
          <w:szCs w:val="24"/>
        </w:rPr>
        <w:t xml:space="preserve">applicant’s </w:t>
      </w:r>
      <w:r w:rsidR="00E448BA" w:rsidRPr="000346A7">
        <w:rPr>
          <w:rFonts w:ascii="Times New Roman" w:hAnsi="Times New Roman" w:cs="Times New Roman"/>
          <w:sz w:val="24"/>
          <w:szCs w:val="24"/>
        </w:rPr>
        <w:t>need for protection</w:t>
      </w:r>
      <w:r w:rsidR="00CF1F11" w:rsidRPr="000346A7">
        <w:rPr>
          <w:rFonts w:ascii="Times New Roman" w:hAnsi="Times New Roman" w:cs="Times New Roman"/>
          <w:sz w:val="24"/>
          <w:szCs w:val="24"/>
        </w:rPr>
        <w:t xml:space="preserve"> from irreparable injury,</w:t>
      </w:r>
      <w:r w:rsidR="00E448BA" w:rsidRPr="000346A7">
        <w:rPr>
          <w:rFonts w:ascii="Times New Roman" w:hAnsi="Times New Roman" w:cs="Times New Roman"/>
          <w:sz w:val="24"/>
          <w:szCs w:val="24"/>
        </w:rPr>
        <w:t xml:space="preserve"> </w:t>
      </w:r>
      <w:r w:rsidR="00CF1F11" w:rsidRPr="000346A7">
        <w:rPr>
          <w:rFonts w:ascii="Times New Roman" w:hAnsi="Times New Roman" w:cs="Times New Roman"/>
          <w:sz w:val="24"/>
          <w:szCs w:val="24"/>
        </w:rPr>
        <w:t xml:space="preserve">on the one hand; </w:t>
      </w:r>
      <w:r w:rsidR="00E448BA" w:rsidRPr="000346A7">
        <w:rPr>
          <w:rFonts w:ascii="Times New Roman" w:hAnsi="Times New Roman" w:cs="Times New Roman"/>
          <w:sz w:val="24"/>
          <w:szCs w:val="24"/>
        </w:rPr>
        <w:t xml:space="preserve">against the </w:t>
      </w:r>
      <w:r w:rsidR="001A363B" w:rsidRPr="000346A7">
        <w:rPr>
          <w:rFonts w:ascii="Times New Roman" w:hAnsi="Times New Roman" w:cs="Times New Roman"/>
          <w:sz w:val="24"/>
          <w:szCs w:val="24"/>
        </w:rPr>
        <w:t>respondent</w:t>
      </w:r>
      <w:r w:rsidR="00CF1F11" w:rsidRPr="000346A7">
        <w:rPr>
          <w:rFonts w:ascii="Times New Roman" w:hAnsi="Times New Roman" w:cs="Times New Roman"/>
          <w:sz w:val="24"/>
          <w:szCs w:val="24"/>
        </w:rPr>
        <w:t xml:space="preserve">’s corresponding need for protection against similarly irreparable </w:t>
      </w:r>
      <w:r w:rsidRPr="000346A7">
        <w:rPr>
          <w:rFonts w:ascii="Times New Roman" w:hAnsi="Times New Roman" w:cs="Times New Roman"/>
          <w:sz w:val="24"/>
          <w:szCs w:val="24"/>
        </w:rPr>
        <w:t xml:space="preserve">injury </w:t>
      </w:r>
      <w:r w:rsidR="00CF1F11" w:rsidRPr="000346A7">
        <w:rPr>
          <w:rFonts w:ascii="Times New Roman" w:hAnsi="Times New Roman" w:cs="Times New Roman"/>
          <w:sz w:val="24"/>
          <w:szCs w:val="24"/>
        </w:rPr>
        <w:t xml:space="preserve">arising from its </w:t>
      </w:r>
      <w:r w:rsidR="001A363B" w:rsidRPr="000346A7">
        <w:rPr>
          <w:rFonts w:ascii="Times New Roman" w:hAnsi="Times New Roman" w:cs="Times New Roman"/>
          <w:sz w:val="24"/>
          <w:szCs w:val="24"/>
        </w:rPr>
        <w:t xml:space="preserve">being </w:t>
      </w:r>
      <w:r w:rsidR="00CF1F11" w:rsidRPr="000346A7">
        <w:rPr>
          <w:rFonts w:ascii="Times New Roman" w:hAnsi="Times New Roman" w:cs="Times New Roman"/>
          <w:sz w:val="24"/>
          <w:szCs w:val="24"/>
        </w:rPr>
        <w:t>prevent</w:t>
      </w:r>
      <w:r w:rsidR="001A363B" w:rsidRPr="000346A7">
        <w:rPr>
          <w:rFonts w:ascii="Times New Roman" w:hAnsi="Times New Roman" w:cs="Times New Roman"/>
          <w:sz w:val="24"/>
          <w:szCs w:val="24"/>
        </w:rPr>
        <w:t>ed</w:t>
      </w:r>
      <w:r w:rsidR="00CF1F11" w:rsidRPr="000346A7">
        <w:rPr>
          <w:rFonts w:ascii="Times New Roman" w:hAnsi="Times New Roman" w:cs="Times New Roman"/>
          <w:sz w:val="24"/>
          <w:szCs w:val="24"/>
        </w:rPr>
        <w:t xml:space="preserve"> from enforcing </w:t>
      </w:r>
      <w:r w:rsidR="001A363B" w:rsidRPr="000346A7">
        <w:rPr>
          <w:rFonts w:ascii="Times New Roman" w:hAnsi="Times New Roman" w:cs="Times New Roman"/>
          <w:sz w:val="24"/>
          <w:szCs w:val="24"/>
        </w:rPr>
        <w:t>its</w:t>
      </w:r>
      <w:r w:rsidR="00CF1F11" w:rsidRPr="000346A7">
        <w:rPr>
          <w:rFonts w:ascii="Times New Roman" w:hAnsi="Times New Roman" w:cs="Times New Roman"/>
          <w:sz w:val="24"/>
          <w:szCs w:val="24"/>
        </w:rPr>
        <w:t xml:space="preserve"> </w:t>
      </w:r>
      <w:r w:rsidR="00E448BA" w:rsidRPr="000346A7">
        <w:rPr>
          <w:rFonts w:ascii="Times New Roman" w:hAnsi="Times New Roman" w:cs="Times New Roman"/>
          <w:sz w:val="24"/>
          <w:szCs w:val="24"/>
        </w:rPr>
        <w:t>legal rights</w:t>
      </w:r>
      <w:r w:rsidR="00CF1F11" w:rsidRPr="000346A7">
        <w:rPr>
          <w:rFonts w:ascii="Times New Roman" w:hAnsi="Times New Roman" w:cs="Times New Roman"/>
          <w:sz w:val="24"/>
          <w:szCs w:val="24"/>
        </w:rPr>
        <w:t>.  Irreparable injury</w:t>
      </w:r>
      <w:r w:rsidR="00365F88" w:rsidRPr="000346A7">
        <w:rPr>
          <w:rFonts w:ascii="Times New Roman" w:hAnsi="Times New Roman" w:cs="Times New Roman"/>
          <w:sz w:val="24"/>
          <w:szCs w:val="24"/>
        </w:rPr>
        <w:t>,</w:t>
      </w:r>
      <w:r w:rsidR="00CF1F11" w:rsidRPr="000346A7">
        <w:rPr>
          <w:rFonts w:ascii="Times New Roman" w:hAnsi="Times New Roman" w:cs="Times New Roman"/>
          <w:sz w:val="24"/>
          <w:szCs w:val="24"/>
        </w:rPr>
        <w:t xml:space="preserve"> in this context</w:t>
      </w:r>
      <w:r w:rsidR="00365F88" w:rsidRPr="000346A7">
        <w:rPr>
          <w:rFonts w:ascii="Times New Roman" w:hAnsi="Times New Roman" w:cs="Times New Roman"/>
          <w:sz w:val="24"/>
          <w:szCs w:val="24"/>
        </w:rPr>
        <w:t>,</w:t>
      </w:r>
      <w:r w:rsidR="00CF1F11" w:rsidRPr="000346A7">
        <w:rPr>
          <w:rFonts w:ascii="Times New Roman" w:hAnsi="Times New Roman" w:cs="Times New Roman"/>
          <w:sz w:val="24"/>
          <w:szCs w:val="24"/>
        </w:rPr>
        <w:t xml:space="preserve"> </w:t>
      </w:r>
      <w:r w:rsidR="00100CF8" w:rsidRPr="000346A7">
        <w:rPr>
          <w:rFonts w:ascii="Times New Roman" w:hAnsi="Times New Roman" w:cs="Times New Roman"/>
          <w:sz w:val="24"/>
          <w:szCs w:val="24"/>
        </w:rPr>
        <w:t>entails</w:t>
      </w:r>
      <w:r w:rsidR="00CF1F11" w:rsidRPr="000346A7">
        <w:rPr>
          <w:rFonts w:ascii="Times New Roman" w:hAnsi="Times New Roman" w:cs="Times New Roman"/>
          <w:sz w:val="24"/>
          <w:szCs w:val="24"/>
        </w:rPr>
        <w:t xml:space="preserve"> loss or injury </w:t>
      </w:r>
      <w:r w:rsidR="00E448BA" w:rsidRPr="000346A7">
        <w:rPr>
          <w:rFonts w:ascii="Times New Roman" w:hAnsi="Times New Roman" w:cs="Times New Roman"/>
          <w:sz w:val="24"/>
          <w:szCs w:val="24"/>
        </w:rPr>
        <w:t xml:space="preserve">for which </w:t>
      </w:r>
      <w:r w:rsidR="00CF1F11" w:rsidRPr="000346A7">
        <w:rPr>
          <w:rFonts w:ascii="Times New Roman" w:hAnsi="Times New Roman" w:cs="Times New Roman"/>
          <w:sz w:val="24"/>
          <w:szCs w:val="24"/>
        </w:rPr>
        <w:t xml:space="preserve">either party </w:t>
      </w:r>
      <w:r w:rsidR="00E448BA" w:rsidRPr="000346A7">
        <w:rPr>
          <w:rFonts w:ascii="Times New Roman" w:hAnsi="Times New Roman" w:cs="Times New Roman"/>
          <w:sz w:val="24"/>
          <w:szCs w:val="24"/>
        </w:rPr>
        <w:t>could not be adequately compensated by an award of damages if the substantive suit were determined in the</w:t>
      </w:r>
      <w:r w:rsidR="00CF1F11" w:rsidRPr="000346A7">
        <w:rPr>
          <w:rFonts w:ascii="Times New Roman" w:hAnsi="Times New Roman" w:cs="Times New Roman"/>
          <w:sz w:val="24"/>
          <w:szCs w:val="24"/>
        </w:rPr>
        <w:t>ir</w:t>
      </w:r>
      <w:r w:rsidR="00E448BA" w:rsidRPr="000346A7">
        <w:rPr>
          <w:rFonts w:ascii="Times New Roman" w:hAnsi="Times New Roman" w:cs="Times New Roman"/>
          <w:sz w:val="24"/>
          <w:szCs w:val="24"/>
        </w:rPr>
        <w:t xml:space="preserve"> favour. </w:t>
      </w:r>
    </w:p>
    <w:p w:rsidR="00B728B4" w:rsidRPr="000346A7" w:rsidRDefault="00B728B4" w:rsidP="00B728B4">
      <w:pPr>
        <w:pStyle w:val="ListParagraph"/>
        <w:ind w:left="360"/>
        <w:jc w:val="both"/>
        <w:rPr>
          <w:rFonts w:ascii="Times New Roman" w:hAnsi="Times New Roman" w:cs="Times New Roman"/>
          <w:sz w:val="24"/>
          <w:szCs w:val="24"/>
        </w:rPr>
      </w:pPr>
    </w:p>
    <w:p w:rsidR="006F23ED" w:rsidRPr="000346A7" w:rsidRDefault="00E448BA" w:rsidP="006F23ED">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 </w:t>
      </w:r>
      <w:r w:rsidR="006F23ED" w:rsidRPr="000346A7">
        <w:rPr>
          <w:rFonts w:ascii="Times New Roman" w:hAnsi="Times New Roman" w:cs="Times New Roman"/>
          <w:sz w:val="24"/>
          <w:szCs w:val="24"/>
        </w:rPr>
        <w:t xml:space="preserve">For purposes of temporary injunctions, damages have been </w:t>
      </w:r>
      <w:r w:rsidR="0031605A" w:rsidRPr="000346A7">
        <w:rPr>
          <w:rFonts w:ascii="Times New Roman" w:hAnsi="Times New Roman" w:cs="Times New Roman"/>
          <w:sz w:val="24"/>
          <w:szCs w:val="24"/>
        </w:rPr>
        <w:t>considered</w:t>
      </w:r>
      <w:r w:rsidR="006F23ED" w:rsidRPr="000346A7">
        <w:rPr>
          <w:rFonts w:ascii="Times New Roman" w:hAnsi="Times New Roman" w:cs="Times New Roman"/>
          <w:sz w:val="24"/>
          <w:szCs w:val="24"/>
        </w:rPr>
        <w:t xml:space="preserve"> to be inadequate where:</w:t>
      </w:r>
    </w:p>
    <w:p w:rsidR="006F23ED" w:rsidRPr="000346A7" w:rsidRDefault="006F23ED" w:rsidP="006F23ED">
      <w:pPr>
        <w:pStyle w:val="ListParagraph"/>
        <w:numPr>
          <w:ilvl w:val="0"/>
          <w:numId w:val="18"/>
        </w:numPr>
        <w:jc w:val="both"/>
        <w:rPr>
          <w:rFonts w:ascii="Times New Roman" w:hAnsi="Times New Roman" w:cs="Times New Roman"/>
          <w:sz w:val="24"/>
          <w:szCs w:val="24"/>
        </w:rPr>
      </w:pPr>
      <w:r w:rsidRPr="000346A7">
        <w:rPr>
          <w:rFonts w:ascii="Times New Roman" w:hAnsi="Times New Roman" w:cs="Times New Roman"/>
          <w:sz w:val="24"/>
          <w:szCs w:val="24"/>
        </w:rPr>
        <w:t>The respondent is unlikely to pay the sum awardable at trial.</w:t>
      </w:r>
    </w:p>
    <w:p w:rsidR="006F23ED" w:rsidRPr="000346A7" w:rsidRDefault="006F23ED" w:rsidP="006F23ED">
      <w:pPr>
        <w:pStyle w:val="ListParagraph"/>
        <w:numPr>
          <w:ilvl w:val="0"/>
          <w:numId w:val="18"/>
        </w:numPr>
        <w:jc w:val="both"/>
        <w:rPr>
          <w:rFonts w:ascii="Times New Roman" w:hAnsi="Times New Roman" w:cs="Times New Roman"/>
          <w:sz w:val="24"/>
          <w:szCs w:val="24"/>
        </w:rPr>
      </w:pPr>
      <w:r w:rsidRPr="000346A7">
        <w:rPr>
          <w:rFonts w:ascii="Times New Roman" w:hAnsi="Times New Roman" w:cs="Times New Roman"/>
          <w:sz w:val="24"/>
          <w:szCs w:val="24"/>
        </w:rPr>
        <w:t>The wrong under consideration is irreparable, for instance, loss of the right to vote.</w:t>
      </w:r>
    </w:p>
    <w:p w:rsidR="006F23ED" w:rsidRPr="000346A7" w:rsidRDefault="006F23ED" w:rsidP="006F23ED">
      <w:pPr>
        <w:pStyle w:val="ListParagraph"/>
        <w:numPr>
          <w:ilvl w:val="0"/>
          <w:numId w:val="18"/>
        </w:numPr>
        <w:jc w:val="both"/>
        <w:rPr>
          <w:rFonts w:ascii="Times New Roman" w:hAnsi="Times New Roman" w:cs="Times New Roman"/>
          <w:sz w:val="24"/>
          <w:szCs w:val="24"/>
        </w:rPr>
      </w:pPr>
      <w:r w:rsidRPr="000346A7">
        <w:rPr>
          <w:rFonts w:ascii="Times New Roman" w:hAnsi="Times New Roman" w:cs="Times New Roman"/>
          <w:sz w:val="24"/>
          <w:szCs w:val="24"/>
        </w:rPr>
        <w:t>The damage or injury in question is non-pecuniary, for instance libel, nuisance, trade secrets; as opposed to contractually defined pecuniary amounts.</w:t>
      </w:r>
    </w:p>
    <w:p w:rsidR="00B728B4" w:rsidRPr="000346A7" w:rsidRDefault="006F23ED" w:rsidP="006F23ED">
      <w:pPr>
        <w:pStyle w:val="ListParagraph"/>
        <w:numPr>
          <w:ilvl w:val="0"/>
          <w:numId w:val="18"/>
        </w:numPr>
        <w:jc w:val="both"/>
        <w:rPr>
          <w:rFonts w:ascii="Times New Roman" w:hAnsi="Times New Roman" w:cs="Times New Roman"/>
          <w:sz w:val="24"/>
          <w:szCs w:val="24"/>
        </w:rPr>
      </w:pPr>
      <w:r w:rsidRPr="000346A7">
        <w:rPr>
          <w:rFonts w:ascii="Times New Roman" w:hAnsi="Times New Roman" w:cs="Times New Roman"/>
          <w:sz w:val="24"/>
          <w:szCs w:val="24"/>
        </w:rPr>
        <w:t xml:space="preserve">Damages would be difficult to assess, for instance loss of goodwill, disruption of business or future business prospects, and where a respondent’s conduct has the effect of killing off a business before it is established.  See </w:t>
      </w:r>
      <w:r w:rsidRPr="000346A7">
        <w:rPr>
          <w:rFonts w:ascii="Times New Roman" w:hAnsi="Times New Roman" w:cs="Times New Roman"/>
          <w:b/>
          <w:i/>
          <w:color w:val="000000"/>
          <w:sz w:val="24"/>
          <w:szCs w:val="24"/>
          <w:u w:val="single"/>
        </w:rPr>
        <w:t xml:space="preserve">‘Blackstone’s Civil Procedure’, </w:t>
      </w:r>
      <w:r w:rsidR="00B728B4" w:rsidRPr="000346A7">
        <w:rPr>
          <w:rFonts w:ascii="Times New Roman" w:hAnsi="Times New Roman" w:cs="Times New Roman"/>
          <w:b/>
          <w:i/>
          <w:color w:val="000000"/>
          <w:sz w:val="24"/>
          <w:szCs w:val="24"/>
          <w:u w:val="single"/>
        </w:rPr>
        <w:t xml:space="preserve">ibid., </w:t>
      </w:r>
      <w:r w:rsidRPr="000346A7">
        <w:rPr>
          <w:rFonts w:ascii="Times New Roman" w:hAnsi="Times New Roman" w:cs="Times New Roman"/>
          <w:b/>
          <w:color w:val="000000"/>
          <w:sz w:val="24"/>
          <w:szCs w:val="24"/>
          <w:u w:val="single"/>
        </w:rPr>
        <w:t>p. 394</w:t>
      </w:r>
      <w:r w:rsidRPr="000346A7">
        <w:rPr>
          <w:rFonts w:ascii="Times New Roman" w:hAnsi="Times New Roman" w:cs="Times New Roman"/>
          <w:color w:val="000000"/>
          <w:sz w:val="24"/>
          <w:szCs w:val="24"/>
        </w:rPr>
        <w:t xml:space="preserve">. </w:t>
      </w:r>
    </w:p>
    <w:p w:rsidR="009D23CD" w:rsidRPr="000346A7" w:rsidRDefault="009D23CD" w:rsidP="009D23CD">
      <w:pPr>
        <w:pStyle w:val="ListParagraph"/>
        <w:jc w:val="both"/>
        <w:rPr>
          <w:rFonts w:ascii="Times New Roman" w:hAnsi="Times New Roman" w:cs="Times New Roman"/>
          <w:sz w:val="24"/>
          <w:szCs w:val="24"/>
        </w:rPr>
      </w:pPr>
    </w:p>
    <w:p w:rsidR="009D23CD" w:rsidRPr="000346A7" w:rsidRDefault="006F23ED" w:rsidP="00D02C87">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This, obviously, is an indicative rather than exhaustive list</w:t>
      </w:r>
      <w:r w:rsidR="00D02C87" w:rsidRPr="000346A7">
        <w:rPr>
          <w:rFonts w:ascii="Times New Roman" w:hAnsi="Times New Roman" w:cs="Times New Roman"/>
          <w:sz w:val="24"/>
          <w:szCs w:val="24"/>
        </w:rPr>
        <w:t>; o</w:t>
      </w:r>
      <w:r w:rsidR="00A00E21" w:rsidRPr="000346A7">
        <w:rPr>
          <w:rFonts w:ascii="Times New Roman" w:hAnsi="Times New Roman" w:cs="Times New Roman"/>
          <w:sz w:val="24"/>
          <w:szCs w:val="24"/>
        </w:rPr>
        <w:t xml:space="preserve">ther factors </w:t>
      </w:r>
      <w:r w:rsidR="00483008" w:rsidRPr="000346A7">
        <w:rPr>
          <w:rFonts w:ascii="Times New Roman" w:hAnsi="Times New Roman" w:cs="Times New Roman"/>
          <w:sz w:val="24"/>
          <w:szCs w:val="24"/>
        </w:rPr>
        <w:t>would</w:t>
      </w:r>
      <w:r w:rsidR="00A00E21" w:rsidRPr="000346A7">
        <w:rPr>
          <w:rFonts w:ascii="Times New Roman" w:hAnsi="Times New Roman" w:cs="Times New Roman"/>
          <w:sz w:val="24"/>
          <w:szCs w:val="24"/>
        </w:rPr>
        <w:t xml:space="preserve"> come into play on </w:t>
      </w:r>
      <w:r w:rsidR="00100CF8" w:rsidRPr="000346A7">
        <w:rPr>
          <w:rFonts w:ascii="Times New Roman" w:hAnsi="Times New Roman" w:cs="Times New Roman"/>
          <w:sz w:val="24"/>
          <w:szCs w:val="24"/>
        </w:rPr>
        <w:t xml:space="preserve">a </w:t>
      </w:r>
      <w:r w:rsidR="00A00E21" w:rsidRPr="000346A7">
        <w:rPr>
          <w:rFonts w:ascii="Times New Roman" w:hAnsi="Times New Roman" w:cs="Times New Roman"/>
          <w:sz w:val="24"/>
          <w:szCs w:val="24"/>
        </w:rPr>
        <w:t xml:space="preserve">case by case basis.  </w:t>
      </w:r>
      <w:r w:rsidRPr="000346A7">
        <w:rPr>
          <w:rFonts w:ascii="Times New Roman" w:hAnsi="Times New Roman" w:cs="Times New Roman"/>
          <w:color w:val="000000"/>
          <w:sz w:val="24"/>
          <w:szCs w:val="24"/>
        </w:rPr>
        <w:t xml:space="preserve">Ultimately, </w:t>
      </w:r>
      <w:r w:rsidR="00646064" w:rsidRPr="000346A7">
        <w:rPr>
          <w:rFonts w:ascii="Times New Roman" w:hAnsi="Times New Roman" w:cs="Times New Roman"/>
          <w:color w:val="000000"/>
          <w:sz w:val="24"/>
          <w:szCs w:val="24"/>
        </w:rPr>
        <w:t xml:space="preserve">however, </w:t>
      </w:r>
      <w:r w:rsidR="00652734" w:rsidRPr="000346A7">
        <w:rPr>
          <w:rFonts w:ascii="Times New Roman" w:hAnsi="Times New Roman" w:cs="Times New Roman"/>
          <w:sz w:val="24"/>
          <w:szCs w:val="24"/>
        </w:rPr>
        <w:t xml:space="preserve">when there is doubt as to the adequacy of damages by either party or, indeed, where other factors appear to be evenly balanced, it is </w:t>
      </w:r>
      <w:r w:rsidR="00F51D40" w:rsidRPr="000346A7">
        <w:rPr>
          <w:rFonts w:ascii="Times New Roman" w:hAnsi="Times New Roman" w:cs="Times New Roman"/>
          <w:sz w:val="24"/>
          <w:szCs w:val="24"/>
        </w:rPr>
        <w:t xml:space="preserve">a counsel of </w:t>
      </w:r>
      <w:r w:rsidR="00652734" w:rsidRPr="000346A7">
        <w:rPr>
          <w:rFonts w:ascii="Times New Roman" w:hAnsi="Times New Roman" w:cs="Times New Roman"/>
          <w:sz w:val="24"/>
          <w:szCs w:val="24"/>
        </w:rPr>
        <w:t>pruden</w:t>
      </w:r>
      <w:r w:rsidR="00F51D40" w:rsidRPr="000346A7">
        <w:rPr>
          <w:rFonts w:ascii="Times New Roman" w:hAnsi="Times New Roman" w:cs="Times New Roman"/>
          <w:sz w:val="24"/>
          <w:szCs w:val="24"/>
        </w:rPr>
        <w:t>ce</w:t>
      </w:r>
      <w:r w:rsidR="00652734" w:rsidRPr="000346A7">
        <w:rPr>
          <w:rFonts w:ascii="Times New Roman" w:hAnsi="Times New Roman" w:cs="Times New Roman"/>
          <w:sz w:val="24"/>
          <w:szCs w:val="24"/>
        </w:rPr>
        <w:t xml:space="preserve"> for courts to preserv</w:t>
      </w:r>
      <w:r w:rsidR="00F51D40" w:rsidRPr="000346A7">
        <w:rPr>
          <w:rFonts w:ascii="Times New Roman" w:hAnsi="Times New Roman" w:cs="Times New Roman"/>
          <w:sz w:val="24"/>
          <w:szCs w:val="24"/>
        </w:rPr>
        <w:t>e</w:t>
      </w:r>
      <w:r w:rsidR="00652734" w:rsidRPr="000346A7">
        <w:rPr>
          <w:rFonts w:ascii="Times New Roman" w:hAnsi="Times New Roman" w:cs="Times New Roman"/>
          <w:sz w:val="24"/>
          <w:szCs w:val="24"/>
        </w:rPr>
        <w:t xml:space="preserve"> the status quo.  </w:t>
      </w:r>
      <w:r w:rsidR="00D02C87" w:rsidRPr="000346A7">
        <w:rPr>
          <w:rFonts w:ascii="Times New Roman" w:hAnsi="Times New Roman" w:cs="Times New Roman"/>
          <w:sz w:val="24"/>
          <w:szCs w:val="24"/>
        </w:rPr>
        <w:t xml:space="preserve">Accordingly, </w:t>
      </w:r>
      <w:r w:rsidR="00E24F90" w:rsidRPr="000346A7">
        <w:rPr>
          <w:rFonts w:ascii="Times New Roman" w:hAnsi="Times New Roman" w:cs="Times New Roman"/>
          <w:sz w:val="24"/>
          <w:szCs w:val="24"/>
        </w:rPr>
        <w:t xml:space="preserve">the law on temporary injunctions </w:t>
      </w:r>
      <w:r w:rsidR="00D02C87" w:rsidRPr="000346A7">
        <w:rPr>
          <w:rFonts w:ascii="Times New Roman" w:hAnsi="Times New Roman" w:cs="Times New Roman"/>
          <w:sz w:val="24"/>
          <w:szCs w:val="24"/>
        </w:rPr>
        <w:t xml:space="preserve">may be summed up </w:t>
      </w:r>
      <w:r w:rsidR="00E24F90" w:rsidRPr="000346A7">
        <w:rPr>
          <w:rFonts w:ascii="Times New Roman" w:hAnsi="Times New Roman" w:cs="Times New Roman"/>
          <w:sz w:val="24"/>
          <w:szCs w:val="24"/>
        </w:rPr>
        <w:t xml:space="preserve">as follows: an applicant must, first, demonstrate the existence of a serious question to be tried; should such serious triable issue not have been demonstrated, the application would fail on that premise alone.  However, where a serious triable issue has been duly demonstrated, the </w:t>
      </w:r>
      <w:r w:rsidR="00C22A62" w:rsidRPr="000346A7">
        <w:rPr>
          <w:rFonts w:ascii="Times New Roman" w:hAnsi="Times New Roman" w:cs="Times New Roman"/>
          <w:sz w:val="24"/>
          <w:szCs w:val="24"/>
        </w:rPr>
        <w:t xml:space="preserve">court </w:t>
      </w:r>
      <w:r w:rsidR="00DB2958" w:rsidRPr="000346A7">
        <w:rPr>
          <w:rFonts w:ascii="Times New Roman" w:hAnsi="Times New Roman" w:cs="Times New Roman"/>
          <w:sz w:val="24"/>
          <w:szCs w:val="24"/>
        </w:rPr>
        <w:t xml:space="preserve">would then </w:t>
      </w:r>
      <w:r w:rsidR="00C22A62" w:rsidRPr="000346A7">
        <w:rPr>
          <w:rFonts w:ascii="Times New Roman" w:hAnsi="Times New Roman" w:cs="Times New Roman"/>
          <w:sz w:val="24"/>
          <w:szCs w:val="24"/>
        </w:rPr>
        <w:t>consider the balance of convenience of the matter.  Alongside other factors that may differ from case to case</w:t>
      </w:r>
      <w:r w:rsidR="0040262B" w:rsidRPr="000346A7">
        <w:rPr>
          <w:rFonts w:ascii="Times New Roman" w:hAnsi="Times New Roman" w:cs="Times New Roman"/>
          <w:sz w:val="24"/>
          <w:szCs w:val="24"/>
        </w:rPr>
        <w:t xml:space="preserve">, the balance of convenience may be deduced from </w:t>
      </w:r>
      <w:r w:rsidR="00C22A62" w:rsidRPr="000346A7">
        <w:rPr>
          <w:rFonts w:ascii="Times New Roman" w:hAnsi="Times New Roman" w:cs="Times New Roman"/>
          <w:sz w:val="24"/>
          <w:szCs w:val="24"/>
        </w:rPr>
        <w:t>wh</w:t>
      </w:r>
      <w:r w:rsidR="00205267" w:rsidRPr="000346A7">
        <w:rPr>
          <w:rFonts w:ascii="Times New Roman" w:hAnsi="Times New Roman" w:cs="Times New Roman"/>
          <w:sz w:val="24"/>
          <w:szCs w:val="24"/>
        </w:rPr>
        <w:t xml:space="preserve">ich </w:t>
      </w:r>
      <w:r w:rsidR="00C22A62" w:rsidRPr="000346A7">
        <w:rPr>
          <w:rFonts w:ascii="Times New Roman" w:hAnsi="Times New Roman" w:cs="Times New Roman"/>
          <w:sz w:val="24"/>
          <w:szCs w:val="24"/>
        </w:rPr>
        <w:t xml:space="preserve">of the </w:t>
      </w:r>
      <w:r w:rsidR="00205267" w:rsidRPr="000346A7">
        <w:rPr>
          <w:rFonts w:ascii="Times New Roman" w:hAnsi="Times New Roman" w:cs="Times New Roman"/>
          <w:sz w:val="24"/>
          <w:szCs w:val="24"/>
        </w:rPr>
        <w:t>opposing</w:t>
      </w:r>
      <w:r w:rsidR="00C22A62" w:rsidRPr="000346A7">
        <w:rPr>
          <w:rFonts w:ascii="Times New Roman" w:hAnsi="Times New Roman" w:cs="Times New Roman"/>
          <w:sz w:val="24"/>
          <w:szCs w:val="24"/>
        </w:rPr>
        <w:t xml:space="preserve"> parties stands to suffer</w:t>
      </w:r>
      <w:r w:rsidR="00483008" w:rsidRPr="000346A7">
        <w:rPr>
          <w:rFonts w:ascii="Times New Roman" w:hAnsi="Times New Roman" w:cs="Times New Roman"/>
          <w:sz w:val="24"/>
          <w:szCs w:val="24"/>
        </w:rPr>
        <w:t xml:space="preserve"> </w:t>
      </w:r>
      <w:r w:rsidR="00C22A62" w:rsidRPr="000346A7">
        <w:rPr>
          <w:rFonts w:ascii="Times New Roman" w:hAnsi="Times New Roman" w:cs="Times New Roman"/>
          <w:sz w:val="24"/>
          <w:szCs w:val="24"/>
        </w:rPr>
        <w:t>injury or loss that cannot be adequately compensated by damages should the substantive suit be determined in his/ her favour</w:t>
      </w:r>
      <w:r w:rsidR="00483008" w:rsidRPr="000346A7">
        <w:rPr>
          <w:rFonts w:ascii="Times New Roman" w:hAnsi="Times New Roman" w:cs="Times New Roman"/>
          <w:sz w:val="24"/>
          <w:szCs w:val="24"/>
        </w:rPr>
        <w:t>; or indeed, which party stands to suffer greater irreparable injury</w:t>
      </w:r>
      <w:r w:rsidR="00C22A62" w:rsidRPr="000346A7">
        <w:rPr>
          <w:rFonts w:ascii="Times New Roman" w:hAnsi="Times New Roman" w:cs="Times New Roman"/>
          <w:sz w:val="24"/>
          <w:szCs w:val="24"/>
        </w:rPr>
        <w:t xml:space="preserve">.  </w:t>
      </w:r>
      <w:r w:rsidR="0040262B" w:rsidRPr="000346A7">
        <w:rPr>
          <w:rFonts w:ascii="Times New Roman" w:hAnsi="Times New Roman" w:cs="Times New Roman"/>
          <w:sz w:val="24"/>
          <w:szCs w:val="24"/>
        </w:rPr>
        <w:t xml:space="preserve">For present purposes where matrimonial homes are </w:t>
      </w:r>
      <w:r w:rsidR="00C401BB" w:rsidRPr="000346A7">
        <w:rPr>
          <w:rFonts w:ascii="Times New Roman" w:hAnsi="Times New Roman" w:cs="Times New Roman"/>
          <w:sz w:val="24"/>
          <w:szCs w:val="24"/>
        </w:rPr>
        <w:t>at stake</w:t>
      </w:r>
      <w:r w:rsidR="0040262B" w:rsidRPr="000346A7">
        <w:rPr>
          <w:rFonts w:ascii="Times New Roman" w:hAnsi="Times New Roman" w:cs="Times New Roman"/>
          <w:sz w:val="24"/>
          <w:szCs w:val="24"/>
        </w:rPr>
        <w:t xml:space="preserve">, </w:t>
      </w:r>
      <w:r w:rsidR="00C401BB" w:rsidRPr="000346A7">
        <w:rPr>
          <w:rFonts w:ascii="Times New Roman" w:hAnsi="Times New Roman" w:cs="Times New Roman"/>
          <w:sz w:val="24"/>
          <w:szCs w:val="24"/>
        </w:rPr>
        <w:t xml:space="preserve">the adequacy of an award of damages </w:t>
      </w:r>
      <w:r w:rsidR="0040262B" w:rsidRPr="000346A7">
        <w:rPr>
          <w:rFonts w:ascii="Times New Roman" w:hAnsi="Times New Roman" w:cs="Times New Roman"/>
          <w:sz w:val="24"/>
          <w:szCs w:val="24"/>
        </w:rPr>
        <w:t>may</w:t>
      </w:r>
      <w:r w:rsidR="00C401BB" w:rsidRPr="000346A7">
        <w:rPr>
          <w:rFonts w:ascii="Times New Roman" w:hAnsi="Times New Roman" w:cs="Times New Roman"/>
          <w:sz w:val="24"/>
          <w:szCs w:val="24"/>
        </w:rPr>
        <w:t xml:space="preserve">, in turn, be deduced from </w:t>
      </w:r>
      <w:r w:rsidR="0040262B" w:rsidRPr="000346A7">
        <w:rPr>
          <w:rFonts w:ascii="Times New Roman" w:hAnsi="Times New Roman" w:cs="Times New Roman"/>
          <w:sz w:val="24"/>
          <w:szCs w:val="24"/>
        </w:rPr>
        <w:t>the ability of the 5</w:t>
      </w:r>
      <w:r w:rsidR="0040262B" w:rsidRPr="000346A7">
        <w:rPr>
          <w:rFonts w:ascii="Times New Roman" w:hAnsi="Times New Roman" w:cs="Times New Roman"/>
          <w:sz w:val="24"/>
          <w:szCs w:val="24"/>
          <w:vertAlign w:val="superscript"/>
        </w:rPr>
        <w:t>th</w:t>
      </w:r>
      <w:r w:rsidR="0040262B" w:rsidRPr="000346A7">
        <w:rPr>
          <w:rFonts w:ascii="Times New Roman" w:hAnsi="Times New Roman" w:cs="Times New Roman"/>
          <w:sz w:val="24"/>
          <w:szCs w:val="24"/>
        </w:rPr>
        <w:t xml:space="preserve"> respondent to meaningfully recompense the applicants for the loss thereof.  </w:t>
      </w:r>
      <w:r w:rsidR="00C22A62" w:rsidRPr="000346A7">
        <w:rPr>
          <w:rFonts w:ascii="Times New Roman" w:hAnsi="Times New Roman" w:cs="Times New Roman"/>
          <w:sz w:val="24"/>
          <w:szCs w:val="24"/>
        </w:rPr>
        <w:t xml:space="preserve">Finally, </w:t>
      </w:r>
      <w:r w:rsidR="00247695" w:rsidRPr="000346A7">
        <w:rPr>
          <w:rFonts w:ascii="Times New Roman" w:hAnsi="Times New Roman" w:cs="Times New Roman"/>
          <w:sz w:val="24"/>
          <w:szCs w:val="24"/>
        </w:rPr>
        <w:t>where the</w:t>
      </w:r>
      <w:r w:rsidR="0040262B" w:rsidRPr="000346A7">
        <w:rPr>
          <w:rFonts w:ascii="Times New Roman" w:hAnsi="Times New Roman" w:cs="Times New Roman"/>
          <w:sz w:val="24"/>
          <w:szCs w:val="24"/>
        </w:rPr>
        <w:t>se</w:t>
      </w:r>
      <w:r w:rsidR="00247695" w:rsidRPr="000346A7">
        <w:rPr>
          <w:rFonts w:ascii="Times New Roman" w:hAnsi="Times New Roman" w:cs="Times New Roman"/>
          <w:sz w:val="24"/>
          <w:szCs w:val="24"/>
        </w:rPr>
        <w:t xml:space="preserve"> factors appear to be evenly balanced, it is prudent that the status quo be preserved. </w:t>
      </w:r>
      <w:r w:rsidR="00C22A62" w:rsidRPr="000346A7">
        <w:rPr>
          <w:rFonts w:ascii="Times New Roman" w:hAnsi="Times New Roman" w:cs="Times New Roman"/>
          <w:sz w:val="24"/>
          <w:szCs w:val="24"/>
        </w:rPr>
        <w:t xml:space="preserve"> </w:t>
      </w:r>
    </w:p>
    <w:p w:rsidR="009D23CD" w:rsidRPr="000346A7" w:rsidRDefault="009D23CD" w:rsidP="009D23CD">
      <w:pPr>
        <w:pStyle w:val="ListParagraph"/>
        <w:rPr>
          <w:rFonts w:ascii="Times New Roman" w:hAnsi="Times New Roman" w:cs="Times New Roman"/>
          <w:sz w:val="24"/>
          <w:szCs w:val="24"/>
        </w:rPr>
      </w:pPr>
    </w:p>
    <w:p w:rsidR="00812DED" w:rsidRPr="000346A7" w:rsidRDefault="003A0A72" w:rsidP="009D23CD">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 </w:t>
      </w:r>
      <w:r w:rsidR="004D5473" w:rsidRPr="000346A7">
        <w:rPr>
          <w:rFonts w:ascii="Times New Roman" w:hAnsi="Times New Roman" w:cs="Times New Roman"/>
          <w:sz w:val="24"/>
          <w:szCs w:val="24"/>
        </w:rPr>
        <w:t xml:space="preserve">In the present application </w:t>
      </w:r>
      <w:r w:rsidR="004F2D09" w:rsidRPr="000346A7">
        <w:rPr>
          <w:rFonts w:ascii="Times New Roman" w:hAnsi="Times New Roman" w:cs="Times New Roman"/>
          <w:sz w:val="24"/>
          <w:szCs w:val="24"/>
        </w:rPr>
        <w:t xml:space="preserve">the applicants contested the </w:t>
      </w:r>
      <w:r w:rsidR="004D5473" w:rsidRPr="000346A7">
        <w:rPr>
          <w:rFonts w:ascii="Times New Roman" w:hAnsi="Times New Roman" w:cs="Times New Roman"/>
          <w:sz w:val="24"/>
          <w:szCs w:val="24"/>
        </w:rPr>
        <w:t>validity</w:t>
      </w:r>
      <w:r w:rsidR="004F2D09" w:rsidRPr="000346A7">
        <w:rPr>
          <w:rFonts w:ascii="Times New Roman" w:hAnsi="Times New Roman" w:cs="Times New Roman"/>
          <w:sz w:val="24"/>
          <w:szCs w:val="24"/>
        </w:rPr>
        <w:t xml:space="preserve"> of the mortgage transaction, questioning the </w:t>
      </w:r>
      <w:r w:rsidR="00483008" w:rsidRPr="000346A7">
        <w:rPr>
          <w:rFonts w:ascii="Times New Roman" w:hAnsi="Times New Roman" w:cs="Times New Roman"/>
          <w:sz w:val="24"/>
          <w:szCs w:val="24"/>
        </w:rPr>
        <w:t>authenticity of the</w:t>
      </w:r>
      <w:r w:rsidR="004F2D09" w:rsidRPr="000346A7">
        <w:rPr>
          <w:rFonts w:ascii="Times New Roman" w:hAnsi="Times New Roman" w:cs="Times New Roman"/>
          <w:sz w:val="24"/>
          <w:szCs w:val="24"/>
        </w:rPr>
        <w:t xml:space="preserve"> written consent </w:t>
      </w:r>
      <w:r w:rsidR="00AE440A" w:rsidRPr="000346A7">
        <w:rPr>
          <w:rFonts w:ascii="Times New Roman" w:hAnsi="Times New Roman" w:cs="Times New Roman"/>
          <w:sz w:val="24"/>
          <w:szCs w:val="24"/>
        </w:rPr>
        <w:t>attributed to</w:t>
      </w:r>
      <w:r w:rsidR="004F2D09" w:rsidRPr="000346A7">
        <w:rPr>
          <w:rFonts w:ascii="Times New Roman" w:hAnsi="Times New Roman" w:cs="Times New Roman"/>
          <w:sz w:val="24"/>
          <w:szCs w:val="24"/>
        </w:rPr>
        <w:t xml:space="preserve"> the </w:t>
      </w:r>
      <w:r w:rsidR="00934794" w:rsidRPr="000346A7">
        <w:rPr>
          <w:rFonts w:ascii="Times New Roman" w:hAnsi="Times New Roman" w:cs="Times New Roman"/>
          <w:sz w:val="24"/>
          <w:szCs w:val="24"/>
        </w:rPr>
        <w:t>second</w:t>
      </w:r>
      <w:r w:rsidR="00483008" w:rsidRPr="000346A7">
        <w:rPr>
          <w:rFonts w:ascii="Times New Roman" w:hAnsi="Times New Roman" w:cs="Times New Roman"/>
          <w:sz w:val="24"/>
          <w:szCs w:val="24"/>
        </w:rPr>
        <w:t xml:space="preserve"> applicant,</w:t>
      </w:r>
      <w:r w:rsidR="004F2D09" w:rsidRPr="000346A7">
        <w:rPr>
          <w:rFonts w:ascii="Times New Roman" w:hAnsi="Times New Roman" w:cs="Times New Roman"/>
          <w:sz w:val="24"/>
          <w:szCs w:val="24"/>
        </w:rPr>
        <w:t xml:space="preserve"> as well as the </w:t>
      </w:r>
      <w:r w:rsidR="00934794" w:rsidRPr="000346A7">
        <w:rPr>
          <w:rFonts w:ascii="Times New Roman" w:hAnsi="Times New Roman" w:cs="Times New Roman"/>
          <w:sz w:val="24"/>
          <w:szCs w:val="24"/>
        </w:rPr>
        <w:t>second</w:t>
      </w:r>
      <w:r w:rsidR="00483008"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483008" w:rsidRPr="000346A7">
        <w:rPr>
          <w:rFonts w:ascii="Times New Roman" w:hAnsi="Times New Roman" w:cs="Times New Roman"/>
          <w:sz w:val="24"/>
          <w:szCs w:val="24"/>
        </w:rPr>
        <w:t xml:space="preserve"> respondents’ </w:t>
      </w:r>
      <w:r w:rsidR="00AE440A" w:rsidRPr="000346A7">
        <w:rPr>
          <w:rFonts w:ascii="Times New Roman" w:hAnsi="Times New Roman" w:cs="Times New Roman"/>
          <w:sz w:val="24"/>
          <w:szCs w:val="24"/>
        </w:rPr>
        <w:t xml:space="preserve">purported </w:t>
      </w:r>
      <w:r w:rsidR="004F2D09" w:rsidRPr="000346A7">
        <w:rPr>
          <w:rFonts w:ascii="Times New Roman" w:hAnsi="Times New Roman" w:cs="Times New Roman"/>
          <w:sz w:val="24"/>
          <w:szCs w:val="24"/>
        </w:rPr>
        <w:t xml:space="preserve">waivers </w:t>
      </w:r>
      <w:r w:rsidR="00483008" w:rsidRPr="000346A7">
        <w:rPr>
          <w:rFonts w:ascii="Times New Roman" w:hAnsi="Times New Roman" w:cs="Times New Roman"/>
          <w:sz w:val="24"/>
          <w:szCs w:val="24"/>
        </w:rPr>
        <w:t>there</w:t>
      </w:r>
      <w:r w:rsidR="004F2D09" w:rsidRPr="000346A7">
        <w:rPr>
          <w:rFonts w:ascii="Times New Roman" w:hAnsi="Times New Roman" w:cs="Times New Roman"/>
          <w:sz w:val="24"/>
          <w:szCs w:val="24"/>
        </w:rPr>
        <w:t>of</w:t>
      </w:r>
      <w:r w:rsidR="00483008" w:rsidRPr="000346A7">
        <w:rPr>
          <w:rFonts w:ascii="Times New Roman" w:hAnsi="Times New Roman" w:cs="Times New Roman"/>
          <w:sz w:val="24"/>
          <w:szCs w:val="24"/>
        </w:rPr>
        <w:t>.</w:t>
      </w:r>
      <w:r w:rsidR="004F2D09" w:rsidRPr="000346A7">
        <w:rPr>
          <w:rFonts w:ascii="Times New Roman" w:hAnsi="Times New Roman" w:cs="Times New Roman"/>
          <w:sz w:val="24"/>
          <w:szCs w:val="24"/>
        </w:rPr>
        <w:t xml:space="preserve">  They </w:t>
      </w:r>
      <w:r w:rsidR="004D5473" w:rsidRPr="000346A7">
        <w:rPr>
          <w:rFonts w:ascii="Times New Roman" w:hAnsi="Times New Roman" w:cs="Times New Roman"/>
          <w:sz w:val="24"/>
          <w:szCs w:val="24"/>
        </w:rPr>
        <w:t xml:space="preserve">thus impute fraud in the mortgage transaction and </w:t>
      </w:r>
      <w:r w:rsidR="004F2D09" w:rsidRPr="000346A7">
        <w:rPr>
          <w:rFonts w:ascii="Times New Roman" w:hAnsi="Times New Roman" w:cs="Times New Roman"/>
          <w:sz w:val="24"/>
          <w:szCs w:val="24"/>
        </w:rPr>
        <w:t xml:space="preserve">contend that </w:t>
      </w:r>
      <w:r w:rsidR="00205267" w:rsidRPr="000346A7">
        <w:rPr>
          <w:rFonts w:ascii="Times New Roman" w:hAnsi="Times New Roman" w:cs="Times New Roman"/>
          <w:sz w:val="24"/>
          <w:szCs w:val="24"/>
        </w:rPr>
        <w:t xml:space="preserve">the execution of the mortgage deeds without requisite spousal consent </w:t>
      </w:r>
      <w:r w:rsidR="00D53C66" w:rsidRPr="000346A7">
        <w:rPr>
          <w:rFonts w:ascii="Times New Roman" w:hAnsi="Times New Roman" w:cs="Times New Roman"/>
          <w:sz w:val="24"/>
          <w:szCs w:val="24"/>
        </w:rPr>
        <w:t xml:space="preserve">raises serious triable issues.  </w:t>
      </w:r>
    </w:p>
    <w:p w:rsidR="009F5808" w:rsidRPr="000346A7" w:rsidRDefault="009F5808" w:rsidP="009F5808">
      <w:pPr>
        <w:pStyle w:val="ListParagraph"/>
        <w:rPr>
          <w:rFonts w:ascii="Times New Roman" w:hAnsi="Times New Roman" w:cs="Times New Roman"/>
          <w:sz w:val="24"/>
          <w:szCs w:val="24"/>
        </w:rPr>
      </w:pPr>
    </w:p>
    <w:p w:rsidR="009D23CD" w:rsidRPr="000346A7" w:rsidRDefault="00A317AE" w:rsidP="009F580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The requirement for spousal consent prior to execution of a mortgage </w:t>
      </w:r>
      <w:r w:rsidR="00AD6216" w:rsidRPr="000346A7">
        <w:rPr>
          <w:rFonts w:ascii="Times New Roman" w:hAnsi="Times New Roman" w:cs="Times New Roman"/>
          <w:sz w:val="24"/>
          <w:szCs w:val="24"/>
        </w:rPr>
        <w:t xml:space="preserve">in respect of a matrimonial home </w:t>
      </w:r>
      <w:r w:rsidRPr="000346A7">
        <w:rPr>
          <w:rFonts w:ascii="Times New Roman" w:hAnsi="Times New Roman" w:cs="Times New Roman"/>
          <w:sz w:val="24"/>
          <w:szCs w:val="24"/>
        </w:rPr>
        <w:t xml:space="preserve">is explicitly provided for in section </w:t>
      </w:r>
      <w:r w:rsidR="00AD6216" w:rsidRPr="000346A7">
        <w:rPr>
          <w:rFonts w:ascii="Times New Roman" w:hAnsi="Times New Roman" w:cs="Times New Roman"/>
          <w:sz w:val="24"/>
          <w:szCs w:val="24"/>
        </w:rPr>
        <w:t>39(1)(a)</w:t>
      </w:r>
      <w:r w:rsidR="00205267" w:rsidRPr="000346A7">
        <w:rPr>
          <w:rFonts w:ascii="Times New Roman" w:hAnsi="Times New Roman" w:cs="Times New Roman"/>
          <w:sz w:val="24"/>
          <w:szCs w:val="24"/>
        </w:rPr>
        <w:t xml:space="preserve">(i) </w:t>
      </w:r>
      <w:r w:rsidR="003F42F6" w:rsidRPr="000346A7">
        <w:rPr>
          <w:rFonts w:ascii="Times New Roman" w:hAnsi="Times New Roman" w:cs="Times New Roman"/>
          <w:sz w:val="24"/>
          <w:szCs w:val="24"/>
        </w:rPr>
        <w:t xml:space="preserve">of the </w:t>
      </w:r>
      <w:r w:rsidR="00205267" w:rsidRPr="000346A7">
        <w:rPr>
          <w:rFonts w:ascii="Times New Roman" w:hAnsi="Times New Roman" w:cs="Times New Roman"/>
          <w:sz w:val="24"/>
          <w:szCs w:val="24"/>
        </w:rPr>
        <w:t>Land</w:t>
      </w:r>
      <w:r w:rsidR="003F42F6" w:rsidRPr="000346A7">
        <w:rPr>
          <w:rFonts w:ascii="Times New Roman" w:hAnsi="Times New Roman" w:cs="Times New Roman"/>
          <w:sz w:val="24"/>
          <w:szCs w:val="24"/>
        </w:rPr>
        <w:t xml:space="preserve"> Act</w:t>
      </w:r>
      <w:r w:rsidR="00B04622" w:rsidRPr="000346A7">
        <w:rPr>
          <w:rFonts w:ascii="Times New Roman" w:hAnsi="Times New Roman" w:cs="Times New Roman"/>
          <w:sz w:val="24"/>
          <w:szCs w:val="24"/>
        </w:rPr>
        <w:t xml:space="preserve">.  </w:t>
      </w:r>
      <w:r w:rsidR="00646064" w:rsidRPr="000346A7">
        <w:rPr>
          <w:rFonts w:ascii="Times New Roman" w:hAnsi="Times New Roman" w:cs="Times New Roman"/>
          <w:sz w:val="24"/>
          <w:szCs w:val="24"/>
        </w:rPr>
        <w:t>T</w:t>
      </w:r>
      <w:r w:rsidR="00B04622" w:rsidRPr="000346A7">
        <w:rPr>
          <w:rFonts w:ascii="Times New Roman" w:hAnsi="Times New Roman" w:cs="Times New Roman"/>
          <w:sz w:val="24"/>
          <w:szCs w:val="24"/>
        </w:rPr>
        <w:t>hat legal provision</w:t>
      </w:r>
      <w:r w:rsidR="00646064" w:rsidRPr="000346A7">
        <w:rPr>
          <w:rFonts w:ascii="Times New Roman" w:hAnsi="Times New Roman" w:cs="Times New Roman"/>
          <w:sz w:val="24"/>
          <w:szCs w:val="24"/>
        </w:rPr>
        <w:t xml:space="preserve"> notwithstanding</w:t>
      </w:r>
      <w:r w:rsidR="00B04622" w:rsidRPr="000346A7">
        <w:rPr>
          <w:rFonts w:ascii="Times New Roman" w:hAnsi="Times New Roman" w:cs="Times New Roman"/>
          <w:sz w:val="24"/>
          <w:szCs w:val="24"/>
        </w:rPr>
        <w:t>, section 5</w:t>
      </w:r>
      <w:r w:rsidR="00AD6216" w:rsidRPr="000346A7">
        <w:rPr>
          <w:rFonts w:ascii="Times New Roman" w:hAnsi="Times New Roman" w:cs="Times New Roman"/>
          <w:sz w:val="24"/>
          <w:szCs w:val="24"/>
        </w:rPr>
        <w:t xml:space="preserve">(1)(b) of the </w:t>
      </w:r>
      <w:r w:rsidR="00B04622" w:rsidRPr="000346A7">
        <w:rPr>
          <w:rFonts w:ascii="Times New Roman" w:hAnsi="Times New Roman" w:cs="Times New Roman"/>
          <w:sz w:val="24"/>
          <w:szCs w:val="24"/>
        </w:rPr>
        <w:t>Mortgage Act, 2009</w:t>
      </w:r>
      <w:r w:rsidR="00AD6216" w:rsidRPr="000346A7">
        <w:rPr>
          <w:rFonts w:ascii="Times New Roman" w:hAnsi="Times New Roman" w:cs="Times New Roman"/>
          <w:sz w:val="24"/>
          <w:szCs w:val="24"/>
        </w:rPr>
        <w:t xml:space="preserve"> does recognise the mortgage of a matrimonial home where ‘</w:t>
      </w:r>
      <w:r w:rsidR="00B04622" w:rsidRPr="000346A7">
        <w:rPr>
          <w:rFonts w:ascii="Times New Roman" w:hAnsi="Times New Roman" w:cs="Times New Roman"/>
          <w:b/>
          <w:sz w:val="24"/>
          <w:szCs w:val="24"/>
        </w:rPr>
        <w:t xml:space="preserve">any document or form used to grant the mortgage is signed by or there is evidence that it has been assented to </w:t>
      </w:r>
      <w:r w:rsidR="00AD6216" w:rsidRPr="000346A7">
        <w:rPr>
          <w:rFonts w:ascii="Times New Roman" w:hAnsi="Times New Roman" w:cs="Times New Roman"/>
          <w:b/>
          <w:sz w:val="24"/>
          <w:szCs w:val="24"/>
        </w:rPr>
        <w:t xml:space="preserve">by the mortgagor </w:t>
      </w:r>
      <w:r w:rsidR="00AD6216" w:rsidRPr="000346A7">
        <w:rPr>
          <w:rFonts w:ascii="Times New Roman" w:hAnsi="Times New Roman" w:cs="Times New Roman"/>
          <w:b/>
          <w:sz w:val="24"/>
          <w:szCs w:val="24"/>
        </w:rPr>
        <w:lastRenderedPageBreak/>
        <w:t>and the spouse or spouses of the mortgagor living in that matrimonial home</w:t>
      </w:r>
      <w:r w:rsidR="00AD6216" w:rsidRPr="000346A7">
        <w:rPr>
          <w:rFonts w:ascii="Times New Roman" w:hAnsi="Times New Roman" w:cs="Times New Roman"/>
          <w:sz w:val="24"/>
          <w:szCs w:val="24"/>
        </w:rPr>
        <w:t>.’</w:t>
      </w:r>
      <w:r w:rsidR="000377A0" w:rsidRPr="000346A7">
        <w:rPr>
          <w:rFonts w:ascii="Times New Roman" w:hAnsi="Times New Roman" w:cs="Times New Roman"/>
          <w:sz w:val="24"/>
          <w:szCs w:val="24"/>
        </w:rPr>
        <w:t xml:space="preserve">  In the instant case</w:t>
      </w:r>
      <w:r w:rsidR="00483008" w:rsidRPr="000346A7">
        <w:rPr>
          <w:rFonts w:ascii="Times New Roman" w:hAnsi="Times New Roman" w:cs="Times New Roman"/>
          <w:sz w:val="24"/>
          <w:szCs w:val="24"/>
        </w:rPr>
        <w:t xml:space="preserve"> where </w:t>
      </w:r>
      <w:r w:rsidR="007341FC" w:rsidRPr="000346A7">
        <w:rPr>
          <w:rFonts w:ascii="Times New Roman" w:hAnsi="Times New Roman" w:cs="Times New Roman"/>
          <w:sz w:val="24"/>
          <w:szCs w:val="24"/>
        </w:rPr>
        <w:t xml:space="preserve">the </w:t>
      </w:r>
      <w:r w:rsidR="00934794" w:rsidRPr="000346A7">
        <w:rPr>
          <w:rFonts w:ascii="Times New Roman" w:hAnsi="Times New Roman" w:cs="Times New Roman"/>
          <w:sz w:val="24"/>
          <w:szCs w:val="24"/>
        </w:rPr>
        <w:t>second</w:t>
      </w:r>
      <w:r w:rsidR="007341FC" w:rsidRPr="000346A7">
        <w:rPr>
          <w:rFonts w:ascii="Times New Roman" w:hAnsi="Times New Roman" w:cs="Times New Roman"/>
          <w:sz w:val="24"/>
          <w:szCs w:val="24"/>
        </w:rPr>
        <w:t xml:space="preserve"> applicant executed a statutory declaration by which she consented to the mortgaging of her matrimonial home</w:t>
      </w:r>
      <w:r w:rsidR="00AE440A" w:rsidRPr="000346A7">
        <w:rPr>
          <w:rFonts w:ascii="Times New Roman" w:hAnsi="Times New Roman" w:cs="Times New Roman"/>
          <w:sz w:val="24"/>
          <w:szCs w:val="24"/>
        </w:rPr>
        <w:t>,</w:t>
      </w:r>
      <w:r w:rsidR="007341FC" w:rsidRPr="000346A7">
        <w:rPr>
          <w:rFonts w:ascii="Times New Roman" w:hAnsi="Times New Roman" w:cs="Times New Roman"/>
          <w:sz w:val="24"/>
          <w:szCs w:val="24"/>
        </w:rPr>
        <w:t xml:space="preserve"> </w:t>
      </w:r>
      <w:r w:rsidR="00483008" w:rsidRPr="000346A7">
        <w:rPr>
          <w:rFonts w:ascii="Times New Roman" w:hAnsi="Times New Roman" w:cs="Times New Roman"/>
          <w:sz w:val="24"/>
          <w:szCs w:val="24"/>
        </w:rPr>
        <w:t xml:space="preserve">and </w:t>
      </w:r>
      <w:r w:rsidR="007341FC" w:rsidRPr="000346A7">
        <w:rPr>
          <w:rFonts w:ascii="Times New Roman" w:hAnsi="Times New Roman" w:cs="Times New Roman"/>
          <w:sz w:val="24"/>
          <w:szCs w:val="24"/>
        </w:rPr>
        <w:t xml:space="preserve">the </w:t>
      </w:r>
      <w:r w:rsidR="00934794" w:rsidRPr="000346A7">
        <w:rPr>
          <w:rFonts w:ascii="Times New Roman" w:hAnsi="Times New Roman" w:cs="Times New Roman"/>
          <w:sz w:val="24"/>
          <w:szCs w:val="24"/>
        </w:rPr>
        <w:t>second</w:t>
      </w:r>
      <w:r w:rsidR="007341FC"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7341FC" w:rsidRPr="000346A7">
        <w:rPr>
          <w:rFonts w:ascii="Times New Roman" w:hAnsi="Times New Roman" w:cs="Times New Roman"/>
          <w:sz w:val="24"/>
          <w:szCs w:val="24"/>
        </w:rPr>
        <w:t xml:space="preserve"> respondents </w:t>
      </w:r>
      <w:r w:rsidR="0018069A" w:rsidRPr="000346A7">
        <w:rPr>
          <w:rFonts w:ascii="Times New Roman" w:hAnsi="Times New Roman" w:cs="Times New Roman"/>
          <w:sz w:val="24"/>
          <w:szCs w:val="24"/>
        </w:rPr>
        <w:t xml:space="preserve">similarly </w:t>
      </w:r>
      <w:r w:rsidR="007341FC" w:rsidRPr="000346A7">
        <w:rPr>
          <w:rFonts w:ascii="Times New Roman" w:hAnsi="Times New Roman" w:cs="Times New Roman"/>
          <w:sz w:val="24"/>
          <w:szCs w:val="24"/>
        </w:rPr>
        <w:t>deponed statutory declarations stating that they were not married and did not, therefore, require spousal consent</w:t>
      </w:r>
      <w:r w:rsidR="00483008" w:rsidRPr="000346A7">
        <w:rPr>
          <w:rFonts w:ascii="Times New Roman" w:hAnsi="Times New Roman" w:cs="Times New Roman"/>
          <w:sz w:val="24"/>
          <w:szCs w:val="24"/>
        </w:rPr>
        <w:t xml:space="preserve">; </w:t>
      </w:r>
      <w:r w:rsidR="0018069A" w:rsidRPr="000346A7">
        <w:rPr>
          <w:rFonts w:ascii="Times New Roman" w:hAnsi="Times New Roman" w:cs="Times New Roman"/>
          <w:sz w:val="24"/>
          <w:szCs w:val="24"/>
        </w:rPr>
        <w:t xml:space="preserve">the </w:t>
      </w:r>
      <w:r w:rsidR="007341FC" w:rsidRPr="000346A7">
        <w:rPr>
          <w:rFonts w:ascii="Times New Roman" w:hAnsi="Times New Roman" w:cs="Times New Roman"/>
          <w:sz w:val="24"/>
          <w:szCs w:val="24"/>
        </w:rPr>
        <w:t xml:space="preserve">present mortgages </w:t>
      </w:r>
      <w:r w:rsidR="0018069A" w:rsidRPr="000346A7">
        <w:rPr>
          <w:rFonts w:ascii="Times New Roman" w:hAnsi="Times New Roman" w:cs="Times New Roman"/>
          <w:sz w:val="24"/>
          <w:szCs w:val="24"/>
        </w:rPr>
        <w:t xml:space="preserve">would have been deemed to be </w:t>
      </w:r>
      <w:r w:rsidR="007341FC" w:rsidRPr="000346A7">
        <w:rPr>
          <w:rFonts w:ascii="Times New Roman" w:hAnsi="Times New Roman" w:cs="Times New Roman"/>
          <w:sz w:val="24"/>
          <w:szCs w:val="24"/>
        </w:rPr>
        <w:t>valid</w:t>
      </w:r>
      <w:r w:rsidR="0018069A" w:rsidRPr="000346A7">
        <w:rPr>
          <w:rFonts w:ascii="Times New Roman" w:hAnsi="Times New Roman" w:cs="Times New Roman"/>
          <w:sz w:val="24"/>
          <w:szCs w:val="24"/>
        </w:rPr>
        <w:t>ly executed within the precincts of section 5(1)</w:t>
      </w:r>
      <w:r w:rsidR="00646064" w:rsidRPr="000346A7">
        <w:rPr>
          <w:rFonts w:ascii="Times New Roman" w:hAnsi="Times New Roman" w:cs="Times New Roman"/>
          <w:sz w:val="24"/>
          <w:szCs w:val="24"/>
        </w:rPr>
        <w:t xml:space="preserve">, but for the other material </w:t>
      </w:r>
      <w:r w:rsidR="0018069A" w:rsidRPr="000346A7">
        <w:rPr>
          <w:rFonts w:ascii="Times New Roman" w:hAnsi="Times New Roman" w:cs="Times New Roman"/>
          <w:sz w:val="24"/>
          <w:szCs w:val="24"/>
        </w:rPr>
        <w:t xml:space="preserve">on </w:t>
      </w:r>
      <w:r w:rsidR="00646064" w:rsidRPr="000346A7">
        <w:rPr>
          <w:rFonts w:ascii="Times New Roman" w:hAnsi="Times New Roman" w:cs="Times New Roman"/>
          <w:sz w:val="24"/>
          <w:szCs w:val="24"/>
        </w:rPr>
        <w:t>record</w:t>
      </w:r>
      <w:r w:rsidR="0018069A" w:rsidRPr="000346A7">
        <w:rPr>
          <w:rFonts w:ascii="Times New Roman" w:hAnsi="Times New Roman" w:cs="Times New Roman"/>
          <w:sz w:val="24"/>
          <w:szCs w:val="24"/>
        </w:rPr>
        <w:t xml:space="preserve"> and the </w:t>
      </w:r>
      <w:r w:rsidR="008206AE" w:rsidRPr="000346A7">
        <w:rPr>
          <w:rFonts w:ascii="Times New Roman" w:hAnsi="Times New Roman" w:cs="Times New Roman"/>
          <w:sz w:val="24"/>
          <w:szCs w:val="24"/>
        </w:rPr>
        <w:t xml:space="preserve">legal jurisprudence </w:t>
      </w:r>
      <w:r w:rsidR="0018069A" w:rsidRPr="000346A7">
        <w:rPr>
          <w:rFonts w:ascii="Times New Roman" w:hAnsi="Times New Roman" w:cs="Times New Roman"/>
          <w:sz w:val="24"/>
          <w:szCs w:val="24"/>
        </w:rPr>
        <w:t>enunciate</w:t>
      </w:r>
      <w:r w:rsidR="008206AE" w:rsidRPr="000346A7">
        <w:rPr>
          <w:rFonts w:ascii="Times New Roman" w:hAnsi="Times New Roman" w:cs="Times New Roman"/>
          <w:sz w:val="24"/>
          <w:szCs w:val="24"/>
        </w:rPr>
        <w:t>d</w:t>
      </w:r>
      <w:r w:rsidR="0018069A" w:rsidRPr="000346A7">
        <w:rPr>
          <w:rFonts w:ascii="Times New Roman" w:hAnsi="Times New Roman" w:cs="Times New Roman"/>
          <w:sz w:val="24"/>
          <w:szCs w:val="24"/>
        </w:rPr>
        <w:t xml:space="preserve"> below</w:t>
      </w:r>
      <w:r w:rsidR="00646064" w:rsidRPr="000346A7">
        <w:rPr>
          <w:rFonts w:ascii="Times New Roman" w:hAnsi="Times New Roman" w:cs="Times New Roman"/>
          <w:sz w:val="24"/>
          <w:szCs w:val="24"/>
        </w:rPr>
        <w:t xml:space="preserve">. </w:t>
      </w:r>
    </w:p>
    <w:p w:rsidR="00646064" w:rsidRPr="000346A7" w:rsidRDefault="00646064" w:rsidP="009D23CD">
      <w:pPr>
        <w:pStyle w:val="ListParagraph"/>
        <w:ind w:left="360"/>
        <w:jc w:val="both"/>
        <w:rPr>
          <w:rFonts w:ascii="Times New Roman" w:hAnsi="Times New Roman" w:cs="Times New Roman"/>
          <w:sz w:val="24"/>
          <w:szCs w:val="24"/>
        </w:rPr>
      </w:pPr>
      <w:r w:rsidRPr="000346A7">
        <w:rPr>
          <w:rFonts w:ascii="Times New Roman" w:hAnsi="Times New Roman" w:cs="Times New Roman"/>
          <w:sz w:val="24"/>
          <w:szCs w:val="24"/>
        </w:rPr>
        <w:t xml:space="preserve"> </w:t>
      </w:r>
    </w:p>
    <w:p w:rsidR="00305197" w:rsidRPr="000346A7" w:rsidRDefault="00646064" w:rsidP="00812DED">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First,</w:t>
      </w:r>
      <w:r w:rsidR="00305197"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in </w:t>
      </w:r>
      <w:r w:rsidR="00DA3424" w:rsidRPr="000346A7">
        <w:rPr>
          <w:rFonts w:ascii="Times New Roman" w:hAnsi="Times New Roman" w:cs="Times New Roman"/>
          <w:sz w:val="24"/>
          <w:szCs w:val="24"/>
        </w:rPr>
        <w:t>the</w:t>
      </w:r>
      <w:r w:rsidR="000377A0" w:rsidRPr="000346A7">
        <w:rPr>
          <w:rFonts w:ascii="Times New Roman" w:hAnsi="Times New Roman" w:cs="Times New Roman"/>
          <w:sz w:val="24"/>
          <w:szCs w:val="24"/>
        </w:rPr>
        <w:t xml:space="preserve"> affidavit </w:t>
      </w:r>
      <w:r w:rsidR="007341FC" w:rsidRPr="000346A7">
        <w:rPr>
          <w:rFonts w:ascii="Times New Roman" w:hAnsi="Times New Roman" w:cs="Times New Roman"/>
          <w:sz w:val="24"/>
          <w:szCs w:val="24"/>
        </w:rPr>
        <w:t xml:space="preserve">in </w:t>
      </w:r>
      <w:r w:rsidR="000377A0" w:rsidRPr="000346A7">
        <w:rPr>
          <w:rFonts w:ascii="Times New Roman" w:hAnsi="Times New Roman" w:cs="Times New Roman"/>
          <w:sz w:val="24"/>
          <w:szCs w:val="24"/>
        </w:rPr>
        <w:t>support</w:t>
      </w:r>
      <w:r w:rsidR="007341FC" w:rsidRPr="000346A7">
        <w:rPr>
          <w:rFonts w:ascii="Times New Roman" w:hAnsi="Times New Roman" w:cs="Times New Roman"/>
          <w:sz w:val="24"/>
          <w:szCs w:val="24"/>
        </w:rPr>
        <w:t xml:space="preserve"> of</w:t>
      </w:r>
      <w:r w:rsidR="000377A0" w:rsidRPr="000346A7">
        <w:rPr>
          <w:rFonts w:ascii="Times New Roman" w:hAnsi="Times New Roman" w:cs="Times New Roman"/>
          <w:sz w:val="24"/>
          <w:szCs w:val="24"/>
        </w:rPr>
        <w:t xml:space="preserve"> the application </w:t>
      </w:r>
      <w:r w:rsidR="007341FC" w:rsidRPr="000346A7">
        <w:rPr>
          <w:rFonts w:ascii="Times New Roman" w:hAnsi="Times New Roman" w:cs="Times New Roman"/>
          <w:sz w:val="24"/>
          <w:szCs w:val="24"/>
        </w:rPr>
        <w:t xml:space="preserve">the applicants </w:t>
      </w:r>
      <w:r w:rsidR="00584F88" w:rsidRPr="000346A7">
        <w:rPr>
          <w:rFonts w:ascii="Times New Roman" w:hAnsi="Times New Roman" w:cs="Times New Roman"/>
          <w:sz w:val="24"/>
          <w:szCs w:val="24"/>
        </w:rPr>
        <w:t xml:space="preserve">deny any knowledge whatsoever of the mortgage transaction </w:t>
      </w:r>
      <w:r w:rsidRPr="000346A7">
        <w:rPr>
          <w:rFonts w:ascii="Times New Roman" w:hAnsi="Times New Roman" w:cs="Times New Roman"/>
          <w:sz w:val="24"/>
          <w:szCs w:val="24"/>
        </w:rPr>
        <w:t>and</w:t>
      </w:r>
      <w:r w:rsidR="00584F88" w:rsidRPr="000346A7">
        <w:rPr>
          <w:rFonts w:ascii="Times New Roman" w:hAnsi="Times New Roman" w:cs="Times New Roman"/>
          <w:sz w:val="24"/>
          <w:szCs w:val="24"/>
        </w:rPr>
        <w:t xml:space="preserve"> </w:t>
      </w:r>
      <w:r w:rsidR="00840FB8" w:rsidRPr="000346A7">
        <w:rPr>
          <w:rFonts w:ascii="Times New Roman" w:hAnsi="Times New Roman" w:cs="Times New Roman"/>
          <w:sz w:val="24"/>
          <w:szCs w:val="24"/>
        </w:rPr>
        <w:t xml:space="preserve">aver that </w:t>
      </w:r>
      <w:r w:rsidR="00584F88" w:rsidRPr="000346A7">
        <w:rPr>
          <w:rFonts w:ascii="Times New Roman" w:hAnsi="Times New Roman" w:cs="Times New Roman"/>
          <w:sz w:val="24"/>
          <w:szCs w:val="24"/>
        </w:rPr>
        <w:t xml:space="preserve">the </w:t>
      </w:r>
      <w:r w:rsidR="00934794" w:rsidRPr="000346A7">
        <w:rPr>
          <w:rFonts w:ascii="Times New Roman" w:hAnsi="Times New Roman" w:cs="Times New Roman"/>
          <w:sz w:val="24"/>
          <w:szCs w:val="24"/>
        </w:rPr>
        <w:t>second</w:t>
      </w:r>
      <w:r w:rsidR="00584F88" w:rsidRPr="000346A7">
        <w:rPr>
          <w:rFonts w:ascii="Times New Roman" w:hAnsi="Times New Roman" w:cs="Times New Roman"/>
          <w:sz w:val="24"/>
          <w:szCs w:val="24"/>
        </w:rPr>
        <w:t xml:space="preserve">, </w:t>
      </w:r>
      <w:r w:rsidR="00BC758D" w:rsidRPr="000346A7">
        <w:rPr>
          <w:rFonts w:ascii="Times New Roman" w:hAnsi="Times New Roman" w:cs="Times New Roman"/>
          <w:sz w:val="24"/>
          <w:szCs w:val="24"/>
        </w:rPr>
        <w:t>third</w:t>
      </w:r>
      <w:r w:rsidR="00584F88" w:rsidRPr="000346A7">
        <w:rPr>
          <w:rFonts w:ascii="Times New Roman" w:hAnsi="Times New Roman" w:cs="Times New Roman"/>
          <w:sz w:val="24"/>
          <w:szCs w:val="24"/>
        </w:rPr>
        <w:t xml:space="preserve"> and </w:t>
      </w:r>
      <w:r w:rsidR="00645B91" w:rsidRPr="000346A7">
        <w:rPr>
          <w:rFonts w:ascii="Times New Roman" w:hAnsi="Times New Roman" w:cs="Times New Roman"/>
          <w:sz w:val="24"/>
          <w:szCs w:val="24"/>
        </w:rPr>
        <w:t>fourth</w:t>
      </w:r>
      <w:r w:rsidR="00584F88" w:rsidRPr="000346A7">
        <w:rPr>
          <w:rFonts w:ascii="Times New Roman" w:hAnsi="Times New Roman" w:cs="Times New Roman"/>
          <w:sz w:val="24"/>
          <w:szCs w:val="24"/>
        </w:rPr>
        <w:t xml:space="preserve"> applicants are spouses to the </w:t>
      </w:r>
      <w:r w:rsidR="0035371A" w:rsidRPr="000346A7">
        <w:rPr>
          <w:rFonts w:ascii="Times New Roman" w:hAnsi="Times New Roman" w:cs="Times New Roman"/>
          <w:sz w:val="24"/>
          <w:szCs w:val="24"/>
        </w:rPr>
        <w:t xml:space="preserve">first, </w:t>
      </w:r>
      <w:r w:rsidR="00934794" w:rsidRPr="000346A7">
        <w:rPr>
          <w:rFonts w:ascii="Times New Roman" w:hAnsi="Times New Roman" w:cs="Times New Roman"/>
          <w:sz w:val="24"/>
          <w:szCs w:val="24"/>
        </w:rPr>
        <w:t>second</w:t>
      </w:r>
      <w:r w:rsidR="00584F88"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584F88" w:rsidRPr="000346A7">
        <w:rPr>
          <w:rFonts w:ascii="Times New Roman" w:hAnsi="Times New Roman" w:cs="Times New Roman"/>
          <w:sz w:val="24"/>
          <w:szCs w:val="24"/>
        </w:rPr>
        <w:t xml:space="preserve"> respondents, all mortgagors herein.  </w:t>
      </w:r>
      <w:r w:rsidR="00840FB8" w:rsidRPr="000346A7">
        <w:rPr>
          <w:rFonts w:ascii="Times New Roman" w:hAnsi="Times New Roman" w:cs="Times New Roman"/>
          <w:sz w:val="24"/>
          <w:szCs w:val="24"/>
        </w:rPr>
        <w:t xml:space="preserve">Although </w:t>
      </w:r>
      <w:r w:rsidR="00584F88" w:rsidRPr="000346A7">
        <w:rPr>
          <w:rFonts w:ascii="Times New Roman" w:hAnsi="Times New Roman" w:cs="Times New Roman"/>
          <w:sz w:val="24"/>
          <w:szCs w:val="24"/>
        </w:rPr>
        <w:t xml:space="preserve">there is no contention about the </w:t>
      </w:r>
      <w:r w:rsidR="00934794" w:rsidRPr="000346A7">
        <w:rPr>
          <w:rFonts w:ascii="Times New Roman" w:hAnsi="Times New Roman" w:cs="Times New Roman"/>
          <w:sz w:val="24"/>
          <w:szCs w:val="24"/>
        </w:rPr>
        <w:t>second</w:t>
      </w:r>
      <w:r w:rsidR="00584F88" w:rsidRPr="000346A7">
        <w:rPr>
          <w:rFonts w:ascii="Times New Roman" w:hAnsi="Times New Roman" w:cs="Times New Roman"/>
          <w:sz w:val="24"/>
          <w:szCs w:val="24"/>
        </w:rPr>
        <w:t xml:space="preserve"> applicant having been the </w:t>
      </w:r>
      <w:r w:rsidR="007F7375" w:rsidRPr="000346A7">
        <w:rPr>
          <w:rFonts w:ascii="Times New Roman" w:hAnsi="Times New Roman" w:cs="Times New Roman"/>
          <w:sz w:val="24"/>
          <w:szCs w:val="24"/>
        </w:rPr>
        <w:t xml:space="preserve">first </w:t>
      </w:r>
      <w:r w:rsidR="00584F88" w:rsidRPr="000346A7">
        <w:rPr>
          <w:rFonts w:ascii="Times New Roman" w:hAnsi="Times New Roman" w:cs="Times New Roman"/>
          <w:sz w:val="24"/>
          <w:szCs w:val="24"/>
        </w:rPr>
        <w:t xml:space="preserve">respondent’s spouse, the said applicant </w:t>
      </w:r>
      <w:r w:rsidR="00840FB8" w:rsidRPr="000346A7">
        <w:rPr>
          <w:rFonts w:ascii="Times New Roman" w:hAnsi="Times New Roman" w:cs="Times New Roman"/>
          <w:sz w:val="24"/>
          <w:szCs w:val="24"/>
        </w:rPr>
        <w:t xml:space="preserve">would appear to have </w:t>
      </w:r>
      <w:r w:rsidR="00584F88" w:rsidRPr="000346A7">
        <w:rPr>
          <w:rFonts w:ascii="Times New Roman" w:hAnsi="Times New Roman" w:cs="Times New Roman"/>
          <w:sz w:val="24"/>
          <w:szCs w:val="24"/>
        </w:rPr>
        <w:t>had no knowledge of the mortgage transaction</w:t>
      </w:r>
      <w:r w:rsidR="00840FB8" w:rsidRPr="000346A7">
        <w:rPr>
          <w:rFonts w:ascii="Times New Roman" w:hAnsi="Times New Roman" w:cs="Times New Roman"/>
          <w:sz w:val="24"/>
          <w:szCs w:val="24"/>
        </w:rPr>
        <w:t xml:space="preserve"> in issue</w:t>
      </w:r>
      <w:r w:rsidR="00584F88" w:rsidRPr="000346A7">
        <w:rPr>
          <w:rFonts w:ascii="Times New Roman" w:hAnsi="Times New Roman" w:cs="Times New Roman"/>
          <w:sz w:val="24"/>
          <w:szCs w:val="24"/>
        </w:rPr>
        <w:t xml:space="preserve">.  </w:t>
      </w:r>
      <w:r w:rsidR="00840FB8" w:rsidRPr="000346A7">
        <w:rPr>
          <w:rFonts w:ascii="Times New Roman" w:hAnsi="Times New Roman" w:cs="Times New Roman"/>
          <w:sz w:val="24"/>
          <w:szCs w:val="24"/>
        </w:rPr>
        <w:t xml:space="preserve">This raises </w:t>
      </w:r>
      <w:r w:rsidR="00584F88" w:rsidRPr="000346A7">
        <w:rPr>
          <w:rFonts w:ascii="Times New Roman" w:hAnsi="Times New Roman" w:cs="Times New Roman"/>
          <w:sz w:val="24"/>
          <w:szCs w:val="24"/>
        </w:rPr>
        <w:t xml:space="preserve">questions </w:t>
      </w:r>
      <w:r w:rsidR="00840FB8" w:rsidRPr="000346A7">
        <w:rPr>
          <w:rFonts w:ascii="Times New Roman" w:hAnsi="Times New Roman" w:cs="Times New Roman"/>
          <w:sz w:val="24"/>
          <w:szCs w:val="24"/>
        </w:rPr>
        <w:t xml:space="preserve">about </w:t>
      </w:r>
      <w:r w:rsidR="00584F88" w:rsidRPr="000346A7">
        <w:rPr>
          <w:rFonts w:ascii="Times New Roman" w:hAnsi="Times New Roman" w:cs="Times New Roman"/>
          <w:sz w:val="24"/>
          <w:szCs w:val="24"/>
        </w:rPr>
        <w:t>the authenticity of the statutory declaration attributed to her</w:t>
      </w:r>
      <w:r w:rsidR="00840FB8" w:rsidRPr="000346A7">
        <w:rPr>
          <w:rFonts w:ascii="Times New Roman" w:hAnsi="Times New Roman" w:cs="Times New Roman"/>
          <w:sz w:val="24"/>
          <w:szCs w:val="24"/>
        </w:rPr>
        <w:t xml:space="preserve"> by the </w:t>
      </w:r>
      <w:r w:rsidR="00993B7F" w:rsidRPr="000346A7">
        <w:rPr>
          <w:rFonts w:ascii="Times New Roman" w:hAnsi="Times New Roman" w:cs="Times New Roman"/>
          <w:sz w:val="24"/>
          <w:szCs w:val="24"/>
        </w:rPr>
        <w:t>fifth</w:t>
      </w:r>
      <w:r w:rsidR="00840FB8" w:rsidRPr="000346A7">
        <w:rPr>
          <w:rFonts w:ascii="Times New Roman" w:hAnsi="Times New Roman" w:cs="Times New Roman"/>
          <w:sz w:val="24"/>
          <w:szCs w:val="24"/>
        </w:rPr>
        <w:t xml:space="preserve"> respondent</w:t>
      </w:r>
      <w:r w:rsidR="00584F88" w:rsidRPr="000346A7">
        <w:rPr>
          <w:rFonts w:ascii="Times New Roman" w:hAnsi="Times New Roman" w:cs="Times New Roman"/>
          <w:sz w:val="24"/>
          <w:szCs w:val="24"/>
        </w:rPr>
        <w:t xml:space="preserve">.  In the same vein, the </w:t>
      </w:r>
      <w:r w:rsidR="00BC758D" w:rsidRPr="000346A7">
        <w:rPr>
          <w:rFonts w:ascii="Times New Roman" w:hAnsi="Times New Roman" w:cs="Times New Roman"/>
          <w:sz w:val="24"/>
          <w:szCs w:val="24"/>
        </w:rPr>
        <w:t>third</w:t>
      </w:r>
      <w:r w:rsidR="00584F88" w:rsidRPr="000346A7">
        <w:rPr>
          <w:rFonts w:ascii="Times New Roman" w:hAnsi="Times New Roman" w:cs="Times New Roman"/>
          <w:sz w:val="24"/>
          <w:szCs w:val="24"/>
        </w:rPr>
        <w:t xml:space="preserve"> and </w:t>
      </w:r>
      <w:r w:rsidR="00645B91" w:rsidRPr="000346A7">
        <w:rPr>
          <w:rFonts w:ascii="Times New Roman" w:hAnsi="Times New Roman" w:cs="Times New Roman"/>
          <w:sz w:val="24"/>
          <w:szCs w:val="24"/>
        </w:rPr>
        <w:t>fourth</w:t>
      </w:r>
      <w:r w:rsidR="00584F88" w:rsidRPr="000346A7">
        <w:rPr>
          <w:rFonts w:ascii="Times New Roman" w:hAnsi="Times New Roman" w:cs="Times New Roman"/>
          <w:sz w:val="24"/>
          <w:szCs w:val="24"/>
        </w:rPr>
        <w:t xml:space="preserve"> applicants </w:t>
      </w:r>
      <w:r w:rsidR="00840FB8" w:rsidRPr="000346A7">
        <w:rPr>
          <w:rFonts w:ascii="Times New Roman" w:hAnsi="Times New Roman" w:cs="Times New Roman"/>
          <w:sz w:val="24"/>
          <w:szCs w:val="24"/>
        </w:rPr>
        <w:t xml:space="preserve">lay spousal claim to the </w:t>
      </w:r>
      <w:r w:rsidR="00934794" w:rsidRPr="000346A7">
        <w:rPr>
          <w:rFonts w:ascii="Times New Roman" w:hAnsi="Times New Roman" w:cs="Times New Roman"/>
          <w:sz w:val="24"/>
          <w:szCs w:val="24"/>
        </w:rPr>
        <w:t>second</w:t>
      </w:r>
      <w:r w:rsidR="00AE440E"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AE440E" w:rsidRPr="000346A7">
        <w:rPr>
          <w:rFonts w:ascii="Times New Roman" w:hAnsi="Times New Roman" w:cs="Times New Roman"/>
          <w:sz w:val="24"/>
          <w:szCs w:val="24"/>
        </w:rPr>
        <w:t xml:space="preserve"> respondents </w:t>
      </w:r>
      <w:r w:rsidR="00840FB8" w:rsidRPr="000346A7">
        <w:rPr>
          <w:rFonts w:ascii="Times New Roman" w:hAnsi="Times New Roman" w:cs="Times New Roman"/>
          <w:sz w:val="24"/>
          <w:szCs w:val="24"/>
        </w:rPr>
        <w:t>but</w:t>
      </w:r>
      <w:r w:rsidR="00AE440E" w:rsidRPr="000346A7">
        <w:rPr>
          <w:rFonts w:ascii="Times New Roman" w:hAnsi="Times New Roman" w:cs="Times New Roman"/>
          <w:sz w:val="24"/>
          <w:szCs w:val="24"/>
        </w:rPr>
        <w:t xml:space="preserve"> </w:t>
      </w:r>
      <w:r w:rsidR="00840FB8" w:rsidRPr="000346A7">
        <w:rPr>
          <w:rFonts w:ascii="Times New Roman" w:hAnsi="Times New Roman" w:cs="Times New Roman"/>
          <w:sz w:val="24"/>
          <w:szCs w:val="24"/>
        </w:rPr>
        <w:t xml:space="preserve">deny having given </w:t>
      </w:r>
      <w:r w:rsidR="00AE440E" w:rsidRPr="000346A7">
        <w:rPr>
          <w:rFonts w:ascii="Times New Roman" w:hAnsi="Times New Roman" w:cs="Times New Roman"/>
          <w:sz w:val="24"/>
          <w:szCs w:val="24"/>
        </w:rPr>
        <w:t>consent to the mortgag</w:t>
      </w:r>
      <w:r w:rsidR="0063135E" w:rsidRPr="000346A7">
        <w:rPr>
          <w:rFonts w:ascii="Times New Roman" w:hAnsi="Times New Roman" w:cs="Times New Roman"/>
          <w:sz w:val="24"/>
          <w:szCs w:val="24"/>
        </w:rPr>
        <w:t>ing</w:t>
      </w:r>
      <w:r w:rsidR="00AE440E" w:rsidRPr="000346A7">
        <w:rPr>
          <w:rFonts w:ascii="Times New Roman" w:hAnsi="Times New Roman" w:cs="Times New Roman"/>
          <w:sz w:val="24"/>
          <w:szCs w:val="24"/>
        </w:rPr>
        <w:t xml:space="preserve"> of their matrimonial homes</w:t>
      </w:r>
      <w:r w:rsidR="00840FB8" w:rsidRPr="000346A7">
        <w:rPr>
          <w:rFonts w:ascii="Times New Roman" w:hAnsi="Times New Roman" w:cs="Times New Roman"/>
          <w:sz w:val="24"/>
          <w:szCs w:val="24"/>
        </w:rPr>
        <w:t>.</w:t>
      </w:r>
      <w:r w:rsidR="00305197" w:rsidRPr="000346A7">
        <w:rPr>
          <w:rFonts w:ascii="Times New Roman" w:hAnsi="Times New Roman" w:cs="Times New Roman"/>
          <w:sz w:val="24"/>
          <w:szCs w:val="24"/>
        </w:rPr>
        <w:t xml:space="preserve">  </w:t>
      </w:r>
      <w:r w:rsidR="00576C8F" w:rsidRPr="000346A7">
        <w:rPr>
          <w:rFonts w:ascii="Times New Roman" w:hAnsi="Times New Roman" w:cs="Times New Roman"/>
          <w:sz w:val="24"/>
          <w:szCs w:val="24"/>
        </w:rPr>
        <w:t>I</w:t>
      </w:r>
      <w:r w:rsidR="00840FB8" w:rsidRPr="000346A7">
        <w:rPr>
          <w:rFonts w:ascii="Times New Roman" w:hAnsi="Times New Roman" w:cs="Times New Roman"/>
          <w:sz w:val="24"/>
          <w:szCs w:val="24"/>
        </w:rPr>
        <w:t xml:space="preserve"> do recognize that i</w:t>
      </w:r>
      <w:r w:rsidR="00576C8F" w:rsidRPr="000346A7">
        <w:rPr>
          <w:rFonts w:ascii="Times New Roman" w:hAnsi="Times New Roman" w:cs="Times New Roman"/>
          <w:sz w:val="24"/>
          <w:szCs w:val="24"/>
        </w:rPr>
        <w:t xml:space="preserve">t is no function of this court to delve into the </w:t>
      </w:r>
      <w:r w:rsidR="003C71E3" w:rsidRPr="000346A7">
        <w:rPr>
          <w:rFonts w:ascii="Times New Roman" w:hAnsi="Times New Roman" w:cs="Times New Roman"/>
          <w:sz w:val="24"/>
          <w:szCs w:val="24"/>
        </w:rPr>
        <w:t>detailed merits</w:t>
      </w:r>
      <w:r w:rsidR="00576C8F" w:rsidRPr="000346A7">
        <w:rPr>
          <w:rFonts w:ascii="Times New Roman" w:hAnsi="Times New Roman" w:cs="Times New Roman"/>
          <w:sz w:val="24"/>
          <w:szCs w:val="24"/>
        </w:rPr>
        <w:t xml:space="preserve"> of the affidavit evidence availed to it for purposes of this application.  The question as to whether or not the </w:t>
      </w:r>
      <w:r w:rsidR="00BC758D" w:rsidRPr="000346A7">
        <w:rPr>
          <w:rFonts w:ascii="Times New Roman" w:hAnsi="Times New Roman" w:cs="Times New Roman"/>
          <w:sz w:val="24"/>
          <w:szCs w:val="24"/>
        </w:rPr>
        <w:t>third</w:t>
      </w:r>
      <w:r w:rsidR="00576C8F" w:rsidRPr="000346A7">
        <w:rPr>
          <w:rFonts w:ascii="Times New Roman" w:hAnsi="Times New Roman" w:cs="Times New Roman"/>
          <w:sz w:val="24"/>
          <w:szCs w:val="24"/>
        </w:rPr>
        <w:t xml:space="preserve"> and </w:t>
      </w:r>
      <w:r w:rsidR="00645B91" w:rsidRPr="000346A7">
        <w:rPr>
          <w:rFonts w:ascii="Times New Roman" w:hAnsi="Times New Roman" w:cs="Times New Roman"/>
          <w:sz w:val="24"/>
          <w:szCs w:val="24"/>
        </w:rPr>
        <w:t>fourth</w:t>
      </w:r>
      <w:r w:rsidR="00576C8F" w:rsidRPr="000346A7">
        <w:rPr>
          <w:rFonts w:ascii="Times New Roman" w:hAnsi="Times New Roman" w:cs="Times New Roman"/>
          <w:sz w:val="24"/>
          <w:szCs w:val="24"/>
        </w:rPr>
        <w:t xml:space="preserve"> applicants were </w:t>
      </w:r>
      <w:r w:rsidR="00840FB8" w:rsidRPr="000346A7">
        <w:rPr>
          <w:rFonts w:ascii="Times New Roman" w:hAnsi="Times New Roman" w:cs="Times New Roman"/>
          <w:sz w:val="24"/>
          <w:szCs w:val="24"/>
        </w:rPr>
        <w:t xml:space="preserve">in fact </w:t>
      </w:r>
      <w:r w:rsidR="00576C8F" w:rsidRPr="000346A7">
        <w:rPr>
          <w:rFonts w:ascii="Times New Roman" w:hAnsi="Times New Roman" w:cs="Times New Roman"/>
          <w:sz w:val="24"/>
          <w:szCs w:val="24"/>
        </w:rPr>
        <w:t xml:space="preserve">the spouses of the </w:t>
      </w:r>
      <w:r w:rsidR="00934794" w:rsidRPr="000346A7">
        <w:rPr>
          <w:rFonts w:ascii="Times New Roman" w:hAnsi="Times New Roman" w:cs="Times New Roman"/>
          <w:sz w:val="24"/>
          <w:szCs w:val="24"/>
        </w:rPr>
        <w:t>second</w:t>
      </w:r>
      <w:r w:rsidR="00576C8F"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576C8F" w:rsidRPr="000346A7">
        <w:rPr>
          <w:rFonts w:ascii="Times New Roman" w:hAnsi="Times New Roman" w:cs="Times New Roman"/>
          <w:sz w:val="24"/>
          <w:szCs w:val="24"/>
        </w:rPr>
        <w:t xml:space="preserve"> respondents is a matter for trial and proof by detailed evidence, the veracity of which may be tested by cross examination. </w:t>
      </w:r>
      <w:r w:rsidR="00840FB8" w:rsidRPr="000346A7">
        <w:rPr>
          <w:rFonts w:ascii="Times New Roman" w:hAnsi="Times New Roman" w:cs="Times New Roman"/>
          <w:sz w:val="24"/>
          <w:szCs w:val="24"/>
        </w:rPr>
        <w:t xml:space="preserve"> However, </w:t>
      </w:r>
      <w:r w:rsidR="007435C0" w:rsidRPr="000346A7">
        <w:rPr>
          <w:rFonts w:ascii="Times New Roman" w:hAnsi="Times New Roman" w:cs="Times New Roman"/>
          <w:sz w:val="24"/>
          <w:szCs w:val="24"/>
        </w:rPr>
        <w:t xml:space="preserve">for present purposes, </w:t>
      </w:r>
      <w:r w:rsidR="00840FB8" w:rsidRPr="000346A7">
        <w:rPr>
          <w:rFonts w:ascii="Times New Roman" w:hAnsi="Times New Roman" w:cs="Times New Roman"/>
          <w:sz w:val="24"/>
          <w:szCs w:val="24"/>
        </w:rPr>
        <w:t xml:space="preserve">the fact that the marital status of the </w:t>
      </w:r>
      <w:r w:rsidR="00BC758D" w:rsidRPr="000346A7">
        <w:rPr>
          <w:rFonts w:ascii="Times New Roman" w:hAnsi="Times New Roman" w:cs="Times New Roman"/>
          <w:sz w:val="24"/>
          <w:szCs w:val="24"/>
        </w:rPr>
        <w:t>third</w:t>
      </w:r>
      <w:r w:rsidR="00840FB8" w:rsidRPr="000346A7">
        <w:rPr>
          <w:rFonts w:ascii="Times New Roman" w:hAnsi="Times New Roman" w:cs="Times New Roman"/>
          <w:sz w:val="24"/>
          <w:szCs w:val="24"/>
        </w:rPr>
        <w:t xml:space="preserve"> and </w:t>
      </w:r>
      <w:r w:rsidR="00645B91" w:rsidRPr="000346A7">
        <w:rPr>
          <w:rFonts w:ascii="Times New Roman" w:hAnsi="Times New Roman" w:cs="Times New Roman"/>
          <w:sz w:val="24"/>
          <w:szCs w:val="24"/>
        </w:rPr>
        <w:t>fourth</w:t>
      </w:r>
      <w:r w:rsidR="00840FB8" w:rsidRPr="000346A7">
        <w:rPr>
          <w:rFonts w:ascii="Times New Roman" w:hAnsi="Times New Roman" w:cs="Times New Roman"/>
          <w:sz w:val="24"/>
          <w:szCs w:val="24"/>
        </w:rPr>
        <w:t xml:space="preserve"> applicants is in issue and the spousal consent allegedly granted by the </w:t>
      </w:r>
      <w:r w:rsidR="00934794" w:rsidRPr="000346A7">
        <w:rPr>
          <w:rFonts w:ascii="Times New Roman" w:hAnsi="Times New Roman" w:cs="Times New Roman"/>
          <w:sz w:val="24"/>
          <w:szCs w:val="24"/>
        </w:rPr>
        <w:t>second</w:t>
      </w:r>
      <w:r w:rsidR="00840FB8" w:rsidRPr="000346A7">
        <w:rPr>
          <w:rFonts w:ascii="Times New Roman" w:hAnsi="Times New Roman" w:cs="Times New Roman"/>
          <w:sz w:val="24"/>
          <w:szCs w:val="24"/>
        </w:rPr>
        <w:t xml:space="preserve"> applicant is disputed raises question</w:t>
      </w:r>
      <w:r w:rsidR="000179A6" w:rsidRPr="000346A7">
        <w:rPr>
          <w:rFonts w:ascii="Times New Roman" w:hAnsi="Times New Roman" w:cs="Times New Roman"/>
          <w:sz w:val="24"/>
          <w:szCs w:val="24"/>
        </w:rPr>
        <w:t>s</w:t>
      </w:r>
      <w:r w:rsidR="00840FB8" w:rsidRPr="000346A7">
        <w:rPr>
          <w:rFonts w:ascii="Times New Roman" w:hAnsi="Times New Roman" w:cs="Times New Roman"/>
          <w:sz w:val="24"/>
          <w:szCs w:val="24"/>
        </w:rPr>
        <w:t xml:space="preserve"> </w:t>
      </w:r>
      <w:r w:rsidR="000179A6" w:rsidRPr="000346A7">
        <w:rPr>
          <w:rFonts w:ascii="Times New Roman" w:hAnsi="Times New Roman" w:cs="Times New Roman"/>
          <w:sz w:val="24"/>
          <w:szCs w:val="24"/>
        </w:rPr>
        <w:t xml:space="preserve">as to the mortgagee’s </w:t>
      </w:r>
      <w:r w:rsidR="007435C0" w:rsidRPr="000346A7">
        <w:rPr>
          <w:rFonts w:ascii="Times New Roman" w:hAnsi="Times New Roman" w:cs="Times New Roman"/>
          <w:sz w:val="24"/>
          <w:szCs w:val="24"/>
        </w:rPr>
        <w:t xml:space="preserve">legal </w:t>
      </w:r>
      <w:r w:rsidR="000179A6" w:rsidRPr="000346A7">
        <w:rPr>
          <w:rFonts w:ascii="Times New Roman" w:hAnsi="Times New Roman" w:cs="Times New Roman"/>
          <w:sz w:val="24"/>
          <w:szCs w:val="24"/>
        </w:rPr>
        <w:t xml:space="preserve">interest.  </w:t>
      </w:r>
      <w:r w:rsidR="00576C8F" w:rsidRPr="000346A7">
        <w:rPr>
          <w:rFonts w:ascii="Times New Roman" w:hAnsi="Times New Roman" w:cs="Times New Roman"/>
          <w:sz w:val="24"/>
          <w:szCs w:val="24"/>
        </w:rPr>
        <w:t xml:space="preserve"> </w:t>
      </w:r>
    </w:p>
    <w:p w:rsidR="009D23CD" w:rsidRPr="000346A7" w:rsidRDefault="009D23CD" w:rsidP="009D23CD">
      <w:pPr>
        <w:pStyle w:val="ListParagraph"/>
        <w:ind w:left="360"/>
        <w:jc w:val="both"/>
        <w:rPr>
          <w:rFonts w:ascii="Times New Roman" w:hAnsi="Times New Roman" w:cs="Times New Roman"/>
          <w:sz w:val="24"/>
          <w:szCs w:val="24"/>
        </w:rPr>
      </w:pPr>
    </w:p>
    <w:p w:rsidR="006B6733" w:rsidRPr="000346A7" w:rsidRDefault="00305197" w:rsidP="002B31CC">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S</w:t>
      </w:r>
      <w:r w:rsidR="002B31CC" w:rsidRPr="000346A7">
        <w:rPr>
          <w:rFonts w:ascii="Times New Roman" w:hAnsi="Times New Roman" w:cs="Times New Roman"/>
          <w:sz w:val="24"/>
          <w:szCs w:val="24"/>
        </w:rPr>
        <w:t>econdly, and perhaps more importantly, s</w:t>
      </w:r>
      <w:r w:rsidRPr="000346A7">
        <w:rPr>
          <w:rFonts w:ascii="Times New Roman" w:hAnsi="Times New Roman" w:cs="Times New Roman"/>
          <w:sz w:val="24"/>
          <w:szCs w:val="24"/>
        </w:rPr>
        <w:t xml:space="preserve">ection 6(1) of the Mortgage Act places a duty on a </w:t>
      </w:r>
      <w:r w:rsidR="007435C0" w:rsidRPr="000346A7">
        <w:rPr>
          <w:rFonts w:ascii="Times New Roman" w:hAnsi="Times New Roman" w:cs="Times New Roman"/>
          <w:sz w:val="24"/>
          <w:szCs w:val="24"/>
        </w:rPr>
        <w:t xml:space="preserve">prospective </w:t>
      </w:r>
      <w:r w:rsidRPr="000346A7">
        <w:rPr>
          <w:rFonts w:ascii="Times New Roman" w:hAnsi="Times New Roman" w:cs="Times New Roman"/>
          <w:sz w:val="24"/>
          <w:szCs w:val="24"/>
        </w:rPr>
        <w:t xml:space="preserve">mortgagee faced with </w:t>
      </w:r>
      <w:r w:rsidR="0018069A" w:rsidRPr="000346A7">
        <w:rPr>
          <w:rFonts w:ascii="Times New Roman" w:hAnsi="Times New Roman" w:cs="Times New Roman"/>
          <w:sz w:val="24"/>
          <w:szCs w:val="24"/>
        </w:rPr>
        <w:t xml:space="preserve">the prospects of </w:t>
      </w:r>
      <w:r w:rsidRPr="000346A7">
        <w:rPr>
          <w:rFonts w:ascii="Times New Roman" w:hAnsi="Times New Roman" w:cs="Times New Roman"/>
          <w:sz w:val="24"/>
          <w:szCs w:val="24"/>
        </w:rPr>
        <w:t xml:space="preserve">a matrimonial home </w:t>
      </w:r>
      <w:r w:rsidR="0018069A" w:rsidRPr="000346A7">
        <w:rPr>
          <w:rFonts w:ascii="Times New Roman" w:hAnsi="Times New Roman" w:cs="Times New Roman"/>
          <w:sz w:val="24"/>
          <w:szCs w:val="24"/>
        </w:rPr>
        <w:t xml:space="preserve">as security </w:t>
      </w:r>
      <w:r w:rsidR="00BF48F2" w:rsidRPr="000346A7">
        <w:rPr>
          <w:rFonts w:ascii="Times New Roman" w:hAnsi="Times New Roman" w:cs="Times New Roman"/>
          <w:sz w:val="24"/>
          <w:szCs w:val="24"/>
        </w:rPr>
        <w:t xml:space="preserve">to </w:t>
      </w:r>
      <w:r w:rsidRPr="000346A7">
        <w:rPr>
          <w:rFonts w:ascii="Times New Roman" w:hAnsi="Times New Roman" w:cs="Times New Roman"/>
          <w:sz w:val="24"/>
          <w:szCs w:val="24"/>
        </w:rPr>
        <w:t xml:space="preserve">satisfy </w:t>
      </w:r>
      <w:r w:rsidR="00BF48F2" w:rsidRPr="000346A7">
        <w:rPr>
          <w:rFonts w:ascii="Times New Roman" w:hAnsi="Times New Roman" w:cs="Times New Roman"/>
          <w:sz w:val="24"/>
          <w:szCs w:val="24"/>
        </w:rPr>
        <w:t xml:space="preserve">itself that the spousal consent referred to in section 5 is informed and genuine.  Therefore the recognition of mortgaged matrimonial property </w:t>
      </w:r>
      <w:r w:rsidR="00DA3424" w:rsidRPr="000346A7">
        <w:rPr>
          <w:rFonts w:ascii="Times New Roman" w:hAnsi="Times New Roman" w:cs="Times New Roman"/>
          <w:sz w:val="24"/>
          <w:szCs w:val="24"/>
        </w:rPr>
        <w:t xml:space="preserve">stipulated </w:t>
      </w:r>
      <w:r w:rsidR="00BF48F2" w:rsidRPr="000346A7">
        <w:rPr>
          <w:rFonts w:ascii="Times New Roman" w:hAnsi="Times New Roman" w:cs="Times New Roman"/>
          <w:sz w:val="24"/>
          <w:szCs w:val="24"/>
        </w:rPr>
        <w:t xml:space="preserve">in section 5(1) is subject to the duty placed upon the mortgagee in section 6(1).  </w:t>
      </w:r>
      <w:r w:rsidR="00DA3424" w:rsidRPr="000346A7">
        <w:rPr>
          <w:rFonts w:ascii="Times New Roman" w:hAnsi="Times New Roman" w:cs="Times New Roman"/>
          <w:sz w:val="24"/>
          <w:szCs w:val="24"/>
        </w:rPr>
        <w:t>Under section 6(1)(a) and (b) of the Act</w:t>
      </w:r>
      <w:r w:rsidR="001622DB" w:rsidRPr="000346A7">
        <w:rPr>
          <w:rFonts w:ascii="Times New Roman" w:hAnsi="Times New Roman" w:cs="Times New Roman"/>
          <w:sz w:val="24"/>
          <w:szCs w:val="24"/>
        </w:rPr>
        <w:t>,</w:t>
      </w:r>
      <w:r w:rsidR="00DA3424" w:rsidRPr="000346A7">
        <w:rPr>
          <w:rFonts w:ascii="Times New Roman" w:hAnsi="Times New Roman" w:cs="Times New Roman"/>
          <w:sz w:val="24"/>
          <w:szCs w:val="24"/>
        </w:rPr>
        <w:t xml:space="preserve"> t</w:t>
      </w:r>
      <w:r w:rsidR="00BF48F2" w:rsidRPr="000346A7">
        <w:rPr>
          <w:rFonts w:ascii="Times New Roman" w:hAnsi="Times New Roman" w:cs="Times New Roman"/>
          <w:sz w:val="24"/>
          <w:szCs w:val="24"/>
        </w:rPr>
        <w:t xml:space="preserve">hat duty is discharged </w:t>
      </w:r>
      <w:r w:rsidR="001622DB" w:rsidRPr="000346A7">
        <w:rPr>
          <w:rFonts w:ascii="Times New Roman" w:hAnsi="Times New Roman" w:cs="Times New Roman"/>
          <w:sz w:val="24"/>
          <w:szCs w:val="24"/>
        </w:rPr>
        <w:t xml:space="preserve">when </w:t>
      </w:r>
      <w:r w:rsidR="00DA3424" w:rsidRPr="000346A7">
        <w:rPr>
          <w:rFonts w:ascii="Times New Roman" w:hAnsi="Times New Roman" w:cs="Times New Roman"/>
          <w:sz w:val="24"/>
          <w:szCs w:val="24"/>
        </w:rPr>
        <w:t>the mortgagee explain</w:t>
      </w:r>
      <w:r w:rsidR="001622DB" w:rsidRPr="000346A7">
        <w:rPr>
          <w:rFonts w:ascii="Times New Roman" w:hAnsi="Times New Roman" w:cs="Times New Roman"/>
          <w:sz w:val="24"/>
          <w:szCs w:val="24"/>
        </w:rPr>
        <w:t>s</w:t>
      </w:r>
      <w:r w:rsidR="00DA3424" w:rsidRPr="000346A7">
        <w:rPr>
          <w:rFonts w:ascii="Times New Roman" w:hAnsi="Times New Roman" w:cs="Times New Roman"/>
          <w:sz w:val="24"/>
          <w:szCs w:val="24"/>
        </w:rPr>
        <w:t xml:space="preserve"> to the spouse</w:t>
      </w:r>
      <w:r w:rsidR="001622DB" w:rsidRPr="000346A7">
        <w:rPr>
          <w:rFonts w:ascii="Times New Roman" w:hAnsi="Times New Roman" w:cs="Times New Roman"/>
          <w:sz w:val="24"/>
          <w:szCs w:val="24"/>
        </w:rPr>
        <w:t>(</w:t>
      </w:r>
      <w:r w:rsidR="00DA3424" w:rsidRPr="000346A7">
        <w:rPr>
          <w:rFonts w:ascii="Times New Roman" w:hAnsi="Times New Roman" w:cs="Times New Roman"/>
          <w:sz w:val="24"/>
          <w:szCs w:val="24"/>
        </w:rPr>
        <w:t>s</w:t>
      </w:r>
      <w:r w:rsidR="001622DB" w:rsidRPr="000346A7">
        <w:rPr>
          <w:rFonts w:ascii="Times New Roman" w:hAnsi="Times New Roman" w:cs="Times New Roman"/>
          <w:sz w:val="24"/>
          <w:szCs w:val="24"/>
        </w:rPr>
        <w:t>)</w:t>
      </w:r>
      <w:r w:rsidR="00DA3424" w:rsidRPr="000346A7">
        <w:rPr>
          <w:rFonts w:ascii="Times New Roman" w:hAnsi="Times New Roman" w:cs="Times New Roman"/>
          <w:sz w:val="24"/>
          <w:szCs w:val="24"/>
        </w:rPr>
        <w:t xml:space="preserve"> of an applicant for a</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mortgage in the presence of an independent person,</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 xml:space="preserve">the terms and conditions of the mortgage </w:t>
      </w:r>
      <w:r w:rsidR="001622DB" w:rsidRPr="000346A7">
        <w:rPr>
          <w:rFonts w:ascii="Times New Roman" w:hAnsi="Times New Roman" w:cs="Times New Roman"/>
          <w:sz w:val="24"/>
          <w:szCs w:val="24"/>
        </w:rPr>
        <w:t>sought</w:t>
      </w:r>
      <w:r w:rsidR="00DA3424" w:rsidRPr="000346A7">
        <w:rPr>
          <w:rFonts w:ascii="Times New Roman" w:hAnsi="Times New Roman" w:cs="Times New Roman"/>
          <w:sz w:val="24"/>
          <w:szCs w:val="24"/>
        </w:rPr>
        <w:t>; or</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 xml:space="preserve">in writing, </w:t>
      </w:r>
      <w:r w:rsidR="001622DB" w:rsidRPr="000346A7">
        <w:rPr>
          <w:rFonts w:ascii="Times New Roman" w:hAnsi="Times New Roman" w:cs="Times New Roman"/>
          <w:sz w:val="24"/>
          <w:szCs w:val="24"/>
        </w:rPr>
        <w:t>advises</w:t>
      </w:r>
      <w:r w:rsidR="00DA3424" w:rsidRPr="000346A7">
        <w:rPr>
          <w:rFonts w:ascii="Times New Roman" w:hAnsi="Times New Roman" w:cs="Times New Roman"/>
          <w:sz w:val="24"/>
          <w:szCs w:val="24"/>
        </w:rPr>
        <w:t xml:space="preserve"> the applicant that </w:t>
      </w:r>
      <w:r w:rsidR="001622DB" w:rsidRPr="000346A7">
        <w:rPr>
          <w:rFonts w:ascii="Times New Roman" w:hAnsi="Times New Roman" w:cs="Times New Roman"/>
          <w:sz w:val="24"/>
          <w:szCs w:val="24"/>
        </w:rPr>
        <w:t>s/</w:t>
      </w:r>
      <w:r w:rsidR="00DA3424" w:rsidRPr="000346A7">
        <w:rPr>
          <w:rFonts w:ascii="Times New Roman" w:hAnsi="Times New Roman" w:cs="Times New Roman"/>
          <w:sz w:val="24"/>
          <w:szCs w:val="24"/>
        </w:rPr>
        <w:t>he</w:t>
      </w:r>
      <w:r w:rsidR="001622DB" w:rsidRPr="000346A7">
        <w:rPr>
          <w:rFonts w:ascii="Times New Roman" w:hAnsi="Times New Roman" w:cs="Times New Roman"/>
          <w:sz w:val="24"/>
          <w:szCs w:val="24"/>
        </w:rPr>
        <w:t xml:space="preserve"> should ensure that his or her </w:t>
      </w:r>
      <w:r w:rsidR="00DA3424" w:rsidRPr="000346A7">
        <w:rPr>
          <w:rFonts w:ascii="Times New Roman" w:hAnsi="Times New Roman" w:cs="Times New Roman"/>
          <w:sz w:val="24"/>
          <w:szCs w:val="24"/>
        </w:rPr>
        <w:t>spouse</w:t>
      </w:r>
      <w:r w:rsidR="001622DB" w:rsidRPr="000346A7">
        <w:rPr>
          <w:rFonts w:ascii="Times New Roman" w:hAnsi="Times New Roman" w:cs="Times New Roman"/>
          <w:sz w:val="24"/>
          <w:szCs w:val="24"/>
        </w:rPr>
        <w:t>(s)</w:t>
      </w:r>
      <w:r w:rsidR="00DA3424" w:rsidRPr="000346A7">
        <w:rPr>
          <w:rFonts w:ascii="Times New Roman" w:hAnsi="Times New Roman" w:cs="Times New Roman"/>
          <w:sz w:val="24"/>
          <w:szCs w:val="24"/>
        </w:rPr>
        <w:t xml:space="preserve"> receive independent advice on the </w:t>
      </w:r>
      <w:r w:rsidR="001622DB" w:rsidRPr="000346A7">
        <w:rPr>
          <w:rFonts w:ascii="Times New Roman" w:hAnsi="Times New Roman" w:cs="Times New Roman"/>
          <w:sz w:val="24"/>
          <w:szCs w:val="24"/>
        </w:rPr>
        <w:t xml:space="preserve">said </w:t>
      </w:r>
      <w:r w:rsidR="00DA3424" w:rsidRPr="000346A7">
        <w:rPr>
          <w:rFonts w:ascii="Times New Roman" w:hAnsi="Times New Roman" w:cs="Times New Roman"/>
          <w:sz w:val="24"/>
          <w:szCs w:val="24"/>
        </w:rPr>
        <w:t>terms</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and cond</w:t>
      </w:r>
      <w:r w:rsidR="001622DB" w:rsidRPr="000346A7">
        <w:rPr>
          <w:rFonts w:ascii="Times New Roman" w:hAnsi="Times New Roman" w:cs="Times New Roman"/>
          <w:sz w:val="24"/>
          <w:szCs w:val="24"/>
        </w:rPr>
        <w:t xml:space="preserve">itions.  In addition </w:t>
      </w:r>
      <w:r w:rsidR="00DA3424" w:rsidRPr="000346A7">
        <w:rPr>
          <w:rFonts w:ascii="Times New Roman" w:hAnsi="Times New Roman" w:cs="Times New Roman"/>
          <w:sz w:val="24"/>
          <w:szCs w:val="24"/>
        </w:rPr>
        <w:t>the spouse</w:t>
      </w:r>
      <w:r w:rsidR="001622DB" w:rsidRPr="000346A7">
        <w:rPr>
          <w:rFonts w:ascii="Times New Roman" w:hAnsi="Times New Roman" w:cs="Times New Roman"/>
          <w:sz w:val="24"/>
          <w:szCs w:val="24"/>
        </w:rPr>
        <w:t>(s) should</w:t>
      </w:r>
      <w:r w:rsidR="00DA3424" w:rsidRPr="000346A7">
        <w:rPr>
          <w:rFonts w:ascii="Times New Roman" w:hAnsi="Times New Roman" w:cs="Times New Roman"/>
          <w:sz w:val="24"/>
          <w:szCs w:val="24"/>
        </w:rPr>
        <w:t xml:space="preserve"> provide a signed</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 xml:space="preserve">and witnessed document </w:t>
      </w:r>
      <w:r w:rsidR="001622DB" w:rsidRPr="000346A7">
        <w:rPr>
          <w:rFonts w:ascii="Times New Roman" w:hAnsi="Times New Roman" w:cs="Times New Roman"/>
          <w:sz w:val="24"/>
          <w:szCs w:val="24"/>
        </w:rPr>
        <w:t xml:space="preserve">indicating </w:t>
      </w:r>
      <w:r w:rsidR="00DA3424" w:rsidRPr="000346A7">
        <w:rPr>
          <w:rFonts w:ascii="Times New Roman" w:hAnsi="Times New Roman" w:cs="Times New Roman"/>
          <w:sz w:val="24"/>
          <w:szCs w:val="24"/>
        </w:rPr>
        <w:t>that they have</w:t>
      </w:r>
      <w:r w:rsidR="001622DB" w:rsidRPr="000346A7">
        <w:rPr>
          <w:rFonts w:ascii="Times New Roman" w:hAnsi="Times New Roman" w:cs="Times New Roman"/>
          <w:sz w:val="24"/>
          <w:szCs w:val="24"/>
        </w:rPr>
        <w:t xml:space="preserve"> indeed </w:t>
      </w:r>
      <w:r w:rsidR="00DA3424" w:rsidRPr="000346A7">
        <w:rPr>
          <w:rFonts w:ascii="Times New Roman" w:hAnsi="Times New Roman" w:cs="Times New Roman"/>
          <w:sz w:val="24"/>
          <w:szCs w:val="24"/>
        </w:rPr>
        <w:t xml:space="preserve">received independent advice on the </w:t>
      </w:r>
      <w:r w:rsidR="001622DB" w:rsidRPr="000346A7">
        <w:rPr>
          <w:rFonts w:ascii="Times New Roman" w:hAnsi="Times New Roman" w:cs="Times New Roman"/>
          <w:sz w:val="24"/>
          <w:szCs w:val="24"/>
        </w:rPr>
        <w:t xml:space="preserve">said </w:t>
      </w:r>
      <w:r w:rsidR="00DA3424" w:rsidRPr="000346A7">
        <w:rPr>
          <w:rFonts w:ascii="Times New Roman" w:hAnsi="Times New Roman" w:cs="Times New Roman"/>
          <w:sz w:val="24"/>
          <w:szCs w:val="24"/>
        </w:rPr>
        <w:t>mortgage and have understood and assented to the</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 xml:space="preserve">terms and conditions </w:t>
      </w:r>
      <w:r w:rsidR="001622DB" w:rsidRPr="000346A7">
        <w:rPr>
          <w:rFonts w:ascii="Times New Roman" w:hAnsi="Times New Roman" w:cs="Times New Roman"/>
          <w:sz w:val="24"/>
          <w:szCs w:val="24"/>
        </w:rPr>
        <w:t>there</w:t>
      </w:r>
      <w:r w:rsidR="00DA3424" w:rsidRPr="000346A7">
        <w:rPr>
          <w:rFonts w:ascii="Times New Roman" w:hAnsi="Times New Roman" w:cs="Times New Roman"/>
          <w:sz w:val="24"/>
          <w:szCs w:val="24"/>
        </w:rPr>
        <w:t>of</w:t>
      </w:r>
      <w:r w:rsidR="001622DB" w:rsidRPr="000346A7">
        <w:rPr>
          <w:rFonts w:ascii="Times New Roman" w:hAnsi="Times New Roman" w:cs="Times New Roman"/>
          <w:sz w:val="24"/>
          <w:szCs w:val="24"/>
        </w:rPr>
        <w:t>;</w:t>
      </w:r>
      <w:r w:rsidR="00DA3424" w:rsidRPr="000346A7">
        <w:rPr>
          <w:rFonts w:ascii="Times New Roman" w:hAnsi="Times New Roman" w:cs="Times New Roman"/>
          <w:sz w:val="24"/>
          <w:szCs w:val="24"/>
        </w:rPr>
        <w:t xml:space="preserve"> or that</w:t>
      </w:r>
      <w:r w:rsidR="001622DB" w:rsidRPr="000346A7">
        <w:rPr>
          <w:rFonts w:ascii="Times New Roman" w:hAnsi="Times New Roman" w:cs="Times New Roman"/>
          <w:sz w:val="24"/>
          <w:szCs w:val="24"/>
        </w:rPr>
        <w:t>, the advice from the mortgagee</w:t>
      </w:r>
      <w:r w:rsidR="00E35D77" w:rsidRPr="000346A7">
        <w:rPr>
          <w:rFonts w:ascii="Times New Roman" w:hAnsi="Times New Roman" w:cs="Times New Roman"/>
          <w:sz w:val="24"/>
          <w:szCs w:val="24"/>
        </w:rPr>
        <w:t xml:space="preserve"> notwithstanding</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they have</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waived</w:t>
      </w:r>
      <w:r w:rsidR="001622DB" w:rsidRPr="000346A7">
        <w:rPr>
          <w:rFonts w:ascii="Times New Roman" w:hAnsi="Times New Roman" w:cs="Times New Roman"/>
          <w:sz w:val="24"/>
          <w:szCs w:val="24"/>
        </w:rPr>
        <w:t xml:space="preserve"> </w:t>
      </w:r>
      <w:r w:rsidR="00DA3424" w:rsidRPr="000346A7">
        <w:rPr>
          <w:rFonts w:ascii="Times New Roman" w:hAnsi="Times New Roman" w:cs="Times New Roman"/>
          <w:sz w:val="24"/>
          <w:szCs w:val="24"/>
        </w:rPr>
        <w:t>their right to independent advice.</w:t>
      </w:r>
      <w:r w:rsidR="002B31CC" w:rsidRPr="000346A7">
        <w:rPr>
          <w:rFonts w:ascii="Times New Roman" w:hAnsi="Times New Roman" w:cs="Times New Roman"/>
          <w:sz w:val="24"/>
          <w:szCs w:val="24"/>
        </w:rPr>
        <w:t xml:space="preserve">  </w:t>
      </w:r>
      <w:r w:rsidR="00BF48F2" w:rsidRPr="000346A7">
        <w:rPr>
          <w:rFonts w:ascii="Times New Roman" w:hAnsi="Times New Roman" w:cs="Times New Roman"/>
          <w:sz w:val="24"/>
          <w:szCs w:val="24"/>
        </w:rPr>
        <w:t xml:space="preserve">In the instant case there is no material before me that would demonstrate that the mortgagee complied with the provisions of section 6(1)(a)(i) or (ii), or indeed 6(1)(b).  </w:t>
      </w:r>
      <w:r w:rsidR="00303152" w:rsidRPr="000346A7">
        <w:rPr>
          <w:rFonts w:ascii="Times New Roman" w:hAnsi="Times New Roman" w:cs="Times New Roman"/>
          <w:sz w:val="24"/>
          <w:szCs w:val="24"/>
        </w:rPr>
        <w:t xml:space="preserve">It </w:t>
      </w:r>
      <w:r w:rsidR="001622DB" w:rsidRPr="000346A7">
        <w:rPr>
          <w:rFonts w:ascii="Times New Roman" w:hAnsi="Times New Roman" w:cs="Times New Roman"/>
          <w:sz w:val="24"/>
          <w:szCs w:val="24"/>
        </w:rPr>
        <w:t xml:space="preserve">can be reasonably deduced, therefore, that the </w:t>
      </w:r>
      <w:r w:rsidR="005563FD" w:rsidRPr="000346A7">
        <w:rPr>
          <w:rFonts w:ascii="Times New Roman" w:hAnsi="Times New Roman" w:cs="Times New Roman"/>
          <w:sz w:val="24"/>
          <w:szCs w:val="24"/>
        </w:rPr>
        <w:t>mortgagee herein</w:t>
      </w:r>
      <w:r w:rsidR="001622DB" w:rsidRPr="000346A7">
        <w:rPr>
          <w:rFonts w:ascii="Times New Roman" w:hAnsi="Times New Roman" w:cs="Times New Roman"/>
          <w:sz w:val="24"/>
          <w:szCs w:val="24"/>
        </w:rPr>
        <w:t xml:space="preserve"> did </w:t>
      </w:r>
      <w:r w:rsidR="001622DB" w:rsidRPr="000346A7">
        <w:rPr>
          <w:rFonts w:ascii="Times New Roman" w:hAnsi="Times New Roman" w:cs="Times New Roman"/>
          <w:sz w:val="24"/>
          <w:szCs w:val="24"/>
        </w:rPr>
        <w:lastRenderedPageBreak/>
        <w:t xml:space="preserve">not </w:t>
      </w:r>
      <w:r w:rsidR="00303152" w:rsidRPr="000346A7">
        <w:rPr>
          <w:rFonts w:ascii="Times New Roman" w:hAnsi="Times New Roman" w:cs="Times New Roman"/>
          <w:sz w:val="24"/>
          <w:szCs w:val="24"/>
        </w:rPr>
        <w:t xml:space="preserve">explain the terms and conditions of the mortgage to either the </w:t>
      </w:r>
      <w:r w:rsidR="00BC758D" w:rsidRPr="000346A7">
        <w:rPr>
          <w:rFonts w:ascii="Times New Roman" w:hAnsi="Times New Roman" w:cs="Times New Roman"/>
          <w:sz w:val="24"/>
          <w:szCs w:val="24"/>
        </w:rPr>
        <w:t>third</w:t>
      </w:r>
      <w:r w:rsidR="00303152" w:rsidRPr="000346A7">
        <w:rPr>
          <w:rFonts w:ascii="Times New Roman" w:hAnsi="Times New Roman" w:cs="Times New Roman"/>
          <w:sz w:val="24"/>
          <w:szCs w:val="24"/>
        </w:rPr>
        <w:t xml:space="preserve"> and </w:t>
      </w:r>
      <w:r w:rsidR="00645B91" w:rsidRPr="000346A7">
        <w:rPr>
          <w:rFonts w:ascii="Times New Roman" w:hAnsi="Times New Roman" w:cs="Times New Roman"/>
          <w:sz w:val="24"/>
          <w:szCs w:val="24"/>
        </w:rPr>
        <w:t>fourth</w:t>
      </w:r>
      <w:r w:rsidR="00303152" w:rsidRPr="000346A7">
        <w:rPr>
          <w:rFonts w:ascii="Times New Roman" w:hAnsi="Times New Roman" w:cs="Times New Roman"/>
          <w:sz w:val="24"/>
          <w:szCs w:val="24"/>
        </w:rPr>
        <w:t xml:space="preserve"> applicants, the alleged spouses of the </w:t>
      </w:r>
      <w:r w:rsidR="00934794" w:rsidRPr="000346A7">
        <w:rPr>
          <w:rFonts w:ascii="Times New Roman" w:hAnsi="Times New Roman" w:cs="Times New Roman"/>
          <w:sz w:val="24"/>
          <w:szCs w:val="24"/>
        </w:rPr>
        <w:t>second</w:t>
      </w:r>
      <w:r w:rsidR="00303152"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303152" w:rsidRPr="000346A7">
        <w:rPr>
          <w:rFonts w:ascii="Times New Roman" w:hAnsi="Times New Roman" w:cs="Times New Roman"/>
          <w:sz w:val="24"/>
          <w:szCs w:val="24"/>
        </w:rPr>
        <w:t xml:space="preserve"> respondents; or to the </w:t>
      </w:r>
      <w:r w:rsidR="00934794" w:rsidRPr="000346A7">
        <w:rPr>
          <w:rFonts w:ascii="Times New Roman" w:hAnsi="Times New Roman" w:cs="Times New Roman"/>
          <w:sz w:val="24"/>
          <w:szCs w:val="24"/>
        </w:rPr>
        <w:t>second</w:t>
      </w:r>
      <w:r w:rsidR="00303152" w:rsidRPr="000346A7">
        <w:rPr>
          <w:rFonts w:ascii="Times New Roman" w:hAnsi="Times New Roman" w:cs="Times New Roman"/>
          <w:sz w:val="24"/>
          <w:szCs w:val="24"/>
        </w:rPr>
        <w:t xml:space="preserve"> applicant, the </w:t>
      </w:r>
      <w:r w:rsidR="007F7375" w:rsidRPr="000346A7">
        <w:rPr>
          <w:rFonts w:ascii="Times New Roman" w:hAnsi="Times New Roman" w:cs="Times New Roman"/>
          <w:sz w:val="24"/>
          <w:szCs w:val="24"/>
        </w:rPr>
        <w:t xml:space="preserve">first </w:t>
      </w:r>
      <w:r w:rsidR="00303152" w:rsidRPr="000346A7">
        <w:rPr>
          <w:rFonts w:ascii="Times New Roman" w:hAnsi="Times New Roman" w:cs="Times New Roman"/>
          <w:sz w:val="24"/>
          <w:szCs w:val="24"/>
        </w:rPr>
        <w:t xml:space="preserve">respondent’s uncontested spouse.  Even if it were presumed that the </w:t>
      </w:r>
      <w:r w:rsidR="00934794" w:rsidRPr="000346A7">
        <w:rPr>
          <w:rFonts w:ascii="Times New Roman" w:hAnsi="Times New Roman" w:cs="Times New Roman"/>
          <w:sz w:val="24"/>
          <w:szCs w:val="24"/>
        </w:rPr>
        <w:t>second</w:t>
      </w:r>
      <w:r w:rsidR="00303152"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303152" w:rsidRPr="000346A7">
        <w:rPr>
          <w:rFonts w:ascii="Times New Roman" w:hAnsi="Times New Roman" w:cs="Times New Roman"/>
          <w:sz w:val="24"/>
          <w:szCs w:val="24"/>
        </w:rPr>
        <w:t xml:space="preserve"> respondents were not married and therefore no spousal consent was required of them, there is no indication </w:t>
      </w:r>
      <w:r w:rsidR="001138FE" w:rsidRPr="000346A7">
        <w:rPr>
          <w:rFonts w:ascii="Times New Roman" w:hAnsi="Times New Roman" w:cs="Times New Roman"/>
          <w:sz w:val="24"/>
          <w:szCs w:val="24"/>
        </w:rPr>
        <w:t xml:space="preserve">whatsoever </w:t>
      </w:r>
      <w:r w:rsidR="00303152" w:rsidRPr="000346A7">
        <w:rPr>
          <w:rFonts w:ascii="Times New Roman" w:hAnsi="Times New Roman" w:cs="Times New Roman"/>
          <w:sz w:val="24"/>
          <w:szCs w:val="24"/>
        </w:rPr>
        <w:t xml:space="preserve">that the </w:t>
      </w:r>
      <w:r w:rsidR="007F7375" w:rsidRPr="000346A7">
        <w:rPr>
          <w:rFonts w:ascii="Times New Roman" w:hAnsi="Times New Roman" w:cs="Times New Roman"/>
          <w:sz w:val="24"/>
          <w:szCs w:val="24"/>
        </w:rPr>
        <w:t xml:space="preserve">first </w:t>
      </w:r>
      <w:r w:rsidR="001138FE" w:rsidRPr="000346A7">
        <w:rPr>
          <w:rFonts w:ascii="Times New Roman" w:hAnsi="Times New Roman" w:cs="Times New Roman"/>
          <w:sz w:val="24"/>
          <w:szCs w:val="24"/>
        </w:rPr>
        <w:t>respondent</w:t>
      </w:r>
      <w:r w:rsidR="00303152" w:rsidRPr="000346A7">
        <w:rPr>
          <w:rFonts w:ascii="Times New Roman" w:hAnsi="Times New Roman" w:cs="Times New Roman"/>
          <w:sz w:val="24"/>
          <w:szCs w:val="24"/>
        </w:rPr>
        <w:t xml:space="preserve"> was advised by the mortgagee to ensure that his spouse obtained such advice; nor is there any indication that the mortgagee secured the affirmation of the </w:t>
      </w:r>
      <w:r w:rsidR="001138FE" w:rsidRPr="000346A7">
        <w:rPr>
          <w:rFonts w:ascii="Times New Roman" w:hAnsi="Times New Roman" w:cs="Times New Roman"/>
          <w:sz w:val="24"/>
          <w:szCs w:val="24"/>
        </w:rPr>
        <w:t xml:space="preserve">said </w:t>
      </w:r>
      <w:r w:rsidR="00303152" w:rsidRPr="000346A7">
        <w:rPr>
          <w:rFonts w:ascii="Times New Roman" w:hAnsi="Times New Roman" w:cs="Times New Roman"/>
          <w:sz w:val="24"/>
          <w:szCs w:val="24"/>
        </w:rPr>
        <w:t>mortgagor’s spouse that she had been so advised.  On the face of the record, therefore, it would appear t</w:t>
      </w:r>
      <w:r w:rsidR="00E84C1E" w:rsidRPr="000346A7">
        <w:rPr>
          <w:rFonts w:ascii="Times New Roman" w:hAnsi="Times New Roman" w:cs="Times New Roman"/>
          <w:sz w:val="24"/>
          <w:szCs w:val="24"/>
        </w:rPr>
        <w:t>hat t</w:t>
      </w:r>
      <w:r w:rsidR="00BF48F2" w:rsidRPr="000346A7">
        <w:rPr>
          <w:rFonts w:ascii="Times New Roman" w:hAnsi="Times New Roman" w:cs="Times New Roman"/>
          <w:sz w:val="24"/>
          <w:szCs w:val="24"/>
        </w:rPr>
        <w:t xml:space="preserve">he mortgagee </w:t>
      </w:r>
      <w:r w:rsidR="00303152" w:rsidRPr="000346A7">
        <w:rPr>
          <w:rFonts w:ascii="Times New Roman" w:hAnsi="Times New Roman" w:cs="Times New Roman"/>
          <w:sz w:val="24"/>
          <w:szCs w:val="24"/>
        </w:rPr>
        <w:t>did not comply with the cited provisions of the Mortgage Act</w:t>
      </w:r>
      <w:r w:rsidR="001A50CB" w:rsidRPr="000346A7">
        <w:rPr>
          <w:rFonts w:ascii="Times New Roman" w:hAnsi="Times New Roman" w:cs="Times New Roman"/>
          <w:sz w:val="24"/>
          <w:szCs w:val="24"/>
        </w:rPr>
        <w:t xml:space="preserve"> in that regard</w:t>
      </w:r>
      <w:r w:rsidR="00303152" w:rsidRPr="000346A7">
        <w:rPr>
          <w:rFonts w:ascii="Times New Roman" w:hAnsi="Times New Roman" w:cs="Times New Roman"/>
          <w:sz w:val="24"/>
          <w:szCs w:val="24"/>
        </w:rPr>
        <w:t xml:space="preserve">. </w:t>
      </w:r>
    </w:p>
    <w:p w:rsidR="002B31CC" w:rsidRPr="000346A7" w:rsidRDefault="002B31CC" w:rsidP="002B31CC">
      <w:pPr>
        <w:pStyle w:val="ListParagraph"/>
        <w:ind w:left="360"/>
        <w:jc w:val="both"/>
        <w:rPr>
          <w:rFonts w:ascii="Times New Roman" w:hAnsi="Times New Roman" w:cs="Times New Roman"/>
          <w:sz w:val="24"/>
          <w:szCs w:val="24"/>
        </w:rPr>
      </w:pPr>
    </w:p>
    <w:p w:rsidR="00812DED" w:rsidRPr="000346A7" w:rsidRDefault="002B31CC" w:rsidP="00812DED">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Finally, but by no means least, t</w:t>
      </w:r>
      <w:r w:rsidR="006B6733" w:rsidRPr="000346A7">
        <w:rPr>
          <w:rFonts w:ascii="Times New Roman" w:hAnsi="Times New Roman" w:cs="Times New Roman"/>
          <w:sz w:val="24"/>
          <w:szCs w:val="24"/>
        </w:rPr>
        <w:t xml:space="preserve">he material availed to this court by the </w:t>
      </w:r>
      <w:r w:rsidR="00993B7F" w:rsidRPr="000346A7">
        <w:rPr>
          <w:rFonts w:ascii="Times New Roman" w:hAnsi="Times New Roman" w:cs="Times New Roman"/>
          <w:sz w:val="24"/>
          <w:szCs w:val="24"/>
        </w:rPr>
        <w:t>fifth</w:t>
      </w:r>
      <w:r w:rsidR="006B6733" w:rsidRPr="000346A7">
        <w:rPr>
          <w:rFonts w:ascii="Times New Roman" w:hAnsi="Times New Roman" w:cs="Times New Roman"/>
          <w:sz w:val="24"/>
          <w:szCs w:val="24"/>
        </w:rPr>
        <w:t xml:space="preserve"> respondent included a guarantee by the </w:t>
      </w:r>
      <w:r w:rsidR="007F7375" w:rsidRPr="000346A7">
        <w:rPr>
          <w:rFonts w:ascii="Times New Roman" w:hAnsi="Times New Roman" w:cs="Times New Roman"/>
          <w:sz w:val="24"/>
          <w:szCs w:val="24"/>
        </w:rPr>
        <w:t xml:space="preserve">first </w:t>
      </w:r>
      <w:r w:rsidR="006B6733" w:rsidRPr="000346A7">
        <w:rPr>
          <w:rFonts w:ascii="Times New Roman" w:hAnsi="Times New Roman" w:cs="Times New Roman"/>
          <w:sz w:val="24"/>
          <w:szCs w:val="24"/>
        </w:rPr>
        <w:t xml:space="preserve">and </w:t>
      </w:r>
      <w:r w:rsidR="00934794" w:rsidRPr="000346A7">
        <w:rPr>
          <w:rFonts w:ascii="Times New Roman" w:hAnsi="Times New Roman" w:cs="Times New Roman"/>
          <w:sz w:val="24"/>
          <w:szCs w:val="24"/>
        </w:rPr>
        <w:t>second</w:t>
      </w:r>
      <w:r w:rsidR="006B6733" w:rsidRPr="000346A7">
        <w:rPr>
          <w:rFonts w:ascii="Times New Roman" w:hAnsi="Times New Roman" w:cs="Times New Roman"/>
          <w:sz w:val="24"/>
          <w:szCs w:val="24"/>
        </w:rPr>
        <w:t xml:space="preserve"> applicants (alongside the </w:t>
      </w:r>
      <w:r w:rsidR="0035371A" w:rsidRPr="000346A7">
        <w:rPr>
          <w:rFonts w:ascii="Times New Roman" w:hAnsi="Times New Roman" w:cs="Times New Roman"/>
          <w:sz w:val="24"/>
          <w:szCs w:val="24"/>
        </w:rPr>
        <w:t xml:space="preserve">first, </w:t>
      </w:r>
      <w:r w:rsidR="00934794" w:rsidRPr="000346A7">
        <w:rPr>
          <w:rFonts w:ascii="Times New Roman" w:hAnsi="Times New Roman" w:cs="Times New Roman"/>
          <w:sz w:val="24"/>
          <w:szCs w:val="24"/>
        </w:rPr>
        <w:t>second</w:t>
      </w:r>
      <w:r w:rsidR="006B6733"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6B6733" w:rsidRPr="000346A7">
        <w:rPr>
          <w:rFonts w:ascii="Times New Roman" w:hAnsi="Times New Roman" w:cs="Times New Roman"/>
          <w:sz w:val="24"/>
          <w:szCs w:val="24"/>
        </w:rPr>
        <w:t xml:space="preserve"> respondents).  Section 2 of the Mortgage Act defines a surety to include such guarantors.  As a general rule</w:t>
      </w:r>
      <w:r w:rsidR="009A4944" w:rsidRPr="000346A7">
        <w:rPr>
          <w:rFonts w:ascii="Times New Roman" w:hAnsi="Times New Roman" w:cs="Times New Roman"/>
          <w:sz w:val="24"/>
          <w:szCs w:val="24"/>
        </w:rPr>
        <w:t>, whenever the relationship between a debtor and a proposed surety is ‘non-commercial’</w:t>
      </w:r>
      <w:r w:rsidR="001138FE" w:rsidRPr="000346A7">
        <w:rPr>
          <w:rFonts w:ascii="Times New Roman" w:hAnsi="Times New Roman" w:cs="Times New Roman"/>
          <w:sz w:val="24"/>
          <w:szCs w:val="24"/>
        </w:rPr>
        <w:t>,</w:t>
      </w:r>
      <w:r w:rsidR="009A4944" w:rsidRPr="000346A7">
        <w:rPr>
          <w:rFonts w:ascii="Times New Roman" w:hAnsi="Times New Roman" w:cs="Times New Roman"/>
          <w:sz w:val="24"/>
          <w:szCs w:val="24"/>
        </w:rPr>
        <w:t xml:space="preserve"> </w:t>
      </w:r>
      <w:r w:rsidR="00DB2958" w:rsidRPr="000346A7">
        <w:rPr>
          <w:rFonts w:ascii="Times New Roman" w:hAnsi="Times New Roman" w:cs="Times New Roman"/>
          <w:sz w:val="24"/>
          <w:szCs w:val="24"/>
        </w:rPr>
        <w:t xml:space="preserve">or </w:t>
      </w:r>
      <w:r w:rsidR="009A4944" w:rsidRPr="000346A7">
        <w:rPr>
          <w:rFonts w:ascii="Times New Roman" w:hAnsi="Times New Roman" w:cs="Times New Roman"/>
          <w:sz w:val="24"/>
          <w:szCs w:val="24"/>
        </w:rPr>
        <w:t>the surety does not stand to benefit from the transaction</w:t>
      </w:r>
      <w:r w:rsidR="005A62F9" w:rsidRPr="000346A7">
        <w:rPr>
          <w:rFonts w:ascii="Times New Roman" w:hAnsi="Times New Roman" w:cs="Times New Roman"/>
          <w:sz w:val="24"/>
          <w:szCs w:val="24"/>
        </w:rPr>
        <w:t xml:space="preserve"> or </w:t>
      </w:r>
      <w:r w:rsidR="00DB2958" w:rsidRPr="000346A7">
        <w:rPr>
          <w:rFonts w:ascii="Times New Roman" w:hAnsi="Times New Roman" w:cs="Times New Roman"/>
          <w:sz w:val="24"/>
          <w:szCs w:val="24"/>
        </w:rPr>
        <w:t xml:space="preserve">is, otherwise, </w:t>
      </w:r>
      <w:r w:rsidR="005A62F9" w:rsidRPr="000346A7">
        <w:rPr>
          <w:rFonts w:ascii="Times New Roman" w:hAnsi="Times New Roman" w:cs="Times New Roman"/>
          <w:sz w:val="24"/>
          <w:szCs w:val="24"/>
        </w:rPr>
        <w:t xml:space="preserve">one where the surety reposed trust and confidence in the debtor; </w:t>
      </w:r>
      <w:r w:rsidR="009A4944" w:rsidRPr="000346A7">
        <w:rPr>
          <w:rFonts w:ascii="Times New Roman" w:hAnsi="Times New Roman" w:cs="Times New Roman"/>
          <w:sz w:val="24"/>
          <w:szCs w:val="24"/>
        </w:rPr>
        <w:t xml:space="preserve">a mortgagee is </w:t>
      </w:r>
      <w:r w:rsidR="001A50CB" w:rsidRPr="000346A7">
        <w:rPr>
          <w:rFonts w:ascii="Times New Roman" w:hAnsi="Times New Roman" w:cs="Times New Roman"/>
          <w:sz w:val="24"/>
          <w:szCs w:val="24"/>
        </w:rPr>
        <w:t xml:space="preserve">required to </w:t>
      </w:r>
      <w:r w:rsidR="005A62F9" w:rsidRPr="000346A7">
        <w:rPr>
          <w:rFonts w:ascii="Times New Roman" w:hAnsi="Times New Roman" w:cs="Times New Roman"/>
          <w:sz w:val="24"/>
          <w:szCs w:val="24"/>
        </w:rPr>
        <w:t xml:space="preserve">take reasonable steps to satisfy itself that the </w:t>
      </w:r>
      <w:r w:rsidR="00A82CF9" w:rsidRPr="000346A7">
        <w:rPr>
          <w:rFonts w:ascii="Times New Roman" w:hAnsi="Times New Roman" w:cs="Times New Roman"/>
          <w:sz w:val="24"/>
          <w:szCs w:val="24"/>
        </w:rPr>
        <w:t>surety</w:t>
      </w:r>
      <w:r w:rsidR="005A62F9" w:rsidRPr="000346A7">
        <w:rPr>
          <w:rFonts w:ascii="Times New Roman" w:hAnsi="Times New Roman" w:cs="Times New Roman"/>
          <w:sz w:val="24"/>
          <w:szCs w:val="24"/>
        </w:rPr>
        <w:t>’s consent to stand as su</w:t>
      </w:r>
      <w:r w:rsidR="00A82CF9" w:rsidRPr="000346A7">
        <w:rPr>
          <w:rFonts w:ascii="Times New Roman" w:hAnsi="Times New Roman" w:cs="Times New Roman"/>
          <w:sz w:val="24"/>
          <w:szCs w:val="24"/>
        </w:rPr>
        <w:t>ch</w:t>
      </w:r>
      <w:r w:rsidR="005A62F9" w:rsidRPr="000346A7">
        <w:rPr>
          <w:rFonts w:ascii="Times New Roman" w:hAnsi="Times New Roman" w:cs="Times New Roman"/>
          <w:sz w:val="24"/>
          <w:szCs w:val="24"/>
        </w:rPr>
        <w:t xml:space="preserve"> </w:t>
      </w:r>
      <w:r w:rsidR="001138FE" w:rsidRPr="000346A7">
        <w:rPr>
          <w:rFonts w:ascii="Times New Roman" w:hAnsi="Times New Roman" w:cs="Times New Roman"/>
          <w:sz w:val="24"/>
          <w:szCs w:val="24"/>
        </w:rPr>
        <w:t xml:space="preserve">has not been procured by undue influence, misrepresentation or other misconduct by the debtor. </w:t>
      </w:r>
      <w:r w:rsidR="001138FE" w:rsidRPr="000346A7">
        <w:rPr>
          <w:rFonts w:ascii="Times New Roman" w:hAnsi="Times New Roman" w:cs="Times New Roman"/>
          <w:i/>
          <w:sz w:val="24"/>
          <w:szCs w:val="24"/>
        </w:rPr>
        <w:t xml:space="preserve">See </w:t>
      </w:r>
      <w:r w:rsidR="001138FE" w:rsidRPr="000346A7">
        <w:rPr>
          <w:rFonts w:ascii="Times New Roman" w:hAnsi="Times New Roman" w:cs="Times New Roman"/>
          <w:b/>
          <w:i/>
          <w:sz w:val="24"/>
          <w:szCs w:val="24"/>
          <w:u w:val="single"/>
        </w:rPr>
        <w:t xml:space="preserve">Halsbury’s Laws of England, Vol 77, 2010, </w:t>
      </w:r>
      <w:r w:rsidR="00E35D77" w:rsidRPr="000346A7">
        <w:rPr>
          <w:rFonts w:ascii="Times New Roman" w:hAnsi="Times New Roman" w:cs="Times New Roman"/>
          <w:b/>
          <w:i/>
          <w:sz w:val="24"/>
          <w:szCs w:val="24"/>
          <w:u w:val="single"/>
        </w:rPr>
        <w:t>5</w:t>
      </w:r>
      <w:r w:rsidR="00E35D77" w:rsidRPr="000346A7">
        <w:rPr>
          <w:rFonts w:ascii="Times New Roman" w:hAnsi="Times New Roman" w:cs="Times New Roman"/>
          <w:b/>
          <w:i/>
          <w:sz w:val="24"/>
          <w:szCs w:val="24"/>
          <w:u w:val="single"/>
          <w:vertAlign w:val="superscript"/>
        </w:rPr>
        <w:t>th</w:t>
      </w:r>
      <w:r w:rsidR="00E35D77" w:rsidRPr="000346A7">
        <w:rPr>
          <w:rFonts w:ascii="Times New Roman" w:hAnsi="Times New Roman" w:cs="Times New Roman"/>
          <w:b/>
          <w:i/>
          <w:sz w:val="24"/>
          <w:szCs w:val="24"/>
          <w:u w:val="single"/>
        </w:rPr>
        <w:t xml:space="preserve"> </w:t>
      </w:r>
      <w:r w:rsidR="001138FE" w:rsidRPr="000346A7">
        <w:rPr>
          <w:rFonts w:ascii="Times New Roman" w:hAnsi="Times New Roman" w:cs="Times New Roman"/>
          <w:b/>
          <w:i/>
          <w:sz w:val="24"/>
          <w:szCs w:val="24"/>
          <w:u w:val="single"/>
        </w:rPr>
        <w:t>Edition, paras. 147, 148</w:t>
      </w:r>
      <w:r w:rsidR="001138FE" w:rsidRPr="000346A7">
        <w:rPr>
          <w:rFonts w:ascii="Times New Roman" w:hAnsi="Times New Roman" w:cs="Times New Roman"/>
          <w:b/>
          <w:sz w:val="24"/>
          <w:szCs w:val="24"/>
        </w:rPr>
        <w:t xml:space="preserve">.  </w:t>
      </w:r>
      <w:r w:rsidR="00FC2218" w:rsidRPr="000346A7">
        <w:rPr>
          <w:rFonts w:ascii="Times New Roman" w:hAnsi="Times New Roman" w:cs="Times New Roman"/>
          <w:sz w:val="24"/>
          <w:szCs w:val="24"/>
        </w:rPr>
        <w:t>Failure to take such steps, a mortgagee would be deemed to</w:t>
      </w:r>
      <w:r w:rsidR="00FC2218" w:rsidRPr="000346A7">
        <w:rPr>
          <w:rFonts w:ascii="Times New Roman" w:hAnsi="Times New Roman" w:cs="Times New Roman"/>
          <w:b/>
          <w:sz w:val="24"/>
          <w:szCs w:val="24"/>
        </w:rPr>
        <w:t xml:space="preserve"> </w:t>
      </w:r>
      <w:r w:rsidR="005A62F9" w:rsidRPr="000346A7">
        <w:rPr>
          <w:rFonts w:ascii="Times New Roman" w:hAnsi="Times New Roman" w:cs="Times New Roman"/>
          <w:sz w:val="24"/>
          <w:szCs w:val="24"/>
        </w:rPr>
        <w:t xml:space="preserve">have constructive notice of the </w:t>
      </w:r>
      <w:r w:rsidR="005E4436" w:rsidRPr="000346A7">
        <w:rPr>
          <w:rFonts w:ascii="Times New Roman" w:hAnsi="Times New Roman" w:cs="Times New Roman"/>
          <w:sz w:val="24"/>
          <w:szCs w:val="24"/>
        </w:rPr>
        <w:t>surety</w:t>
      </w:r>
      <w:r w:rsidR="005A62F9" w:rsidRPr="000346A7">
        <w:rPr>
          <w:rFonts w:ascii="Times New Roman" w:hAnsi="Times New Roman" w:cs="Times New Roman"/>
          <w:sz w:val="24"/>
          <w:szCs w:val="24"/>
        </w:rPr>
        <w:t xml:space="preserve">’s right to set aside the transaction.  </w:t>
      </w:r>
    </w:p>
    <w:p w:rsidR="002B31CC" w:rsidRPr="000346A7" w:rsidRDefault="002B31CC" w:rsidP="002B31CC">
      <w:pPr>
        <w:pStyle w:val="ListParagraph"/>
        <w:rPr>
          <w:rFonts w:ascii="Times New Roman" w:hAnsi="Times New Roman" w:cs="Times New Roman"/>
          <w:sz w:val="24"/>
          <w:szCs w:val="24"/>
        </w:rPr>
      </w:pPr>
    </w:p>
    <w:p w:rsidR="00902AB8" w:rsidRPr="000346A7" w:rsidRDefault="001138FE" w:rsidP="002B31CC">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Thus in </w:t>
      </w:r>
      <w:r w:rsidR="00D76582" w:rsidRPr="000346A7">
        <w:rPr>
          <w:rFonts w:ascii="Times New Roman" w:hAnsi="Times New Roman" w:cs="Times New Roman"/>
          <w:b/>
          <w:sz w:val="24"/>
          <w:szCs w:val="24"/>
          <w:u w:val="single"/>
        </w:rPr>
        <w:t>Barclays Bank plc vs O’Brien (1994) 1 AC 180</w:t>
      </w:r>
      <w:r w:rsidRPr="000346A7">
        <w:rPr>
          <w:rFonts w:ascii="Times New Roman" w:hAnsi="Times New Roman" w:cs="Times New Roman"/>
          <w:sz w:val="24"/>
          <w:szCs w:val="24"/>
        </w:rPr>
        <w:t xml:space="preserve">, where the </w:t>
      </w:r>
      <w:r w:rsidR="00D76582" w:rsidRPr="000346A7">
        <w:rPr>
          <w:rFonts w:ascii="Times New Roman" w:hAnsi="Times New Roman" w:cs="Times New Roman"/>
          <w:sz w:val="24"/>
          <w:szCs w:val="24"/>
        </w:rPr>
        <w:t>court found that a husband had procured his wife as surety to a transaction by misrepresentation</w:t>
      </w:r>
      <w:r w:rsidRPr="000346A7">
        <w:rPr>
          <w:rFonts w:ascii="Times New Roman" w:hAnsi="Times New Roman" w:cs="Times New Roman"/>
          <w:sz w:val="24"/>
          <w:szCs w:val="24"/>
        </w:rPr>
        <w:t xml:space="preserve">, </w:t>
      </w:r>
      <w:r w:rsidR="008008AF" w:rsidRPr="000346A7">
        <w:rPr>
          <w:rFonts w:ascii="Times New Roman" w:hAnsi="Times New Roman" w:cs="Times New Roman"/>
          <w:sz w:val="24"/>
          <w:szCs w:val="24"/>
        </w:rPr>
        <w:t>Lord Brown Wilkinson</w:t>
      </w:r>
      <w:r w:rsidR="00D76582" w:rsidRPr="000346A7">
        <w:rPr>
          <w:rFonts w:ascii="Times New Roman" w:hAnsi="Times New Roman" w:cs="Times New Roman"/>
          <w:sz w:val="24"/>
          <w:szCs w:val="24"/>
        </w:rPr>
        <w:t xml:space="preserve"> held</w:t>
      </w:r>
      <w:r w:rsidR="008008AF" w:rsidRPr="000346A7">
        <w:rPr>
          <w:rFonts w:ascii="Times New Roman" w:hAnsi="Times New Roman" w:cs="Times New Roman"/>
          <w:sz w:val="24"/>
          <w:szCs w:val="24"/>
        </w:rPr>
        <w:t>:</w:t>
      </w:r>
    </w:p>
    <w:p w:rsidR="00812DED" w:rsidRPr="000346A7" w:rsidRDefault="008008AF" w:rsidP="00902AB8">
      <w:pPr>
        <w:pStyle w:val="ListParagraph"/>
        <w:jc w:val="both"/>
        <w:rPr>
          <w:rFonts w:ascii="Times New Roman" w:hAnsi="Times New Roman" w:cs="Times New Roman"/>
          <w:sz w:val="24"/>
          <w:szCs w:val="24"/>
        </w:rPr>
      </w:pPr>
      <w:r w:rsidRPr="000346A7">
        <w:rPr>
          <w:rFonts w:ascii="Times New Roman" w:hAnsi="Times New Roman" w:cs="Times New Roman"/>
          <w:sz w:val="24"/>
          <w:szCs w:val="24"/>
        </w:rPr>
        <w:t>“</w:t>
      </w:r>
      <w:r w:rsidR="00D76582" w:rsidRPr="000346A7">
        <w:rPr>
          <w:rFonts w:ascii="Times New Roman" w:hAnsi="Times New Roman" w:cs="Times New Roman"/>
          <w:b/>
          <w:sz w:val="24"/>
          <w:szCs w:val="24"/>
        </w:rPr>
        <w:t>T</w:t>
      </w:r>
      <w:r w:rsidRPr="000346A7">
        <w:rPr>
          <w:rFonts w:ascii="Times New Roman" w:hAnsi="Times New Roman" w:cs="Times New Roman"/>
          <w:b/>
          <w:sz w:val="24"/>
          <w:szCs w:val="24"/>
        </w:rPr>
        <w:t>herefore in my judgment a creditor is put on inquiry when a wife offers to stand surety for her husband</w:t>
      </w:r>
      <w:r w:rsidR="00D76582" w:rsidRPr="000346A7">
        <w:rPr>
          <w:rFonts w:ascii="Times New Roman" w:hAnsi="Times New Roman" w:cs="Times New Roman"/>
          <w:b/>
          <w:sz w:val="24"/>
          <w:szCs w:val="24"/>
        </w:rPr>
        <w:t>’s debts by the combination of 2 factors: (a) the transaction is on its face not to the financial advantage of the wife, and (b) there is substantial risk in transactions of that kind that, in procuring the wife to act as surety, the husband has committed a legal or equitable wrong that entitles the wife to set aside the transaction.  It follows that unless the creditor who is put on inquiry takes reasonable steps to satisfy himself that the wife’s agreement to stand surety has been properly obtained, the creditor will have constructive notice of the wife’s rights. … But in my judgment the creditor, in order to avoid being fixed with constructive notice, can reasonably be expected to take steps to bring home to the wife the risk she is running as standing surety and to advise her to take independent advice</w:t>
      </w:r>
      <w:r w:rsidR="00D76582" w:rsidRPr="000346A7">
        <w:rPr>
          <w:rFonts w:ascii="Times New Roman" w:hAnsi="Times New Roman" w:cs="Times New Roman"/>
          <w:sz w:val="24"/>
          <w:szCs w:val="24"/>
        </w:rPr>
        <w:t xml:space="preserve">.” </w:t>
      </w:r>
    </w:p>
    <w:p w:rsidR="00734BAC" w:rsidRPr="000346A7" w:rsidRDefault="00734BAC" w:rsidP="00902AB8">
      <w:pPr>
        <w:pStyle w:val="ListParagraph"/>
        <w:jc w:val="both"/>
        <w:rPr>
          <w:rFonts w:ascii="Times New Roman" w:hAnsi="Times New Roman" w:cs="Times New Roman"/>
          <w:sz w:val="24"/>
          <w:szCs w:val="24"/>
        </w:rPr>
      </w:pPr>
    </w:p>
    <w:p w:rsidR="00902AB8" w:rsidRPr="000346A7" w:rsidRDefault="008008AF" w:rsidP="00902AB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 </w:t>
      </w:r>
      <w:r w:rsidR="002206C6" w:rsidRPr="000346A7">
        <w:rPr>
          <w:rFonts w:ascii="Times New Roman" w:hAnsi="Times New Roman" w:cs="Times New Roman"/>
          <w:sz w:val="24"/>
          <w:szCs w:val="24"/>
        </w:rPr>
        <w:t xml:space="preserve">The rule on constructive notice </w:t>
      </w:r>
      <w:r w:rsidR="00734BAC" w:rsidRPr="000346A7">
        <w:rPr>
          <w:rFonts w:ascii="Times New Roman" w:hAnsi="Times New Roman" w:cs="Times New Roman"/>
          <w:sz w:val="24"/>
          <w:szCs w:val="24"/>
        </w:rPr>
        <w:t xml:space="preserve">as </w:t>
      </w:r>
      <w:r w:rsidR="002206C6" w:rsidRPr="000346A7">
        <w:rPr>
          <w:rFonts w:ascii="Times New Roman" w:hAnsi="Times New Roman" w:cs="Times New Roman"/>
          <w:sz w:val="24"/>
          <w:szCs w:val="24"/>
        </w:rPr>
        <w:t xml:space="preserve">laid down in </w:t>
      </w:r>
      <w:r w:rsidR="002206C6" w:rsidRPr="000346A7">
        <w:rPr>
          <w:rFonts w:ascii="Times New Roman" w:hAnsi="Times New Roman" w:cs="Times New Roman"/>
          <w:b/>
          <w:sz w:val="24"/>
          <w:szCs w:val="24"/>
          <w:u w:val="single"/>
        </w:rPr>
        <w:t>Barclays Bank plc vs O’Brien</w:t>
      </w:r>
      <w:r w:rsidR="002206C6" w:rsidRPr="000346A7">
        <w:rPr>
          <w:rFonts w:ascii="Times New Roman" w:hAnsi="Times New Roman" w:cs="Times New Roman"/>
          <w:sz w:val="24"/>
          <w:szCs w:val="24"/>
        </w:rPr>
        <w:t xml:space="preserve"> (supra) was developed further in </w:t>
      </w:r>
      <w:r w:rsidR="002206C6" w:rsidRPr="000346A7">
        <w:rPr>
          <w:rFonts w:ascii="Times New Roman" w:hAnsi="Times New Roman" w:cs="Times New Roman"/>
          <w:b/>
          <w:sz w:val="24"/>
          <w:szCs w:val="24"/>
          <w:u w:val="single"/>
        </w:rPr>
        <w:t>Royal Bank of Scotland plc vs Etridge (Vol. 2) (2002) 2 AC 773</w:t>
      </w:r>
      <w:r w:rsidR="002206C6" w:rsidRPr="000346A7">
        <w:rPr>
          <w:rFonts w:ascii="Times New Roman" w:hAnsi="Times New Roman" w:cs="Times New Roman"/>
          <w:sz w:val="24"/>
          <w:szCs w:val="24"/>
        </w:rPr>
        <w:t xml:space="preserve">.   </w:t>
      </w:r>
      <w:r w:rsidR="008F747E" w:rsidRPr="000346A7">
        <w:rPr>
          <w:rFonts w:ascii="Times New Roman" w:hAnsi="Times New Roman" w:cs="Times New Roman"/>
          <w:sz w:val="24"/>
          <w:szCs w:val="24"/>
        </w:rPr>
        <w:t xml:space="preserve">In </w:t>
      </w:r>
      <w:r w:rsidR="002206C6" w:rsidRPr="000346A7">
        <w:rPr>
          <w:rFonts w:ascii="Times New Roman" w:hAnsi="Times New Roman" w:cs="Times New Roman"/>
          <w:sz w:val="24"/>
          <w:szCs w:val="24"/>
        </w:rPr>
        <w:lastRenderedPageBreak/>
        <w:t xml:space="preserve">that case </w:t>
      </w:r>
      <w:r w:rsidR="008F747E" w:rsidRPr="000346A7">
        <w:rPr>
          <w:rFonts w:ascii="Times New Roman" w:hAnsi="Times New Roman" w:cs="Times New Roman"/>
          <w:sz w:val="24"/>
          <w:szCs w:val="24"/>
        </w:rPr>
        <w:t xml:space="preserve">relationships that are susceptible to inquiry by a mortgagee </w:t>
      </w:r>
      <w:r w:rsidR="00E743BE" w:rsidRPr="000346A7">
        <w:rPr>
          <w:rFonts w:ascii="Times New Roman" w:hAnsi="Times New Roman" w:cs="Times New Roman"/>
          <w:sz w:val="24"/>
          <w:szCs w:val="24"/>
        </w:rPr>
        <w:t xml:space="preserve">were </w:t>
      </w:r>
      <w:r w:rsidR="002206C6" w:rsidRPr="000346A7">
        <w:rPr>
          <w:rFonts w:ascii="Times New Roman" w:hAnsi="Times New Roman" w:cs="Times New Roman"/>
          <w:sz w:val="24"/>
          <w:szCs w:val="24"/>
        </w:rPr>
        <w:t xml:space="preserve">defined and explained within the context </w:t>
      </w:r>
      <w:r w:rsidR="00E743BE" w:rsidRPr="000346A7">
        <w:rPr>
          <w:rFonts w:ascii="Times New Roman" w:hAnsi="Times New Roman" w:cs="Times New Roman"/>
          <w:sz w:val="24"/>
          <w:szCs w:val="24"/>
        </w:rPr>
        <w:t xml:space="preserve">of undue influence </w:t>
      </w:r>
      <w:r w:rsidR="008F747E" w:rsidRPr="000346A7">
        <w:rPr>
          <w:rFonts w:ascii="Times New Roman" w:hAnsi="Times New Roman" w:cs="Times New Roman"/>
          <w:sz w:val="24"/>
          <w:szCs w:val="24"/>
        </w:rPr>
        <w:t>(per Lord Nicholls):</w:t>
      </w:r>
      <w:r w:rsidR="00812DED" w:rsidRPr="000346A7">
        <w:rPr>
          <w:rFonts w:ascii="Times New Roman" w:hAnsi="Times New Roman" w:cs="Times New Roman"/>
          <w:sz w:val="24"/>
          <w:szCs w:val="24"/>
        </w:rPr>
        <w:t xml:space="preserve">  </w:t>
      </w:r>
    </w:p>
    <w:p w:rsidR="00C77DDA" w:rsidRPr="000346A7" w:rsidRDefault="008F747E" w:rsidP="00902AB8">
      <w:pPr>
        <w:pStyle w:val="ListParagraph"/>
        <w:jc w:val="both"/>
        <w:rPr>
          <w:rFonts w:ascii="Times New Roman" w:hAnsi="Times New Roman" w:cs="Times New Roman"/>
          <w:i/>
          <w:sz w:val="24"/>
          <w:szCs w:val="24"/>
        </w:rPr>
      </w:pPr>
      <w:r w:rsidRPr="000346A7">
        <w:rPr>
          <w:rFonts w:ascii="Times New Roman" w:hAnsi="Times New Roman" w:cs="Times New Roman"/>
          <w:sz w:val="24"/>
          <w:szCs w:val="24"/>
        </w:rPr>
        <w:t>“</w:t>
      </w:r>
      <w:r w:rsidR="000F16C4" w:rsidRPr="000346A7">
        <w:rPr>
          <w:rFonts w:ascii="Times New Roman" w:hAnsi="Times New Roman" w:cs="Times New Roman"/>
          <w:b/>
          <w:sz w:val="24"/>
          <w:szCs w:val="24"/>
          <w:u w:val="single"/>
        </w:rPr>
        <w:t>Undue influence is one of the grounds of relief developed by the courts of  as a court of conscience.</w:t>
      </w:r>
      <w:r w:rsidR="000F16C4" w:rsidRPr="000346A7">
        <w:rPr>
          <w:rFonts w:ascii="Times New Roman" w:hAnsi="Times New Roman" w:cs="Times New Roman"/>
          <w:sz w:val="24"/>
          <w:szCs w:val="24"/>
          <w:u w:val="single"/>
        </w:rPr>
        <w:t xml:space="preserve">  </w:t>
      </w:r>
      <w:r w:rsidR="00C7439D" w:rsidRPr="000346A7">
        <w:rPr>
          <w:rFonts w:ascii="Times New Roman" w:hAnsi="Times New Roman" w:cs="Times New Roman"/>
          <w:b/>
          <w:sz w:val="24"/>
          <w:szCs w:val="24"/>
          <w:u w:val="single"/>
        </w:rPr>
        <w:t>The objective is to ensure that the influence of one person over another is not abused</w:t>
      </w:r>
      <w:r w:rsidR="00C7439D" w:rsidRPr="000346A7">
        <w:rPr>
          <w:rFonts w:ascii="Times New Roman" w:hAnsi="Times New Roman" w:cs="Times New Roman"/>
          <w:b/>
          <w:sz w:val="24"/>
          <w:szCs w:val="24"/>
        </w:rPr>
        <w:t>.  In everyday life people constantly seek to influence the decisions of others.  They seek to persuade those with whom they are dealing to enter into transactions, whether great or small.  The law has set limits to the means properly employable for that purpose</w:t>
      </w:r>
      <w:r w:rsidR="00C7439D" w:rsidRPr="000346A7">
        <w:rPr>
          <w:rFonts w:ascii="Times New Roman" w:hAnsi="Times New Roman" w:cs="Times New Roman"/>
          <w:sz w:val="24"/>
          <w:szCs w:val="24"/>
        </w:rPr>
        <w:t>.</w:t>
      </w:r>
      <w:r w:rsidR="008A1F5A" w:rsidRPr="000346A7">
        <w:rPr>
          <w:rFonts w:ascii="Times New Roman" w:hAnsi="Times New Roman" w:cs="Times New Roman"/>
          <w:sz w:val="24"/>
          <w:szCs w:val="24"/>
        </w:rPr>
        <w:t xml:space="preserve"> … </w:t>
      </w:r>
      <w:r w:rsidR="008A1F5A" w:rsidRPr="000346A7">
        <w:rPr>
          <w:rFonts w:ascii="Times New Roman" w:hAnsi="Times New Roman" w:cs="Times New Roman"/>
          <w:b/>
          <w:sz w:val="24"/>
          <w:szCs w:val="24"/>
        </w:rPr>
        <w:t xml:space="preserve">Equity identified two forms of unacceptable conduct.  The first comprises overt acts of improper pressure or coercion such as threats. … </w:t>
      </w:r>
      <w:r w:rsidR="008A1F5A" w:rsidRPr="000346A7">
        <w:rPr>
          <w:rFonts w:ascii="Times New Roman" w:hAnsi="Times New Roman" w:cs="Times New Roman"/>
          <w:b/>
          <w:sz w:val="24"/>
          <w:szCs w:val="24"/>
          <w:u w:val="single"/>
        </w:rPr>
        <w:t>The second form arises out of a relationship between two persons where one has acquired over another a measure of influence, or ascendancy, of which the ascendant person then takes unfair advantage</w:t>
      </w:r>
      <w:r w:rsidR="008A1F5A" w:rsidRPr="000346A7">
        <w:rPr>
          <w:rFonts w:ascii="Times New Roman" w:hAnsi="Times New Roman" w:cs="Times New Roman"/>
          <w:b/>
          <w:sz w:val="24"/>
          <w:szCs w:val="24"/>
        </w:rPr>
        <w:t xml:space="preserve">.  </w:t>
      </w:r>
      <w:r w:rsidR="004D70DF" w:rsidRPr="000346A7">
        <w:rPr>
          <w:rFonts w:ascii="Times New Roman" w:hAnsi="Times New Roman" w:cs="Times New Roman"/>
          <w:b/>
          <w:sz w:val="24"/>
          <w:szCs w:val="24"/>
        </w:rPr>
        <w:t xml:space="preserve">…. </w:t>
      </w:r>
      <w:r w:rsidR="008A1F5A" w:rsidRPr="000346A7">
        <w:rPr>
          <w:rFonts w:ascii="Times New Roman" w:hAnsi="Times New Roman" w:cs="Times New Roman"/>
          <w:b/>
          <w:sz w:val="24"/>
          <w:szCs w:val="24"/>
        </w:rPr>
        <w:t xml:space="preserve">In cases of this nature the influence one person has over another provides scope for misuse without any specific overt acts of persuasion.  </w:t>
      </w:r>
      <w:r w:rsidR="008A1F5A" w:rsidRPr="000346A7">
        <w:rPr>
          <w:rFonts w:ascii="Times New Roman" w:hAnsi="Times New Roman" w:cs="Times New Roman"/>
          <w:b/>
          <w:sz w:val="24"/>
          <w:szCs w:val="24"/>
          <w:u w:val="single"/>
        </w:rPr>
        <w:t>The relationship between two persons may be such that</w:t>
      </w:r>
      <w:r w:rsidR="004D70DF" w:rsidRPr="000346A7">
        <w:rPr>
          <w:rFonts w:ascii="Times New Roman" w:hAnsi="Times New Roman" w:cs="Times New Roman"/>
          <w:b/>
          <w:sz w:val="24"/>
          <w:szCs w:val="24"/>
          <w:u w:val="single"/>
        </w:rPr>
        <w:t>, without more, one of them is disposed to agree to a course of action proposed by the other.  Typically this occurs when one person places trust in another to look after his affairs and interests, and the latter betrays this trust by preferring his own interests.  He abuses the interest he has acquired</w:t>
      </w:r>
      <w:r w:rsidR="004D70DF" w:rsidRPr="000346A7">
        <w:rPr>
          <w:rFonts w:ascii="Times New Roman" w:hAnsi="Times New Roman" w:cs="Times New Roman"/>
          <w:sz w:val="24"/>
          <w:szCs w:val="24"/>
        </w:rPr>
        <w:t>.</w:t>
      </w:r>
      <w:r w:rsidR="007418AF" w:rsidRPr="000346A7">
        <w:rPr>
          <w:rFonts w:ascii="Times New Roman" w:hAnsi="Times New Roman" w:cs="Times New Roman"/>
          <w:sz w:val="24"/>
          <w:szCs w:val="24"/>
        </w:rPr>
        <w:t>’</w:t>
      </w:r>
      <w:r w:rsidR="004D70DF" w:rsidRPr="000346A7">
        <w:rPr>
          <w:rFonts w:ascii="Times New Roman" w:hAnsi="Times New Roman" w:cs="Times New Roman"/>
          <w:sz w:val="24"/>
          <w:szCs w:val="24"/>
        </w:rPr>
        <w:t xml:space="preserve"> </w:t>
      </w:r>
      <w:r w:rsidR="002206C6" w:rsidRPr="000346A7">
        <w:rPr>
          <w:rFonts w:ascii="Times New Roman" w:hAnsi="Times New Roman" w:cs="Times New Roman"/>
          <w:i/>
          <w:sz w:val="24"/>
          <w:szCs w:val="24"/>
        </w:rPr>
        <w:t>(emphasis mine)</w:t>
      </w:r>
    </w:p>
    <w:p w:rsidR="00532568" w:rsidRPr="000346A7" w:rsidRDefault="00532568" w:rsidP="00902AB8">
      <w:pPr>
        <w:pStyle w:val="ListParagraph"/>
        <w:jc w:val="both"/>
        <w:rPr>
          <w:rFonts w:ascii="Times New Roman" w:hAnsi="Times New Roman" w:cs="Times New Roman"/>
          <w:sz w:val="24"/>
          <w:szCs w:val="24"/>
        </w:rPr>
      </w:pPr>
    </w:p>
    <w:p w:rsidR="00812DED" w:rsidRPr="000346A7" w:rsidRDefault="00FD0886" w:rsidP="00812DED">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I do recognize that the issue of </w:t>
      </w:r>
      <w:r w:rsidR="004D70DF" w:rsidRPr="000346A7">
        <w:rPr>
          <w:rFonts w:ascii="Times New Roman" w:hAnsi="Times New Roman" w:cs="Times New Roman"/>
          <w:sz w:val="24"/>
          <w:szCs w:val="24"/>
        </w:rPr>
        <w:t>undue influence is a question of fact</w:t>
      </w:r>
      <w:r w:rsidRPr="000346A7">
        <w:rPr>
          <w:rFonts w:ascii="Times New Roman" w:hAnsi="Times New Roman" w:cs="Times New Roman"/>
          <w:sz w:val="24"/>
          <w:szCs w:val="24"/>
        </w:rPr>
        <w:t xml:space="preserve"> and the burden of proof thereof would rest upon </w:t>
      </w:r>
      <w:r w:rsidR="004D70DF" w:rsidRPr="000346A7">
        <w:rPr>
          <w:rFonts w:ascii="Times New Roman" w:hAnsi="Times New Roman" w:cs="Times New Roman"/>
          <w:sz w:val="24"/>
          <w:szCs w:val="24"/>
        </w:rPr>
        <w:t xml:space="preserve">the person who </w:t>
      </w:r>
      <w:r w:rsidRPr="000346A7">
        <w:rPr>
          <w:rFonts w:ascii="Times New Roman" w:hAnsi="Times New Roman" w:cs="Times New Roman"/>
          <w:sz w:val="24"/>
          <w:szCs w:val="24"/>
        </w:rPr>
        <w:t xml:space="preserve">alleges it.  Nonetheless, proof </w:t>
      </w:r>
      <w:r w:rsidR="004D70DF" w:rsidRPr="000346A7">
        <w:rPr>
          <w:rFonts w:ascii="Times New Roman" w:hAnsi="Times New Roman" w:cs="Times New Roman"/>
          <w:sz w:val="24"/>
          <w:szCs w:val="24"/>
        </w:rPr>
        <w:t xml:space="preserve">that </w:t>
      </w:r>
      <w:r w:rsidRPr="000346A7">
        <w:rPr>
          <w:rFonts w:ascii="Times New Roman" w:hAnsi="Times New Roman" w:cs="Times New Roman"/>
          <w:sz w:val="24"/>
          <w:szCs w:val="24"/>
        </w:rPr>
        <w:t xml:space="preserve">such </w:t>
      </w:r>
      <w:r w:rsidR="004D70DF" w:rsidRPr="000346A7">
        <w:rPr>
          <w:rFonts w:ascii="Times New Roman" w:hAnsi="Times New Roman" w:cs="Times New Roman"/>
          <w:sz w:val="24"/>
          <w:szCs w:val="24"/>
        </w:rPr>
        <w:t xml:space="preserve">complainant placed trust and confidence in the other party with regard to </w:t>
      </w:r>
      <w:r w:rsidRPr="000346A7">
        <w:rPr>
          <w:rFonts w:ascii="Times New Roman" w:hAnsi="Times New Roman" w:cs="Times New Roman"/>
          <w:sz w:val="24"/>
          <w:szCs w:val="24"/>
        </w:rPr>
        <w:t xml:space="preserve">such </w:t>
      </w:r>
      <w:r w:rsidR="004D70DF" w:rsidRPr="000346A7">
        <w:rPr>
          <w:rFonts w:ascii="Times New Roman" w:hAnsi="Times New Roman" w:cs="Times New Roman"/>
          <w:sz w:val="24"/>
          <w:szCs w:val="24"/>
        </w:rPr>
        <w:t>complainant’s financial affairs, coupled with a transaction which calls for explanation, w</w:t>
      </w:r>
      <w:r w:rsidRPr="000346A7">
        <w:rPr>
          <w:rFonts w:ascii="Times New Roman" w:hAnsi="Times New Roman" w:cs="Times New Roman"/>
          <w:sz w:val="24"/>
          <w:szCs w:val="24"/>
        </w:rPr>
        <w:t>ould</w:t>
      </w:r>
      <w:r w:rsidR="004D70DF" w:rsidRPr="000346A7">
        <w:rPr>
          <w:rFonts w:ascii="Times New Roman" w:hAnsi="Times New Roman" w:cs="Times New Roman"/>
          <w:sz w:val="24"/>
          <w:szCs w:val="24"/>
        </w:rPr>
        <w:t xml:space="preserve"> normally be </w:t>
      </w:r>
      <w:r w:rsidR="007418AF" w:rsidRPr="000346A7">
        <w:rPr>
          <w:rFonts w:ascii="Times New Roman" w:hAnsi="Times New Roman" w:cs="Times New Roman"/>
          <w:sz w:val="24"/>
          <w:szCs w:val="24"/>
        </w:rPr>
        <w:t xml:space="preserve">sufficient, in the absence of satisfactory evidence to the contrary, to discharge the burden of proof. </w:t>
      </w:r>
      <w:r w:rsidRPr="000346A7">
        <w:rPr>
          <w:rFonts w:ascii="Times New Roman" w:hAnsi="Times New Roman" w:cs="Times New Roman"/>
          <w:sz w:val="24"/>
          <w:szCs w:val="24"/>
        </w:rPr>
        <w:t>This would be</w:t>
      </w:r>
      <w:r w:rsidR="007418AF" w:rsidRPr="000346A7">
        <w:rPr>
          <w:rFonts w:ascii="Times New Roman" w:hAnsi="Times New Roman" w:cs="Times New Roman"/>
          <w:sz w:val="24"/>
          <w:szCs w:val="24"/>
        </w:rPr>
        <w:t xml:space="preserve"> </w:t>
      </w:r>
      <w:r w:rsidR="007418AF" w:rsidRPr="000346A7">
        <w:rPr>
          <w:rFonts w:ascii="Times New Roman" w:hAnsi="Times New Roman" w:cs="Times New Roman"/>
          <w:i/>
          <w:sz w:val="24"/>
          <w:szCs w:val="24"/>
        </w:rPr>
        <w:t>prima facie</w:t>
      </w:r>
      <w:r w:rsidR="007418AF" w:rsidRPr="000346A7">
        <w:rPr>
          <w:rFonts w:ascii="Times New Roman" w:hAnsi="Times New Roman" w:cs="Times New Roman"/>
          <w:sz w:val="24"/>
          <w:szCs w:val="24"/>
        </w:rPr>
        <w:t xml:space="preserve"> evidence that the defendant abused the influence </w:t>
      </w:r>
      <w:r w:rsidRPr="000346A7">
        <w:rPr>
          <w:rFonts w:ascii="Times New Roman" w:hAnsi="Times New Roman" w:cs="Times New Roman"/>
          <w:sz w:val="24"/>
          <w:szCs w:val="24"/>
        </w:rPr>
        <w:t>s/</w:t>
      </w:r>
      <w:r w:rsidR="007418AF" w:rsidRPr="000346A7">
        <w:rPr>
          <w:rFonts w:ascii="Times New Roman" w:hAnsi="Times New Roman" w:cs="Times New Roman"/>
          <w:sz w:val="24"/>
          <w:szCs w:val="24"/>
        </w:rPr>
        <w:t xml:space="preserve">he acquired in the parties’ relationship.  So the evidential burden then shifts to </w:t>
      </w:r>
      <w:r w:rsidRPr="000346A7">
        <w:rPr>
          <w:rFonts w:ascii="Times New Roman" w:hAnsi="Times New Roman" w:cs="Times New Roman"/>
          <w:sz w:val="24"/>
          <w:szCs w:val="24"/>
        </w:rPr>
        <w:t>such defendant.</w:t>
      </w:r>
      <w:r w:rsidR="00C441B8" w:rsidRPr="000346A7">
        <w:rPr>
          <w:rFonts w:ascii="Times New Roman" w:hAnsi="Times New Roman" w:cs="Times New Roman"/>
          <w:sz w:val="24"/>
          <w:szCs w:val="24"/>
        </w:rPr>
        <w:t xml:space="preserve"> </w:t>
      </w:r>
      <w:r w:rsidR="00C7439D" w:rsidRPr="000346A7">
        <w:rPr>
          <w:rFonts w:ascii="Times New Roman" w:hAnsi="Times New Roman" w:cs="Times New Roman"/>
          <w:sz w:val="24"/>
          <w:szCs w:val="24"/>
        </w:rPr>
        <w:t xml:space="preserve"> </w:t>
      </w:r>
      <w:r w:rsidR="00C441B8" w:rsidRPr="000346A7">
        <w:rPr>
          <w:rFonts w:ascii="Times New Roman" w:hAnsi="Times New Roman" w:cs="Times New Roman"/>
          <w:i/>
          <w:sz w:val="24"/>
          <w:szCs w:val="24"/>
        </w:rPr>
        <w:t xml:space="preserve">See </w:t>
      </w:r>
      <w:r w:rsidR="00C441B8" w:rsidRPr="000346A7">
        <w:rPr>
          <w:rFonts w:ascii="Times New Roman" w:hAnsi="Times New Roman" w:cs="Times New Roman"/>
          <w:b/>
          <w:i/>
          <w:sz w:val="24"/>
          <w:szCs w:val="24"/>
          <w:u w:val="single"/>
        </w:rPr>
        <w:t xml:space="preserve">Royal Bank of Scotland plc vs Etridge </w:t>
      </w:r>
      <w:r w:rsidR="00C441B8" w:rsidRPr="000346A7">
        <w:rPr>
          <w:rFonts w:ascii="Times New Roman" w:hAnsi="Times New Roman" w:cs="Times New Roman"/>
          <w:i/>
          <w:sz w:val="24"/>
          <w:szCs w:val="24"/>
        </w:rPr>
        <w:t>(supra)</w:t>
      </w:r>
      <w:r w:rsidR="00C441B8" w:rsidRPr="000346A7">
        <w:rPr>
          <w:rFonts w:ascii="Times New Roman" w:hAnsi="Times New Roman" w:cs="Times New Roman"/>
          <w:sz w:val="24"/>
          <w:szCs w:val="24"/>
        </w:rPr>
        <w:t xml:space="preserve">.  </w:t>
      </w:r>
    </w:p>
    <w:p w:rsidR="00BB6E18" w:rsidRPr="000346A7" w:rsidRDefault="00BB6E18" w:rsidP="00BB6E18">
      <w:pPr>
        <w:pStyle w:val="ListParagraph"/>
        <w:ind w:left="360"/>
        <w:jc w:val="both"/>
        <w:rPr>
          <w:rFonts w:ascii="Times New Roman" w:hAnsi="Times New Roman" w:cs="Times New Roman"/>
          <w:sz w:val="24"/>
          <w:szCs w:val="24"/>
        </w:rPr>
      </w:pPr>
    </w:p>
    <w:p w:rsidR="00BB6E18" w:rsidRPr="000346A7" w:rsidRDefault="00162C97" w:rsidP="00812DED">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However, </w:t>
      </w:r>
      <w:r w:rsidR="00BB6E18" w:rsidRPr="000346A7">
        <w:rPr>
          <w:rFonts w:ascii="Times New Roman" w:hAnsi="Times New Roman" w:cs="Times New Roman"/>
          <w:sz w:val="24"/>
          <w:szCs w:val="24"/>
        </w:rPr>
        <w:t xml:space="preserve">it is my considered view that </w:t>
      </w:r>
      <w:r w:rsidRPr="000346A7">
        <w:rPr>
          <w:rFonts w:ascii="Times New Roman" w:hAnsi="Times New Roman" w:cs="Times New Roman"/>
          <w:sz w:val="24"/>
          <w:szCs w:val="24"/>
        </w:rPr>
        <w:t xml:space="preserve">the foregoing standard of proof </w:t>
      </w:r>
      <w:r w:rsidR="002E5202" w:rsidRPr="000346A7">
        <w:rPr>
          <w:rFonts w:ascii="Times New Roman" w:hAnsi="Times New Roman" w:cs="Times New Roman"/>
          <w:sz w:val="24"/>
          <w:szCs w:val="24"/>
        </w:rPr>
        <w:t>pertains</w:t>
      </w:r>
      <w:r w:rsidR="00BB6E18"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to a substantive suit </w:t>
      </w:r>
      <w:r w:rsidR="00BB6E18" w:rsidRPr="000346A7">
        <w:rPr>
          <w:rFonts w:ascii="Times New Roman" w:hAnsi="Times New Roman" w:cs="Times New Roman"/>
          <w:sz w:val="24"/>
          <w:szCs w:val="24"/>
        </w:rPr>
        <w:t xml:space="preserve">premised on </w:t>
      </w:r>
      <w:r w:rsidRPr="000346A7">
        <w:rPr>
          <w:rFonts w:ascii="Times New Roman" w:hAnsi="Times New Roman" w:cs="Times New Roman"/>
          <w:sz w:val="24"/>
          <w:szCs w:val="24"/>
        </w:rPr>
        <w:t>undue influence</w:t>
      </w:r>
      <w:r w:rsidR="002E5202"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not to an interlocutory application arising from such suit.  Thus, whereas a plaintiff who alleges undue influence would be required to furnish sufficient proof that s/he placed trust and confidence in the defendant with regard to such plaintiff’s financial affairs; an applicant for an interlocutory injunction need not delve into such detailed evidence in proof thereof.  In my judgment it would suffice at that stage for an applicant to </w:t>
      </w:r>
      <w:r w:rsidR="00BB6E18" w:rsidRPr="000346A7">
        <w:rPr>
          <w:rFonts w:ascii="Times New Roman" w:hAnsi="Times New Roman" w:cs="Times New Roman"/>
          <w:sz w:val="24"/>
          <w:szCs w:val="24"/>
        </w:rPr>
        <w:t xml:space="preserve">furnish </w:t>
      </w:r>
      <w:r w:rsidRPr="000346A7">
        <w:rPr>
          <w:rFonts w:ascii="Times New Roman" w:hAnsi="Times New Roman" w:cs="Times New Roman"/>
          <w:sz w:val="24"/>
          <w:szCs w:val="24"/>
        </w:rPr>
        <w:t xml:space="preserve">such particulars as to the parties’ relationship as would </w:t>
      </w:r>
      <w:r w:rsidR="002E5202" w:rsidRPr="000346A7">
        <w:rPr>
          <w:rFonts w:ascii="Times New Roman" w:hAnsi="Times New Roman" w:cs="Times New Roman"/>
          <w:sz w:val="24"/>
          <w:szCs w:val="24"/>
        </w:rPr>
        <w:t xml:space="preserve">reasonably </w:t>
      </w:r>
      <w:r w:rsidR="00BB6E18" w:rsidRPr="000346A7">
        <w:rPr>
          <w:rFonts w:ascii="Times New Roman" w:hAnsi="Times New Roman" w:cs="Times New Roman"/>
          <w:sz w:val="24"/>
          <w:szCs w:val="24"/>
        </w:rPr>
        <w:t xml:space="preserve">denote </w:t>
      </w:r>
      <w:r w:rsidRPr="000346A7">
        <w:rPr>
          <w:rFonts w:ascii="Times New Roman" w:hAnsi="Times New Roman" w:cs="Times New Roman"/>
          <w:sz w:val="24"/>
          <w:szCs w:val="24"/>
        </w:rPr>
        <w:t xml:space="preserve">such influence. </w:t>
      </w:r>
    </w:p>
    <w:p w:rsidR="00BB6E18" w:rsidRPr="000346A7" w:rsidRDefault="00BB6E18" w:rsidP="00BB6E18">
      <w:pPr>
        <w:pStyle w:val="ListParagraph"/>
        <w:rPr>
          <w:rFonts w:ascii="Times New Roman" w:hAnsi="Times New Roman" w:cs="Times New Roman"/>
          <w:sz w:val="24"/>
          <w:szCs w:val="24"/>
        </w:rPr>
      </w:pPr>
    </w:p>
    <w:p w:rsidR="00812DED" w:rsidRPr="000346A7" w:rsidRDefault="00162C97" w:rsidP="00BB6E18">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 </w:t>
      </w:r>
      <w:r w:rsidR="00C441B8" w:rsidRPr="000346A7">
        <w:rPr>
          <w:rFonts w:ascii="Times New Roman" w:hAnsi="Times New Roman" w:cs="Times New Roman"/>
          <w:sz w:val="24"/>
          <w:szCs w:val="24"/>
        </w:rPr>
        <w:t xml:space="preserve">In the instant case the </w:t>
      </w:r>
      <w:r w:rsidR="007F7375" w:rsidRPr="000346A7">
        <w:rPr>
          <w:rFonts w:ascii="Times New Roman" w:hAnsi="Times New Roman" w:cs="Times New Roman"/>
          <w:sz w:val="24"/>
          <w:szCs w:val="24"/>
        </w:rPr>
        <w:t xml:space="preserve">first </w:t>
      </w:r>
      <w:r w:rsidR="00C441B8" w:rsidRPr="000346A7">
        <w:rPr>
          <w:rFonts w:ascii="Times New Roman" w:hAnsi="Times New Roman" w:cs="Times New Roman"/>
          <w:sz w:val="24"/>
          <w:szCs w:val="24"/>
        </w:rPr>
        <w:t xml:space="preserve">applicant was the </w:t>
      </w:r>
      <w:r w:rsidR="007F7375" w:rsidRPr="000346A7">
        <w:rPr>
          <w:rFonts w:ascii="Times New Roman" w:hAnsi="Times New Roman" w:cs="Times New Roman"/>
          <w:sz w:val="24"/>
          <w:szCs w:val="24"/>
        </w:rPr>
        <w:t xml:space="preserve">first </w:t>
      </w:r>
      <w:r w:rsidR="00C441B8" w:rsidRPr="000346A7">
        <w:rPr>
          <w:rFonts w:ascii="Times New Roman" w:hAnsi="Times New Roman" w:cs="Times New Roman"/>
          <w:sz w:val="24"/>
          <w:szCs w:val="24"/>
        </w:rPr>
        <w:t xml:space="preserve">respondent’s mother-in-law and co-director with him in the </w:t>
      </w:r>
      <w:r w:rsidR="00645B91" w:rsidRPr="000346A7">
        <w:rPr>
          <w:rFonts w:ascii="Times New Roman" w:hAnsi="Times New Roman" w:cs="Times New Roman"/>
          <w:sz w:val="24"/>
          <w:szCs w:val="24"/>
        </w:rPr>
        <w:t>fourth</w:t>
      </w:r>
      <w:r w:rsidR="00C441B8" w:rsidRPr="000346A7">
        <w:rPr>
          <w:rFonts w:ascii="Times New Roman" w:hAnsi="Times New Roman" w:cs="Times New Roman"/>
          <w:sz w:val="24"/>
          <w:szCs w:val="24"/>
        </w:rPr>
        <w:t xml:space="preserve"> respondent company; while the </w:t>
      </w:r>
      <w:r w:rsidR="00934794" w:rsidRPr="000346A7">
        <w:rPr>
          <w:rFonts w:ascii="Times New Roman" w:hAnsi="Times New Roman" w:cs="Times New Roman"/>
          <w:sz w:val="24"/>
          <w:szCs w:val="24"/>
        </w:rPr>
        <w:t>second</w:t>
      </w:r>
      <w:r w:rsidR="00C441B8" w:rsidRPr="000346A7">
        <w:rPr>
          <w:rFonts w:ascii="Times New Roman" w:hAnsi="Times New Roman" w:cs="Times New Roman"/>
          <w:sz w:val="24"/>
          <w:szCs w:val="24"/>
        </w:rPr>
        <w:t xml:space="preserve"> applicant was the same </w:t>
      </w:r>
      <w:r w:rsidR="007F7375" w:rsidRPr="000346A7">
        <w:rPr>
          <w:rFonts w:ascii="Times New Roman" w:hAnsi="Times New Roman" w:cs="Times New Roman"/>
          <w:sz w:val="24"/>
          <w:szCs w:val="24"/>
        </w:rPr>
        <w:t xml:space="preserve">first </w:t>
      </w:r>
      <w:r w:rsidR="00C441B8" w:rsidRPr="000346A7">
        <w:rPr>
          <w:rFonts w:ascii="Times New Roman" w:hAnsi="Times New Roman" w:cs="Times New Roman"/>
          <w:sz w:val="24"/>
          <w:szCs w:val="24"/>
        </w:rPr>
        <w:lastRenderedPageBreak/>
        <w:t xml:space="preserve">respondent’s wife.  </w:t>
      </w:r>
      <w:r w:rsidR="002E5202" w:rsidRPr="000346A7">
        <w:rPr>
          <w:rFonts w:ascii="Times New Roman" w:hAnsi="Times New Roman" w:cs="Times New Roman"/>
          <w:sz w:val="24"/>
          <w:szCs w:val="24"/>
        </w:rPr>
        <w:t xml:space="preserve">Within the context of patriarchal socio-cultural inclinations, </w:t>
      </w:r>
      <w:r w:rsidR="0045157D" w:rsidRPr="000346A7">
        <w:rPr>
          <w:rFonts w:ascii="Times New Roman" w:hAnsi="Times New Roman" w:cs="Times New Roman"/>
          <w:sz w:val="24"/>
          <w:szCs w:val="24"/>
        </w:rPr>
        <w:t xml:space="preserve">typically </w:t>
      </w:r>
      <w:r w:rsidR="00C441B8" w:rsidRPr="000346A7">
        <w:rPr>
          <w:rFonts w:ascii="Times New Roman" w:hAnsi="Times New Roman" w:cs="Times New Roman"/>
          <w:sz w:val="24"/>
          <w:szCs w:val="24"/>
        </w:rPr>
        <w:t xml:space="preserve">both relationships </w:t>
      </w:r>
      <w:r w:rsidR="0045157D" w:rsidRPr="000346A7">
        <w:rPr>
          <w:rFonts w:ascii="Times New Roman" w:hAnsi="Times New Roman" w:cs="Times New Roman"/>
          <w:sz w:val="24"/>
          <w:szCs w:val="24"/>
        </w:rPr>
        <w:t xml:space="preserve">would </w:t>
      </w:r>
      <w:r w:rsidR="00C441B8" w:rsidRPr="000346A7">
        <w:rPr>
          <w:rFonts w:ascii="Times New Roman" w:hAnsi="Times New Roman" w:cs="Times New Roman"/>
          <w:sz w:val="24"/>
          <w:szCs w:val="24"/>
        </w:rPr>
        <w:t xml:space="preserve">fall within the </w:t>
      </w:r>
      <w:r w:rsidR="00900E62" w:rsidRPr="000346A7">
        <w:rPr>
          <w:rFonts w:ascii="Times New Roman" w:hAnsi="Times New Roman" w:cs="Times New Roman"/>
          <w:sz w:val="24"/>
          <w:szCs w:val="24"/>
        </w:rPr>
        <w:t xml:space="preserve">category of relationships where one party exercises influence over the other.  </w:t>
      </w:r>
      <w:r w:rsidR="00462A89" w:rsidRPr="000346A7">
        <w:rPr>
          <w:rFonts w:ascii="Times New Roman" w:hAnsi="Times New Roman" w:cs="Times New Roman"/>
          <w:sz w:val="24"/>
          <w:szCs w:val="24"/>
        </w:rPr>
        <w:t xml:space="preserve">Thus </w:t>
      </w:r>
      <w:r w:rsidR="009E18F7" w:rsidRPr="000346A7">
        <w:rPr>
          <w:rFonts w:ascii="Times New Roman" w:hAnsi="Times New Roman" w:cs="Times New Roman"/>
          <w:sz w:val="24"/>
          <w:szCs w:val="24"/>
        </w:rPr>
        <w:t xml:space="preserve">a son-in-law and husband </w:t>
      </w:r>
      <w:r w:rsidR="00462A89" w:rsidRPr="000346A7">
        <w:rPr>
          <w:rFonts w:ascii="Times New Roman" w:hAnsi="Times New Roman" w:cs="Times New Roman"/>
          <w:sz w:val="24"/>
          <w:szCs w:val="24"/>
        </w:rPr>
        <w:t xml:space="preserve">would ordinarily </w:t>
      </w:r>
      <w:r w:rsidR="009E18F7" w:rsidRPr="000346A7">
        <w:rPr>
          <w:rFonts w:ascii="Times New Roman" w:hAnsi="Times New Roman" w:cs="Times New Roman"/>
          <w:sz w:val="24"/>
          <w:szCs w:val="24"/>
        </w:rPr>
        <w:t xml:space="preserve">be deemed to have a significant amount of influence over his mother-in-law and wife.  </w:t>
      </w:r>
      <w:r w:rsidR="00900E62" w:rsidRPr="000346A7">
        <w:rPr>
          <w:rFonts w:ascii="Times New Roman" w:hAnsi="Times New Roman" w:cs="Times New Roman"/>
          <w:sz w:val="24"/>
          <w:szCs w:val="24"/>
        </w:rPr>
        <w:t xml:space="preserve">The question as to whether such influence then crosses into the </w:t>
      </w:r>
      <w:r w:rsidR="00C441B8" w:rsidRPr="000346A7">
        <w:rPr>
          <w:rFonts w:ascii="Times New Roman" w:hAnsi="Times New Roman" w:cs="Times New Roman"/>
          <w:sz w:val="24"/>
          <w:szCs w:val="24"/>
        </w:rPr>
        <w:t xml:space="preserve">threshold of </w:t>
      </w:r>
      <w:r w:rsidR="00900E62" w:rsidRPr="000346A7">
        <w:rPr>
          <w:rFonts w:ascii="Times New Roman" w:hAnsi="Times New Roman" w:cs="Times New Roman"/>
          <w:sz w:val="24"/>
          <w:szCs w:val="24"/>
        </w:rPr>
        <w:t>‘</w:t>
      </w:r>
      <w:r w:rsidR="00C441B8" w:rsidRPr="000346A7">
        <w:rPr>
          <w:rFonts w:ascii="Times New Roman" w:hAnsi="Times New Roman" w:cs="Times New Roman"/>
          <w:sz w:val="24"/>
          <w:szCs w:val="24"/>
        </w:rPr>
        <w:t>undue</w:t>
      </w:r>
      <w:r w:rsidR="00900E62" w:rsidRPr="000346A7">
        <w:rPr>
          <w:rFonts w:ascii="Times New Roman" w:hAnsi="Times New Roman" w:cs="Times New Roman"/>
          <w:sz w:val="24"/>
          <w:szCs w:val="24"/>
        </w:rPr>
        <w:t>’</w:t>
      </w:r>
      <w:r w:rsidR="00C441B8" w:rsidRPr="000346A7">
        <w:rPr>
          <w:rFonts w:ascii="Times New Roman" w:hAnsi="Times New Roman" w:cs="Times New Roman"/>
          <w:sz w:val="24"/>
          <w:szCs w:val="24"/>
        </w:rPr>
        <w:t xml:space="preserve"> influence </w:t>
      </w:r>
      <w:r w:rsidR="00462A89" w:rsidRPr="000346A7">
        <w:rPr>
          <w:rFonts w:ascii="Times New Roman" w:hAnsi="Times New Roman" w:cs="Times New Roman"/>
          <w:sz w:val="24"/>
          <w:szCs w:val="24"/>
        </w:rPr>
        <w:t>sh</w:t>
      </w:r>
      <w:r w:rsidR="00900E62" w:rsidRPr="000346A7">
        <w:rPr>
          <w:rFonts w:ascii="Times New Roman" w:hAnsi="Times New Roman" w:cs="Times New Roman"/>
          <w:sz w:val="24"/>
          <w:szCs w:val="24"/>
        </w:rPr>
        <w:t xml:space="preserve">ould </w:t>
      </w:r>
      <w:r w:rsidR="00462A89" w:rsidRPr="000346A7">
        <w:rPr>
          <w:rFonts w:ascii="Times New Roman" w:hAnsi="Times New Roman" w:cs="Times New Roman"/>
          <w:sz w:val="24"/>
          <w:szCs w:val="24"/>
        </w:rPr>
        <w:t>be</w:t>
      </w:r>
      <w:r w:rsidR="00900E62" w:rsidRPr="000346A7">
        <w:rPr>
          <w:rFonts w:ascii="Times New Roman" w:hAnsi="Times New Roman" w:cs="Times New Roman"/>
          <w:sz w:val="24"/>
          <w:szCs w:val="24"/>
        </w:rPr>
        <w:t xml:space="preserve"> subject to inquiry by a prospective mortgagee to avert its assuming the risk of constructive notice.  </w:t>
      </w:r>
      <w:r w:rsidR="0078714B" w:rsidRPr="000346A7">
        <w:rPr>
          <w:rFonts w:ascii="Times New Roman" w:hAnsi="Times New Roman" w:cs="Times New Roman"/>
          <w:sz w:val="24"/>
          <w:szCs w:val="24"/>
        </w:rPr>
        <w:t xml:space="preserve">In my judgment, </w:t>
      </w:r>
      <w:r w:rsidR="00C441B8" w:rsidRPr="000346A7">
        <w:rPr>
          <w:rFonts w:ascii="Times New Roman" w:hAnsi="Times New Roman" w:cs="Times New Roman"/>
          <w:sz w:val="24"/>
          <w:szCs w:val="24"/>
        </w:rPr>
        <w:t>therefore</w:t>
      </w:r>
      <w:r w:rsidR="0078714B" w:rsidRPr="000346A7">
        <w:rPr>
          <w:rFonts w:ascii="Times New Roman" w:hAnsi="Times New Roman" w:cs="Times New Roman"/>
          <w:sz w:val="24"/>
          <w:szCs w:val="24"/>
        </w:rPr>
        <w:t>,</w:t>
      </w:r>
      <w:r w:rsidR="00C441B8" w:rsidRPr="000346A7">
        <w:rPr>
          <w:rFonts w:ascii="Times New Roman" w:hAnsi="Times New Roman" w:cs="Times New Roman"/>
          <w:sz w:val="24"/>
          <w:szCs w:val="24"/>
        </w:rPr>
        <w:t xml:space="preserve"> the mortgagee </w:t>
      </w:r>
      <w:r w:rsidR="009E18F7" w:rsidRPr="000346A7">
        <w:rPr>
          <w:rFonts w:ascii="Times New Roman" w:hAnsi="Times New Roman" w:cs="Times New Roman"/>
          <w:sz w:val="24"/>
          <w:szCs w:val="24"/>
        </w:rPr>
        <w:t xml:space="preserve">herein </w:t>
      </w:r>
      <w:r w:rsidR="00C441B8" w:rsidRPr="000346A7">
        <w:rPr>
          <w:rFonts w:ascii="Times New Roman" w:hAnsi="Times New Roman" w:cs="Times New Roman"/>
          <w:sz w:val="24"/>
          <w:szCs w:val="24"/>
        </w:rPr>
        <w:t xml:space="preserve">should have exercised the </w:t>
      </w:r>
      <w:r w:rsidR="00CA3F78" w:rsidRPr="000346A7">
        <w:rPr>
          <w:rFonts w:ascii="Times New Roman" w:hAnsi="Times New Roman" w:cs="Times New Roman"/>
          <w:sz w:val="24"/>
          <w:szCs w:val="24"/>
        </w:rPr>
        <w:t xml:space="preserve">common law </w:t>
      </w:r>
      <w:r w:rsidR="00C441B8" w:rsidRPr="000346A7">
        <w:rPr>
          <w:rFonts w:ascii="Times New Roman" w:hAnsi="Times New Roman" w:cs="Times New Roman"/>
          <w:sz w:val="24"/>
          <w:szCs w:val="24"/>
        </w:rPr>
        <w:t xml:space="preserve">duty placed upon it to ascertain </w:t>
      </w:r>
      <w:r w:rsidR="00CA3F78" w:rsidRPr="000346A7">
        <w:rPr>
          <w:rFonts w:ascii="Times New Roman" w:hAnsi="Times New Roman" w:cs="Times New Roman"/>
          <w:sz w:val="24"/>
          <w:szCs w:val="24"/>
        </w:rPr>
        <w:t>whether</w:t>
      </w:r>
      <w:r w:rsidR="00C441B8" w:rsidRPr="000346A7">
        <w:rPr>
          <w:rFonts w:ascii="Times New Roman" w:hAnsi="Times New Roman" w:cs="Times New Roman"/>
          <w:sz w:val="24"/>
          <w:szCs w:val="24"/>
        </w:rPr>
        <w:t xml:space="preserve"> both sureties understood the implications of </w:t>
      </w:r>
      <w:r w:rsidR="009E18F7" w:rsidRPr="000346A7">
        <w:rPr>
          <w:rFonts w:ascii="Times New Roman" w:hAnsi="Times New Roman" w:cs="Times New Roman"/>
          <w:sz w:val="24"/>
          <w:szCs w:val="24"/>
        </w:rPr>
        <w:t xml:space="preserve">standing surety in </w:t>
      </w:r>
      <w:r w:rsidR="00C441B8" w:rsidRPr="000346A7">
        <w:rPr>
          <w:rFonts w:ascii="Times New Roman" w:hAnsi="Times New Roman" w:cs="Times New Roman"/>
          <w:sz w:val="24"/>
          <w:szCs w:val="24"/>
        </w:rPr>
        <w:t xml:space="preserve">the present transaction. </w:t>
      </w:r>
      <w:r w:rsidR="0078714B" w:rsidRPr="000346A7">
        <w:rPr>
          <w:rFonts w:ascii="Times New Roman" w:hAnsi="Times New Roman" w:cs="Times New Roman"/>
          <w:sz w:val="24"/>
          <w:szCs w:val="24"/>
        </w:rPr>
        <w:t xml:space="preserve"> </w:t>
      </w:r>
      <w:r w:rsidR="00FD0886" w:rsidRPr="000346A7">
        <w:rPr>
          <w:rFonts w:ascii="Times New Roman" w:hAnsi="Times New Roman" w:cs="Times New Roman"/>
          <w:sz w:val="24"/>
          <w:szCs w:val="24"/>
        </w:rPr>
        <w:t xml:space="preserve">No material was furnished to this court as would </w:t>
      </w:r>
      <w:r w:rsidR="009E18F7" w:rsidRPr="000346A7">
        <w:rPr>
          <w:rFonts w:ascii="Times New Roman" w:hAnsi="Times New Roman" w:cs="Times New Roman"/>
          <w:i/>
          <w:sz w:val="24"/>
          <w:szCs w:val="24"/>
        </w:rPr>
        <w:t>prima facie</w:t>
      </w:r>
      <w:r w:rsidR="009E18F7" w:rsidRPr="000346A7">
        <w:rPr>
          <w:rFonts w:ascii="Times New Roman" w:hAnsi="Times New Roman" w:cs="Times New Roman"/>
          <w:sz w:val="24"/>
          <w:szCs w:val="24"/>
        </w:rPr>
        <w:t xml:space="preserve"> </w:t>
      </w:r>
      <w:r w:rsidR="00FD0886" w:rsidRPr="000346A7">
        <w:rPr>
          <w:rFonts w:ascii="Times New Roman" w:hAnsi="Times New Roman" w:cs="Times New Roman"/>
          <w:sz w:val="24"/>
          <w:szCs w:val="24"/>
        </w:rPr>
        <w:t>demonstrate that this was done.</w:t>
      </w:r>
      <w:r w:rsidR="006A3621" w:rsidRPr="000346A7">
        <w:rPr>
          <w:rFonts w:ascii="Times New Roman" w:hAnsi="Times New Roman" w:cs="Times New Roman"/>
          <w:sz w:val="24"/>
          <w:szCs w:val="24"/>
        </w:rPr>
        <w:t xml:space="preserve">  </w:t>
      </w:r>
    </w:p>
    <w:p w:rsidR="009E18F7" w:rsidRPr="000346A7" w:rsidRDefault="009E18F7" w:rsidP="009E18F7">
      <w:pPr>
        <w:pStyle w:val="ListParagraph"/>
        <w:rPr>
          <w:rFonts w:ascii="Times New Roman" w:hAnsi="Times New Roman" w:cs="Times New Roman"/>
          <w:sz w:val="24"/>
          <w:szCs w:val="24"/>
        </w:rPr>
      </w:pPr>
    </w:p>
    <w:p w:rsidR="00F9536D" w:rsidRPr="000346A7" w:rsidRDefault="006A3621" w:rsidP="009E18F7">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To compound matters, on the face of it, the signature attributed to the </w:t>
      </w:r>
      <w:r w:rsidR="007F7375" w:rsidRPr="000346A7">
        <w:rPr>
          <w:rFonts w:ascii="Times New Roman" w:hAnsi="Times New Roman" w:cs="Times New Roman"/>
          <w:sz w:val="24"/>
          <w:szCs w:val="24"/>
        </w:rPr>
        <w:t xml:space="preserve">first </w:t>
      </w:r>
      <w:r w:rsidRPr="000346A7">
        <w:rPr>
          <w:rFonts w:ascii="Times New Roman" w:hAnsi="Times New Roman" w:cs="Times New Roman"/>
          <w:sz w:val="24"/>
          <w:szCs w:val="24"/>
        </w:rPr>
        <w:t xml:space="preserve">applicant in the board resolution of </w:t>
      </w:r>
      <w:r w:rsidR="008C14D2" w:rsidRPr="000346A7">
        <w:rPr>
          <w:rFonts w:ascii="Times New Roman" w:hAnsi="Times New Roman" w:cs="Times New Roman"/>
          <w:sz w:val="24"/>
          <w:szCs w:val="24"/>
        </w:rPr>
        <w:t>7</w:t>
      </w:r>
      <w:r w:rsidR="008C14D2" w:rsidRPr="000346A7">
        <w:rPr>
          <w:rFonts w:ascii="Times New Roman" w:hAnsi="Times New Roman" w:cs="Times New Roman"/>
          <w:sz w:val="24"/>
          <w:szCs w:val="24"/>
          <w:vertAlign w:val="superscript"/>
        </w:rPr>
        <w:t>th</w:t>
      </w:r>
      <w:r w:rsidR="008C14D2" w:rsidRPr="000346A7">
        <w:rPr>
          <w:rFonts w:ascii="Times New Roman" w:hAnsi="Times New Roman" w:cs="Times New Roman"/>
          <w:sz w:val="24"/>
          <w:szCs w:val="24"/>
        </w:rPr>
        <w:t xml:space="preserve"> April 2009 </w:t>
      </w:r>
      <w:r w:rsidRPr="000346A7">
        <w:rPr>
          <w:rFonts w:ascii="Times New Roman" w:hAnsi="Times New Roman" w:cs="Times New Roman"/>
          <w:sz w:val="24"/>
          <w:szCs w:val="24"/>
        </w:rPr>
        <w:t xml:space="preserve">appears to </w:t>
      </w:r>
      <w:r w:rsidR="008C14D2" w:rsidRPr="000346A7">
        <w:rPr>
          <w:rFonts w:ascii="Times New Roman" w:hAnsi="Times New Roman" w:cs="Times New Roman"/>
          <w:sz w:val="24"/>
          <w:szCs w:val="24"/>
        </w:rPr>
        <w:t xml:space="preserve">noticeably </w:t>
      </w:r>
      <w:r w:rsidRPr="000346A7">
        <w:rPr>
          <w:rFonts w:ascii="Times New Roman" w:hAnsi="Times New Roman" w:cs="Times New Roman"/>
          <w:sz w:val="24"/>
          <w:szCs w:val="24"/>
        </w:rPr>
        <w:t xml:space="preserve">differ from the signature attributed to her in latter resolutions made in 2011.  Indeed, the former signature appears to be different from her designated signatures as depicted in all the documents in the transaction under scrutiny presently.  Against the backdrop of the applicants’ averment that they had no knowledge of the said transaction, it seems to me that this court is faced with a transaction that certainly calls for </w:t>
      </w:r>
      <w:r w:rsidR="004C3F8B" w:rsidRPr="000346A7">
        <w:rPr>
          <w:rFonts w:ascii="Times New Roman" w:hAnsi="Times New Roman" w:cs="Times New Roman"/>
          <w:sz w:val="24"/>
          <w:szCs w:val="24"/>
        </w:rPr>
        <w:t xml:space="preserve">detailed </w:t>
      </w:r>
      <w:r w:rsidRPr="000346A7">
        <w:rPr>
          <w:rFonts w:ascii="Times New Roman" w:hAnsi="Times New Roman" w:cs="Times New Roman"/>
          <w:sz w:val="24"/>
          <w:szCs w:val="24"/>
        </w:rPr>
        <w:t xml:space="preserve">explanation as far as the mortgagee’s legal rights are concerned. </w:t>
      </w:r>
    </w:p>
    <w:p w:rsidR="004C3F8B" w:rsidRPr="000346A7" w:rsidRDefault="004C3F8B" w:rsidP="004C3F8B">
      <w:pPr>
        <w:pStyle w:val="ListParagraph"/>
        <w:rPr>
          <w:rFonts w:ascii="Times New Roman" w:hAnsi="Times New Roman" w:cs="Times New Roman"/>
          <w:sz w:val="24"/>
          <w:szCs w:val="24"/>
        </w:rPr>
      </w:pPr>
    </w:p>
    <w:p w:rsidR="00E86701" w:rsidRPr="000346A7" w:rsidRDefault="00E17CAC" w:rsidP="004C3F8B">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The legal right of a mortgagee to sale mortgaged land upon default is recognized in section 20(e) of the Mortgage Act.  However, the remedies available to the mortgagee under </w:t>
      </w:r>
      <w:r w:rsidR="00066665" w:rsidRPr="000346A7">
        <w:rPr>
          <w:rFonts w:ascii="Times New Roman" w:hAnsi="Times New Roman" w:cs="Times New Roman"/>
          <w:sz w:val="24"/>
          <w:szCs w:val="24"/>
        </w:rPr>
        <w:t xml:space="preserve">that </w:t>
      </w:r>
      <w:r w:rsidRPr="000346A7">
        <w:rPr>
          <w:rFonts w:ascii="Times New Roman" w:hAnsi="Times New Roman" w:cs="Times New Roman"/>
          <w:sz w:val="24"/>
          <w:szCs w:val="24"/>
        </w:rPr>
        <w:t xml:space="preserve">section presuppose the existence of a valid mortgage.  The </w:t>
      </w:r>
      <w:r w:rsidR="00576C8F" w:rsidRPr="000346A7">
        <w:rPr>
          <w:rFonts w:ascii="Times New Roman" w:hAnsi="Times New Roman" w:cs="Times New Roman"/>
          <w:sz w:val="24"/>
          <w:szCs w:val="24"/>
        </w:rPr>
        <w:t xml:space="preserve">onus is on the applicant to demonstrate substantial grounds for </w:t>
      </w:r>
      <w:r w:rsidR="00E86701" w:rsidRPr="000346A7">
        <w:rPr>
          <w:rFonts w:ascii="Times New Roman" w:hAnsi="Times New Roman" w:cs="Times New Roman"/>
          <w:sz w:val="24"/>
          <w:szCs w:val="24"/>
        </w:rPr>
        <w:t xml:space="preserve">negating or doubting </w:t>
      </w:r>
      <w:r w:rsidR="00576C8F" w:rsidRPr="000346A7">
        <w:rPr>
          <w:rFonts w:ascii="Times New Roman" w:hAnsi="Times New Roman" w:cs="Times New Roman"/>
          <w:sz w:val="24"/>
          <w:szCs w:val="24"/>
        </w:rPr>
        <w:t xml:space="preserve">the </w:t>
      </w:r>
      <w:r w:rsidR="00993B7F" w:rsidRPr="000346A7">
        <w:rPr>
          <w:rFonts w:ascii="Times New Roman" w:hAnsi="Times New Roman" w:cs="Times New Roman"/>
          <w:sz w:val="24"/>
          <w:szCs w:val="24"/>
        </w:rPr>
        <w:t>fifth</w:t>
      </w:r>
      <w:r w:rsidR="00576C8F" w:rsidRPr="000346A7">
        <w:rPr>
          <w:rFonts w:ascii="Times New Roman" w:hAnsi="Times New Roman" w:cs="Times New Roman"/>
          <w:sz w:val="24"/>
          <w:szCs w:val="24"/>
        </w:rPr>
        <w:t xml:space="preserve"> respondent’s </w:t>
      </w:r>
      <w:r w:rsidR="00066665" w:rsidRPr="000346A7">
        <w:rPr>
          <w:rFonts w:ascii="Times New Roman" w:hAnsi="Times New Roman" w:cs="Times New Roman"/>
          <w:sz w:val="24"/>
          <w:szCs w:val="24"/>
        </w:rPr>
        <w:t xml:space="preserve">right of claim over </w:t>
      </w:r>
      <w:r w:rsidR="00576C8F" w:rsidRPr="000346A7">
        <w:rPr>
          <w:rFonts w:ascii="Times New Roman" w:hAnsi="Times New Roman" w:cs="Times New Roman"/>
          <w:sz w:val="24"/>
          <w:szCs w:val="24"/>
        </w:rPr>
        <w:t>the mortgaged properties.</w:t>
      </w:r>
      <w:r w:rsidR="00305197" w:rsidRPr="000346A7">
        <w:rPr>
          <w:rFonts w:ascii="Times New Roman" w:hAnsi="Times New Roman" w:cs="Times New Roman"/>
          <w:sz w:val="24"/>
          <w:szCs w:val="24"/>
        </w:rPr>
        <w:t xml:space="preserve"> </w:t>
      </w:r>
      <w:r w:rsidR="00400C86" w:rsidRPr="000346A7">
        <w:rPr>
          <w:rFonts w:ascii="Times New Roman" w:hAnsi="Times New Roman" w:cs="Times New Roman"/>
          <w:sz w:val="24"/>
          <w:szCs w:val="24"/>
        </w:rPr>
        <w:t xml:space="preserve"> </w:t>
      </w:r>
      <w:r w:rsidR="00066665" w:rsidRPr="000346A7">
        <w:rPr>
          <w:rFonts w:ascii="Times New Roman" w:hAnsi="Times New Roman" w:cs="Times New Roman"/>
          <w:sz w:val="24"/>
          <w:szCs w:val="24"/>
        </w:rPr>
        <w:t xml:space="preserve">In my judgment, this court’s findings above raise substantial questions as to the validity of the </w:t>
      </w:r>
      <w:r w:rsidR="00993B7F" w:rsidRPr="000346A7">
        <w:rPr>
          <w:rFonts w:ascii="Times New Roman" w:hAnsi="Times New Roman" w:cs="Times New Roman"/>
          <w:sz w:val="24"/>
          <w:szCs w:val="24"/>
        </w:rPr>
        <w:t>fifth</w:t>
      </w:r>
      <w:r w:rsidR="00066665" w:rsidRPr="000346A7">
        <w:rPr>
          <w:rFonts w:ascii="Times New Roman" w:hAnsi="Times New Roman" w:cs="Times New Roman"/>
          <w:sz w:val="24"/>
          <w:szCs w:val="24"/>
        </w:rPr>
        <w:t xml:space="preserve"> respondent’s legal right to sell the mortgaged property.  Therefore, </w:t>
      </w:r>
      <w:r w:rsidR="00AB5984" w:rsidRPr="000346A7">
        <w:rPr>
          <w:rFonts w:ascii="Times New Roman" w:hAnsi="Times New Roman" w:cs="Times New Roman"/>
          <w:sz w:val="24"/>
          <w:szCs w:val="24"/>
        </w:rPr>
        <w:t xml:space="preserve">on a balance of probabilities, I find that </w:t>
      </w:r>
      <w:r w:rsidR="00400C86" w:rsidRPr="000346A7">
        <w:rPr>
          <w:rFonts w:ascii="Times New Roman" w:hAnsi="Times New Roman" w:cs="Times New Roman"/>
          <w:sz w:val="24"/>
          <w:szCs w:val="24"/>
        </w:rPr>
        <w:t>the applicant</w:t>
      </w:r>
      <w:r w:rsidR="00AB5984" w:rsidRPr="000346A7">
        <w:rPr>
          <w:rFonts w:ascii="Times New Roman" w:hAnsi="Times New Roman" w:cs="Times New Roman"/>
          <w:sz w:val="24"/>
          <w:szCs w:val="24"/>
        </w:rPr>
        <w:t xml:space="preserve">s have duly </w:t>
      </w:r>
      <w:r w:rsidR="00400C86" w:rsidRPr="000346A7">
        <w:rPr>
          <w:rFonts w:ascii="Times New Roman" w:hAnsi="Times New Roman" w:cs="Times New Roman"/>
          <w:sz w:val="24"/>
          <w:szCs w:val="24"/>
        </w:rPr>
        <w:t xml:space="preserve">discharged </w:t>
      </w:r>
      <w:r w:rsidR="00AB5984" w:rsidRPr="000346A7">
        <w:rPr>
          <w:rFonts w:ascii="Times New Roman" w:hAnsi="Times New Roman" w:cs="Times New Roman"/>
          <w:sz w:val="24"/>
          <w:szCs w:val="24"/>
        </w:rPr>
        <w:t>th</w:t>
      </w:r>
      <w:r w:rsidR="00066665" w:rsidRPr="000346A7">
        <w:rPr>
          <w:rFonts w:ascii="Times New Roman" w:hAnsi="Times New Roman" w:cs="Times New Roman"/>
          <w:sz w:val="24"/>
          <w:szCs w:val="24"/>
        </w:rPr>
        <w:t>e onus placed on them.</w:t>
      </w:r>
      <w:r w:rsidR="00AB5984" w:rsidRPr="000346A7">
        <w:rPr>
          <w:rFonts w:ascii="Times New Roman" w:hAnsi="Times New Roman" w:cs="Times New Roman"/>
          <w:sz w:val="24"/>
          <w:szCs w:val="24"/>
        </w:rPr>
        <w:t xml:space="preserve"> </w:t>
      </w:r>
      <w:r w:rsidR="00400C86" w:rsidRPr="000346A7">
        <w:rPr>
          <w:rFonts w:ascii="Times New Roman" w:hAnsi="Times New Roman" w:cs="Times New Roman"/>
          <w:sz w:val="24"/>
          <w:szCs w:val="24"/>
        </w:rPr>
        <w:t xml:space="preserve"> </w:t>
      </w:r>
      <w:r w:rsidR="00E86701" w:rsidRPr="000346A7">
        <w:rPr>
          <w:rFonts w:ascii="Times New Roman" w:hAnsi="Times New Roman" w:cs="Times New Roman"/>
          <w:sz w:val="24"/>
          <w:szCs w:val="24"/>
        </w:rPr>
        <w:t xml:space="preserve">In the result, I </w:t>
      </w:r>
      <w:r w:rsidR="00066665" w:rsidRPr="000346A7">
        <w:rPr>
          <w:rFonts w:ascii="Times New Roman" w:hAnsi="Times New Roman" w:cs="Times New Roman"/>
          <w:sz w:val="24"/>
          <w:szCs w:val="24"/>
        </w:rPr>
        <w:t xml:space="preserve">am satisfied </w:t>
      </w:r>
      <w:r w:rsidR="00E86701" w:rsidRPr="000346A7">
        <w:rPr>
          <w:rFonts w:ascii="Times New Roman" w:hAnsi="Times New Roman" w:cs="Times New Roman"/>
          <w:sz w:val="24"/>
          <w:szCs w:val="24"/>
        </w:rPr>
        <w:t xml:space="preserve">that the application raises serious questions to be tried. </w:t>
      </w:r>
    </w:p>
    <w:p w:rsidR="004C3F8B" w:rsidRPr="000346A7" w:rsidRDefault="004C3F8B" w:rsidP="004C3F8B">
      <w:pPr>
        <w:pStyle w:val="ListParagraph"/>
        <w:rPr>
          <w:rFonts w:ascii="Times New Roman" w:hAnsi="Times New Roman" w:cs="Times New Roman"/>
          <w:sz w:val="24"/>
          <w:szCs w:val="24"/>
        </w:rPr>
      </w:pPr>
    </w:p>
    <w:p w:rsidR="00812DED" w:rsidRPr="000346A7" w:rsidRDefault="00E86701" w:rsidP="004C3F8B">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Having so found, I revert to a consideration of </w:t>
      </w:r>
      <w:r w:rsidR="003744C8" w:rsidRPr="000346A7">
        <w:rPr>
          <w:rFonts w:ascii="Times New Roman" w:hAnsi="Times New Roman" w:cs="Times New Roman"/>
          <w:sz w:val="24"/>
          <w:szCs w:val="24"/>
        </w:rPr>
        <w:t>the balance of convenience of th</w:t>
      </w:r>
      <w:r w:rsidR="00054A7A" w:rsidRPr="000346A7">
        <w:rPr>
          <w:rFonts w:ascii="Times New Roman" w:hAnsi="Times New Roman" w:cs="Times New Roman"/>
          <w:sz w:val="24"/>
          <w:szCs w:val="24"/>
        </w:rPr>
        <w:t>is</w:t>
      </w:r>
      <w:r w:rsidR="003744C8" w:rsidRPr="000346A7">
        <w:rPr>
          <w:rFonts w:ascii="Times New Roman" w:hAnsi="Times New Roman" w:cs="Times New Roman"/>
          <w:sz w:val="24"/>
          <w:szCs w:val="24"/>
        </w:rPr>
        <w:t xml:space="preserve"> matter.  </w:t>
      </w:r>
      <w:r w:rsidR="0046461A" w:rsidRPr="000346A7">
        <w:rPr>
          <w:rFonts w:ascii="Times New Roman" w:hAnsi="Times New Roman" w:cs="Times New Roman"/>
          <w:sz w:val="24"/>
          <w:szCs w:val="24"/>
        </w:rPr>
        <w:t>This court g</w:t>
      </w:r>
      <w:r w:rsidR="00C60BE6" w:rsidRPr="000346A7">
        <w:rPr>
          <w:rFonts w:ascii="Times New Roman" w:hAnsi="Times New Roman" w:cs="Times New Roman"/>
          <w:sz w:val="24"/>
          <w:szCs w:val="24"/>
        </w:rPr>
        <w:t>ave</w:t>
      </w:r>
      <w:r w:rsidR="0046461A" w:rsidRPr="000346A7">
        <w:rPr>
          <w:rFonts w:ascii="Times New Roman" w:hAnsi="Times New Roman" w:cs="Times New Roman"/>
          <w:sz w:val="24"/>
          <w:szCs w:val="24"/>
        </w:rPr>
        <w:t xml:space="preserve"> due consideration to the applicants’ need for protection from irreparable injury for loss of their property viz the need to protect the mortgagee from similar injury as a result of being restrained from enforcing its legal right.  </w:t>
      </w:r>
      <w:r w:rsidR="00C60BE6" w:rsidRPr="000346A7">
        <w:rPr>
          <w:rFonts w:ascii="Times New Roman" w:hAnsi="Times New Roman" w:cs="Times New Roman"/>
          <w:sz w:val="24"/>
          <w:szCs w:val="24"/>
        </w:rPr>
        <w:t xml:space="preserve">On the question as to whether or not an award of damages would adequately compensate either party for any injury suffered, I would answer in the affirmative for both parties subject to a proper valuation of the </w:t>
      </w:r>
      <w:r w:rsidR="00CA3F78" w:rsidRPr="000346A7">
        <w:rPr>
          <w:rFonts w:ascii="Times New Roman" w:hAnsi="Times New Roman" w:cs="Times New Roman"/>
          <w:sz w:val="24"/>
          <w:szCs w:val="24"/>
        </w:rPr>
        <w:t>mortgaged</w:t>
      </w:r>
      <w:r w:rsidR="00C60BE6" w:rsidRPr="000346A7">
        <w:rPr>
          <w:rFonts w:ascii="Times New Roman" w:hAnsi="Times New Roman" w:cs="Times New Roman"/>
          <w:sz w:val="24"/>
          <w:szCs w:val="24"/>
        </w:rPr>
        <w:t xml:space="preserve"> properties.  </w:t>
      </w:r>
      <w:r w:rsidR="002D3944" w:rsidRPr="000346A7">
        <w:rPr>
          <w:rFonts w:ascii="Times New Roman" w:hAnsi="Times New Roman" w:cs="Times New Roman"/>
          <w:sz w:val="24"/>
          <w:szCs w:val="24"/>
        </w:rPr>
        <w:t xml:space="preserve">That factor, therefore, is evenly balanced.  </w:t>
      </w:r>
      <w:r w:rsidR="00C60BE6" w:rsidRPr="000346A7">
        <w:rPr>
          <w:rFonts w:ascii="Times New Roman" w:hAnsi="Times New Roman" w:cs="Times New Roman"/>
          <w:sz w:val="24"/>
          <w:szCs w:val="24"/>
        </w:rPr>
        <w:t xml:space="preserve">However, </w:t>
      </w:r>
      <w:r w:rsidR="00B72B9F" w:rsidRPr="000346A7">
        <w:rPr>
          <w:rFonts w:ascii="Times New Roman" w:hAnsi="Times New Roman" w:cs="Times New Roman"/>
          <w:sz w:val="24"/>
          <w:szCs w:val="24"/>
        </w:rPr>
        <w:t xml:space="preserve">this court is unable to determine the </w:t>
      </w:r>
      <w:r w:rsidR="00993B7F" w:rsidRPr="000346A7">
        <w:rPr>
          <w:rFonts w:ascii="Times New Roman" w:hAnsi="Times New Roman" w:cs="Times New Roman"/>
          <w:sz w:val="24"/>
          <w:szCs w:val="24"/>
        </w:rPr>
        <w:t>fifth</w:t>
      </w:r>
      <w:r w:rsidR="00B72B9F" w:rsidRPr="000346A7">
        <w:rPr>
          <w:rFonts w:ascii="Times New Roman" w:hAnsi="Times New Roman" w:cs="Times New Roman"/>
          <w:sz w:val="24"/>
          <w:szCs w:val="24"/>
        </w:rPr>
        <w:t xml:space="preserve"> respondent</w:t>
      </w:r>
      <w:r w:rsidR="00C60BE6" w:rsidRPr="000346A7">
        <w:rPr>
          <w:rFonts w:ascii="Times New Roman" w:hAnsi="Times New Roman" w:cs="Times New Roman"/>
          <w:sz w:val="24"/>
          <w:szCs w:val="24"/>
        </w:rPr>
        <w:t xml:space="preserve">’s ability </w:t>
      </w:r>
      <w:r w:rsidR="00B72B9F" w:rsidRPr="000346A7">
        <w:rPr>
          <w:rFonts w:ascii="Times New Roman" w:hAnsi="Times New Roman" w:cs="Times New Roman"/>
          <w:sz w:val="24"/>
          <w:szCs w:val="24"/>
        </w:rPr>
        <w:t xml:space="preserve">to </w:t>
      </w:r>
      <w:r w:rsidR="00C60BE6" w:rsidRPr="000346A7">
        <w:rPr>
          <w:rFonts w:ascii="Times New Roman" w:hAnsi="Times New Roman" w:cs="Times New Roman"/>
          <w:sz w:val="24"/>
          <w:szCs w:val="24"/>
        </w:rPr>
        <w:t xml:space="preserve">so </w:t>
      </w:r>
      <w:r w:rsidR="00B72B9F" w:rsidRPr="000346A7">
        <w:rPr>
          <w:rFonts w:ascii="Times New Roman" w:hAnsi="Times New Roman" w:cs="Times New Roman"/>
          <w:sz w:val="24"/>
          <w:szCs w:val="24"/>
        </w:rPr>
        <w:t xml:space="preserve">compensate the applicants in the event that </w:t>
      </w:r>
      <w:r w:rsidR="002D3944" w:rsidRPr="000346A7">
        <w:rPr>
          <w:rFonts w:ascii="Times New Roman" w:hAnsi="Times New Roman" w:cs="Times New Roman"/>
          <w:sz w:val="24"/>
          <w:szCs w:val="24"/>
        </w:rPr>
        <w:t xml:space="preserve">the substantive suit was decided in their favour after the sale of </w:t>
      </w:r>
      <w:r w:rsidR="00B72B9F" w:rsidRPr="000346A7">
        <w:rPr>
          <w:rFonts w:ascii="Times New Roman" w:hAnsi="Times New Roman" w:cs="Times New Roman"/>
          <w:sz w:val="24"/>
          <w:szCs w:val="24"/>
        </w:rPr>
        <w:t>their properties</w:t>
      </w:r>
      <w:r w:rsidR="002D3944" w:rsidRPr="000346A7">
        <w:rPr>
          <w:rFonts w:ascii="Times New Roman" w:hAnsi="Times New Roman" w:cs="Times New Roman"/>
          <w:sz w:val="24"/>
          <w:szCs w:val="24"/>
        </w:rPr>
        <w:t>.</w:t>
      </w:r>
      <w:r w:rsidR="00B72B9F" w:rsidRPr="000346A7">
        <w:rPr>
          <w:rFonts w:ascii="Times New Roman" w:hAnsi="Times New Roman" w:cs="Times New Roman"/>
          <w:sz w:val="24"/>
          <w:szCs w:val="24"/>
        </w:rPr>
        <w:t xml:space="preserve">  I find no</w:t>
      </w:r>
      <w:r w:rsidR="002D3944" w:rsidRPr="000346A7">
        <w:rPr>
          <w:rFonts w:ascii="Times New Roman" w:hAnsi="Times New Roman" w:cs="Times New Roman"/>
          <w:sz w:val="24"/>
          <w:szCs w:val="24"/>
        </w:rPr>
        <w:t xml:space="preserve"> indication of </w:t>
      </w:r>
      <w:r w:rsidR="00B72B9F" w:rsidRPr="000346A7">
        <w:rPr>
          <w:rFonts w:ascii="Times New Roman" w:hAnsi="Times New Roman" w:cs="Times New Roman"/>
          <w:sz w:val="24"/>
          <w:szCs w:val="24"/>
        </w:rPr>
        <w:t>the mortgaged properties’ value</w:t>
      </w:r>
      <w:r w:rsidR="002D3944" w:rsidRPr="000346A7">
        <w:rPr>
          <w:rFonts w:ascii="Times New Roman" w:hAnsi="Times New Roman" w:cs="Times New Roman"/>
          <w:sz w:val="24"/>
          <w:szCs w:val="24"/>
        </w:rPr>
        <w:t xml:space="preserve"> on record</w:t>
      </w:r>
      <w:r w:rsidR="00B72B9F" w:rsidRPr="000346A7">
        <w:rPr>
          <w:rFonts w:ascii="Times New Roman" w:hAnsi="Times New Roman" w:cs="Times New Roman"/>
          <w:sz w:val="24"/>
          <w:szCs w:val="24"/>
        </w:rPr>
        <w:t xml:space="preserve">; neither has this court been </w:t>
      </w:r>
      <w:r w:rsidR="00B72B9F" w:rsidRPr="000346A7">
        <w:rPr>
          <w:rFonts w:ascii="Times New Roman" w:hAnsi="Times New Roman" w:cs="Times New Roman"/>
          <w:sz w:val="24"/>
          <w:szCs w:val="24"/>
        </w:rPr>
        <w:lastRenderedPageBreak/>
        <w:t xml:space="preserve">provided with an indicative liquidity </w:t>
      </w:r>
      <w:r w:rsidR="005019E1" w:rsidRPr="000346A7">
        <w:rPr>
          <w:rFonts w:ascii="Times New Roman" w:hAnsi="Times New Roman" w:cs="Times New Roman"/>
          <w:sz w:val="24"/>
          <w:szCs w:val="24"/>
        </w:rPr>
        <w:t xml:space="preserve">or financial </w:t>
      </w:r>
      <w:r w:rsidR="00B72B9F" w:rsidRPr="000346A7">
        <w:rPr>
          <w:rFonts w:ascii="Times New Roman" w:hAnsi="Times New Roman" w:cs="Times New Roman"/>
          <w:sz w:val="24"/>
          <w:szCs w:val="24"/>
        </w:rPr>
        <w:t>status of the mortgagee.  It cannot be presumed that every financial institution is in a position to meet its credit obligations</w:t>
      </w:r>
      <w:r w:rsidR="005019E1" w:rsidRPr="000346A7">
        <w:rPr>
          <w:rFonts w:ascii="Times New Roman" w:hAnsi="Times New Roman" w:cs="Times New Roman"/>
          <w:sz w:val="24"/>
          <w:szCs w:val="24"/>
        </w:rPr>
        <w:t xml:space="preserve"> as and when they fall due</w:t>
      </w:r>
      <w:r w:rsidR="00B72B9F" w:rsidRPr="000346A7">
        <w:rPr>
          <w:rFonts w:ascii="Times New Roman" w:hAnsi="Times New Roman" w:cs="Times New Roman"/>
          <w:sz w:val="24"/>
          <w:szCs w:val="24"/>
        </w:rPr>
        <w:t xml:space="preserve">.  </w:t>
      </w:r>
    </w:p>
    <w:p w:rsidR="004C3F8B" w:rsidRPr="000346A7" w:rsidRDefault="004C3F8B" w:rsidP="004C3F8B">
      <w:pPr>
        <w:pStyle w:val="ListParagraph"/>
        <w:ind w:left="360"/>
        <w:jc w:val="both"/>
        <w:rPr>
          <w:rFonts w:ascii="Times New Roman" w:hAnsi="Times New Roman" w:cs="Times New Roman"/>
          <w:sz w:val="24"/>
          <w:szCs w:val="24"/>
        </w:rPr>
      </w:pPr>
    </w:p>
    <w:p w:rsidR="00054A7A" w:rsidRPr="000346A7" w:rsidRDefault="00B72B9F" w:rsidP="00054A7A">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Conversely, </w:t>
      </w:r>
      <w:r w:rsidR="005019E1" w:rsidRPr="000346A7">
        <w:rPr>
          <w:rFonts w:ascii="Times New Roman" w:hAnsi="Times New Roman" w:cs="Times New Roman"/>
          <w:sz w:val="24"/>
          <w:szCs w:val="24"/>
        </w:rPr>
        <w:t>given that t</w:t>
      </w:r>
      <w:r w:rsidRPr="000346A7">
        <w:rPr>
          <w:rFonts w:ascii="Times New Roman" w:hAnsi="Times New Roman" w:cs="Times New Roman"/>
          <w:sz w:val="24"/>
          <w:szCs w:val="24"/>
        </w:rPr>
        <w:t xml:space="preserve">he present application seeks to temporarily restrain the </w:t>
      </w:r>
      <w:r w:rsidR="00993B7F" w:rsidRPr="000346A7">
        <w:rPr>
          <w:rFonts w:ascii="Times New Roman" w:hAnsi="Times New Roman" w:cs="Times New Roman"/>
          <w:sz w:val="24"/>
          <w:szCs w:val="24"/>
        </w:rPr>
        <w:t>fifth</w:t>
      </w:r>
      <w:r w:rsidRPr="000346A7">
        <w:rPr>
          <w:rFonts w:ascii="Times New Roman" w:hAnsi="Times New Roman" w:cs="Times New Roman"/>
          <w:sz w:val="24"/>
          <w:szCs w:val="24"/>
        </w:rPr>
        <w:t xml:space="preserve"> respondent from selling the mortgaged property</w:t>
      </w:r>
      <w:r w:rsidR="005019E1" w:rsidRPr="000346A7">
        <w:rPr>
          <w:rFonts w:ascii="Times New Roman" w:hAnsi="Times New Roman" w:cs="Times New Roman"/>
          <w:sz w:val="24"/>
          <w:szCs w:val="24"/>
        </w:rPr>
        <w:t xml:space="preserve">, </w:t>
      </w:r>
      <w:r w:rsidRPr="000346A7">
        <w:rPr>
          <w:rFonts w:ascii="Times New Roman" w:hAnsi="Times New Roman" w:cs="Times New Roman"/>
          <w:sz w:val="24"/>
          <w:szCs w:val="24"/>
        </w:rPr>
        <w:t xml:space="preserve">the grant of an </w:t>
      </w:r>
      <w:r w:rsidR="005019E1" w:rsidRPr="000346A7">
        <w:rPr>
          <w:rFonts w:ascii="Times New Roman" w:hAnsi="Times New Roman" w:cs="Times New Roman"/>
          <w:sz w:val="24"/>
          <w:szCs w:val="24"/>
        </w:rPr>
        <w:t xml:space="preserve">interlocutory </w:t>
      </w:r>
      <w:r w:rsidRPr="000346A7">
        <w:rPr>
          <w:rFonts w:ascii="Times New Roman" w:hAnsi="Times New Roman" w:cs="Times New Roman"/>
          <w:sz w:val="24"/>
          <w:szCs w:val="24"/>
        </w:rPr>
        <w:t>injunction would merely postpone the onset of this action.</w:t>
      </w:r>
      <w:r w:rsidR="00546DAC" w:rsidRPr="000346A7">
        <w:rPr>
          <w:rFonts w:ascii="Times New Roman" w:hAnsi="Times New Roman" w:cs="Times New Roman"/>
          <w:sz w:val="24"/>
          <w:szCs w:val="24"/>
        </w:rPr>
        <w:t xml:space="preserve">  I would, therefore, exercise my judicial discretion on the side of prudence and do hereby order that the present status quo be preserved pending the determination of the substantive suit.</w:t>
      </w:r>
    </w:p>
    <w:p w:rsidR="004C3F8B" w:rsidRPr="000346A7" w:rsidRDefault="004C3F8B" w:rsidP="004C3F8B">
      <w:pPr>
        <w:pStyle w:val="ListParagraph"/>
        <w:rPr>
          <w:rFonts w:ascii="Times New Roman" w:hAnsi="Times New Roman" w:cs="Times New Roman"/>
          <w:sz w:val="24"/>
          <w:szCs w:val="24"/>
        </w:rPr>
      </w:pPr>
    </w:p>
    <w:p w:rsidR="008D1833" w:rsidRPr="000346A7" w:rsidRDefault="008D1833" w:rsidP="004C3F8B">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 xml:space="preserve">Before </w:t>
      </w:r>
      <w:r w:rsidR="00546DAC" w:rsidRPr="000346A7">
        <w:rPr>
          <w:rFonts w:ascii="Times New Roman" w:hAnsi="Times New Roman" w:cs="Times New Roman"/>
          <w:sz w:val="24"/>
          <w:szCs w:val="24"/>
        </w:rPr>
        <w:t xml:space="preserve">taking leave of this matter, </w:t>
      </w:r>
      <w:r w:rsidRPr="000346A7">
        <w:rPr>
          <w:rFonts w:ascii="Times New Roman" w:hAnsi="Times New Roman" w:cs="Times New Roman"/>
          <w:sz w:val="24"/>
          <w:szCs w:val="24"/>
        </w:rPr>
        <w:t xml:space="preserve">I </w:t>
      </w:r>
      <w:r w:rsidR="002D3944" w:rsidRPr="000346A7">
        <w:rPr>
          <w:rFonts w:ascii="Times New Roman" w:hAnsi="Times New Roman" w:cs="Times New Roman"/>
          <w:sz w:val="24"/>
          <w:szCs w:val="24"/>
        </w:rPr>
        <w:t>shall</w:t>
      </w:r>
      <w:r w:rsidR="00D83F41" w:rsidRPr="000346A7">
        <w:rPr>
          <w:rFonts w:ascii="Times New Roman" w:hAnsi="Times New Roman" w:cs="Times New Roman"/>
          <w:sz w:val="24"/>
          <w:szCs w:val="24"/>
        </w:rPr>
        <w:t xml:space="preserve"> briefly </w:t>
      </w:r>
      <w:r w:rsidR="002D3944" w:rsidRPr="000346A7">
        <w:rPr>
          <w:rFonts w:ascii="Times New Roman" w:hAnsi="Times New Roman" w:cs="Times New Roman"/>
          <w:sz w:val="24"/>
          <w:szCs w:val="24"/>
        </w:rPr>
        <w:t>address</w:t>
      </w:r>
      <w:r w:rsidR="00D83F41" w:rsidRPr="000346A7">
        <w:rPr>
          <w:rFonts w:ascii="Times New Roman" w:hAnsi="Times New Roman" w:cs="Times New Roman"/>
          <w:sz w:val="24"/>
          <w:szCs w:val="24"/>
        </w:rPr>
        <w:t xml:space="preserve"> the</w:t>
      </w:r>
      <w:r w:rsidRPr="000346A7">
        <w:rPr>
          <w:rFonts w:ascii="Times New Roman" w:hAnsi="Times New Roman" w:cs="Times New Roman"/>
          <w:sz w:val="24"/>
          <w:szCs w:val="24"/>
        </w:rPr>
        <w:t xml:space="preserve"> </w:t>
      </w:r>
      <w:r w:rsidR="00D83F41" w:rsidRPr="000346A7">
        <w:rPr>
          <w:rFonts w:ascii="Times New Roman" w:hAnsi="Times New Roman" w:cs="Times New Roman"/>
          <w:sz w:val="24"/>
          <w:szCs w:val="24"/>
        </w:rPr>
        <w:t>competence</w:t>
      </w:r>
      <w:r w:rsidRPr="000346A7">
        <w:rPr>
          <w:rFonts w:ascii="Times New Roman" w:hAnsi="Times New Roman" w:cs="Times New Roman"/>
          <w:sz w:val="24"/>
          <w:szCs w:val="24"/>
        </w:rPr>
        <w:t xml:space="preserve"> of the representative affidavit deponed by the </w:t>
      </w:r>
      <w:r w:rsidR="00645B91" w:rsidRPr="000346A7">
        <w:rPr>
          <w:rFonts w:ascii="Times New Roman" w:hAnsi="Times New Roman" w:cs="Times New Roman"/>
          <w:sz w:val="24"/>
          <w:szCs w:val="24"/>
        </w:rPr>
        <w:t>fourth</w:t>
      </w:r>
      <w:r w:rsidRPr="000346A7">
        <w:rPr>
          <w:rFonts w:ascii="Times New Roman" w:hAnsi="Times New Roman" w:cs="Times New Roman"/>
          <w:sz w:val="24"/>
          <w:szCs w:val="24"/>
        </w:rPr>
        <w:t xml:space="preserve"> applicant on behalf of all the applicants.  Order 19 rule 3(1) of the CPR confines affidavits to facts within deponents</w:t>
      </w:r>
      <w:r w:rsidR="00E62217" w:rsidRPr="000346A7">
        <w:rPr>
          <w:rFonts w:ascii="Times New Roman" w:hAnsi="Times New Roman" w:cs="Times New Roman"/>
          <w:sz w:val="24"/>
          <w:szCs w:val="24"/>
        </w:rPr>
        <w:t>’</w:t>
      </w:r>
      <w:r w:rsidRPr="000346A7">
        <w:rPr>
          <w:rFonts w:ascii="Times New Roman" w:hAnsi="Times New Roman" w:cs="Times New Roman"/>
          <w:sz w:val="24"/>
          <w:szCs w:val="24"/>
        </w:rPr>
        <w:t xml:space="preserve"> knowledge</w:t>
      </w:r>
      <w:r w:rsidR="00575CFF" w:rsidRPr="000346A7">
        <w:rPr>
          <w:rFonts w:ascii="Times New Roman" w:hAnsi="Times New Roman" w:cs="Times New Roman"/>
          <w:sz w:val="24"/>
          <w:szCs w:val="24"/>
        </w:rPr>
        <w:t xml:space="preserve"> and which such deponent is able to prove</w:t>
      </w:r>
      <w:r w:rsidRPr="000346A7">
        <w:rPr>
          <w:rFonts w:ascii="Times New Roman" w:hAnsi="Times New Roman" w:cs="Times New Roman"/>
          <w:sz w:val="24"/>
          <w:szCs w:val="24"/>
        </w:rPr>
        <w:t xml:space="preserve">.  </w:t>
      </w:r>
      <w:r w:rsidR="00E62217" w:rsidRPr="000346A7">
        <w:rPr>
          <w:rFonts w:ascii="Times New Roman" w:hAnsi="Times New Roman" w:cs="Times New Roman"/>
          <w:sz w:val="24"/>
          <w:szCs w:val="24"/>
        </w:rPr>
        <w:t xml:space="preserve">The circumstances of the present case are that the </w:t>
      </w:r>
      <w:r w:rsidR="007F7375" w:rsidRPr="000346A7">
        <w:rPr>
          <w:rFonts w:ascii="Times New Roman" w:hAnsi="Times New Roman" w:cs="Times New Roman"/>
          <w:sz w:val="24"/>
          <w:szCs w:val="24"/>
        </w:rPr>
        <w:t xml:space="preserve">first </w:t>
      </w:r>
      <w:r w:rsidR="00E62217" w:rsidRPr="000346A7">
        <w:rPr>
          <w:rFonts w:ascii="Times New Roman" w:hAnsi="Times New Roman" w:cs="Times New Roman"/>
          <w:sz w:val="24"/>
          <w:szCs w:val="24"/>
        </w:rPr>
        <w:t xml:space="preserve">and </w:t>
      </w:r>
      <w:r w:rsidR="00934794" w:rsidRPr="000346A7">
        <w:rPr>
          <w:rFonts w:ascii="Times New Roman" w:hAnsi="Times New Roman" w:cs="Times New Roman"/>
          <w:sz w:val="24"/>
          <w:szCs w:val="24"/>
        </w:rPr>
        <w:t>second</w:t>
      </w:r>
      <w:r w:rsidR="00E62217" w:rsidRPr="000346A7">
        <w:rPr>
          <w:rFonts w:ascii="Times New Roman" w:hAnsi="Times New Roman" w:cs="Times New Roman"/>
          <w:sz w:val="24"/>
          <w:szCs w:val="24"/>
          <w:vertAlign w:val="superscript"/>
        </w:rPr>
        <w:t xml:space="preserve"> </w:t>
      </w:r>
      <w:r w:rsidR="00E62217" w:rsidRPr="000346A7">
        <w:rPr>
          <w:rFonts w:ascii="Times New Roman" w:hAnsi="Times New Roman" w:cs="Times New Roman"/>
          <w:sz w:val="24"/>
          <w:szCs w:val="24"/>
        </w:rPr>
        <w:t>applicants</w:t>
      </w:r>
      <w:r w:rsidR="00BC758D" w:rsidRPr="000346A7">
        <w:rPr>
          <w:rFonts w:ascii="Times New Roman" w:hAnsi="Times New Roman" w:cs="Times New Roman"/>
          <w:sz w:val="24"/>
          <w:szCs w:val="24"/>
        </w:rPr>
        <w:t>;</w:t>
      </w:r>
      <w:r w:rsidR="00E62217" w:rsidRPr="000346A7">
        <w:rPr>
          <w:rFonts w:ascii="Times New Roman" w:hAnsi="Times New Roman" w:cs="Times New Roman"/>
          <w:sz w:val="24"/>
          <w:szCs w:val="24"/>
        </w:rPr>
        <w:t xml:space="preserve"> as well as the </w:t>
      </w:r>
      <w:r w:rsidR="0035371A" w:rsidRPr="000346A7">
        <w:rPr>
          <w:rFonts w:ascii="Times New Roman" w:hAnsi="Times New Roman" w:cs="Times New Roman"/>
          <w:sz w:val="24"/>
          <w:szCs w:val="24"/>
        </w:rPr>
        <w:t xml:space="preserve">first, </w:t>
      </w:r>
      <w:r w:rsidR="00934794" w:rsidRPr="000346A7">
        <w:rPr>
          <w:rFonts w:ascii="Times New Roman" w:hAnsi="Times New Roman" w:cs="Times New Roman"/>
          <w:sz w:val="24"/>
          <w:szCs w:val="24"/>
        </w:rPr>
        <w:t>second</w:t>
      </w:r>
      <w:r w:rsidR="00E62217"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E62217" w:rsidRPr="000346A7">
        <w:rPr>
          <w:rFonts w:ascii="Times New Roman" w:hAnsi="Times New Roman" w:cs="Times New Roman"/>
          <w:sz w:val="24"/>
          <w:szCs w:val="24"/>
        </w:rPr>
        <w:t xml:space="preserve"> respondents are members of the same family</w:t>
      </w:r>
      <w:r w:rsidR="00D83F41" w:rsidRPr="000346A7">
        <w:rPr>
          <w:rFonts w:ascii="Times New Roman" w:hAnsi="Times New Roman" w:cs="Times New Roman"/>
          <w:sz w:val="24"/>
          <w:szCs w:val="24"/>
        </w:rPr>
        <w:t xml:space="preserve">, the </w:t>
      </w:r>
      <w:r w:rsidR="007F7375" w:rsidRPr="000346A7">
        <w:rPr>
          <w:rFonts w:ascii="Times New Roman" w:hAnsi="Times New Roman" w:cs="Times New Roman"/>
          <w:sz w:val="24"/>
          <w:szCs w:val="24"/>
        </w:rPr>
        <w:t>first</w:t>
      </w:r>
      <w:r w:rsidR="0035371A" w:rsidRPr="000346A7">
        <w:rPr>
          <w:rFonts w:ascii="Times New Roman" w:hAnsi="Times New Roman" w:cs="Times New Roman"/>
          <w:sz w:val="24"/>
          <w:szCs w:val="24"/>
        </w:rPr>
        <w:t xml:space="preserve"> </w:t>
      </w:r>
      <w:r w:rsidR="00D83F41" w:rsidRPr="000346A7">
        <w:rPr>
          <w:rFonts w:ascii="Times New Roman" w:hAnsi="Times New Roman" w:cs="Times New Roman"/>
          <w:sz w:val="24"/>
          <w:szCs w:val="24"/>
        </w:rPr>
        <w:t>applicant being the matriarch thereof</w:t>
      </w:r>
      <w:r w:rsidR="00E62217" w:rsidRPr="000346A7">
        <w:rPr>
          <w:rFonts w:ascii="Times New Roman" w:hAnsi="Times New Roman" w:cs="Times New Roman"/>
          <w:sz w:val="24"/>
          <w:szCs w:val="24"/>
        </w:rPr>
        <w:t xml:space="preserve">.  The </w:t>
      </w:r>
      <w:r w:rsidR="00BC758D" w:rsidRPr="000346A7">
        <w:rPr>
          <w:rFonts w:ascii="Times New Roman" w:hAnsi="Times New Roman" w:cs="Times New Roman"/>
          <w:sz w:val="24"/>
          <w:szCs w:val="24"/>
        </w:rPr>
        <w:t>third</w:t>
      </w:r>
      <w:r w:rsidR="00E62217" w:rsidRPr="000346A7">
        <w:rPr>
          <w:rFonts w:ascii="Times New Roman" w:hAnsi="Times New Roman" w:cs="Times New Roman"/>
          <w:sz w:val="24"/>
          <w:szCs w:val="24"/>
        </w:rPr>
        <w:t xml:space="preserve"> and </w:t>
      </w:r>
      <w:r w:rsidR="00645B91" w:rsidRPr="000346A7">
        <w:rPr>
          <w:rFonts w:ascii="Times New Roman" w:hAnsi="Times New Roman" w:cs="Times New Roman"/>
          <w:sz w:val="24"/>
          <w:szCs w:val="24"/>
        </w:rPr>
        <w:t>fourth</w:t>
      </w:r>
      <w:r w:rsidR="00E62217" w:rsidRPr="000346A7">
        <w:rPr>
          <w:rFonts w:ascii="Times New Roman" w:hAnsi="Times New Roman" w:cs="Times New Roman"/>
          <w:sz w:val="24"/>
          <w:szCs w:val="24"/>
        </w:rPr>
        <w:t xml:space="preserve"> applicants also lay claim to the same family by marriage to the </w:t>
      </w:r>
      <w:r w:rsidR="00934794" w:rsidRPr="000346A7">
        <w:rPr>
          <w:rFonts w:ascii="Times New Roman" w:hAnsi="Times New Roman" w:cs="Times New Roman"/>
          <w:sz w:val="24"/>
          <w:szCs w:val="24"/>
        </w:rPr>
        <w:t>second</w:t>
      </w:r>
      <w:r w:rsidR="00E62217" w:rsidRPr="000346A7">
        <w:rPr>
          <w:rFonts w:ascii="Times New Roman" w:hAnsi="Times New Roman" w:cs="Times New Roman"/>
          <w:sz w:val="24"/>
          <w:szCs w:val="24"/>
        </w:rPr>
        <w:t xml:space="preserve"> and </w:t>
      </w:r>
      <w:r w:rsidR="00BC758D" w:rsidRPr="000346A7">
        <w:rPr>
          <w:rFonts w:ascii="Times New Roman" w:hAnsi="Times New Roman" w:cs="Times New Roman"/>
          <w:sz w:val="24"/>
          <w:szCs w:val="24"/>
        </w:rPr>
        <w:t>third</w:t>
      </w:r>
      <w:r w:rsidR="00E62217" w:rsidRPr="000346A7">
        <w:rPr>
          <w:rFonts w:ascii="Times New Roman" w:hAnsi="Times New Roman" w:cs="Times New Roman"/>
          <w:sz w:val="24"/>
          <w:szCs w:val="24"/>
        </w:rPr>
        <w:t xml:space="preserve"> respondents, which claim the </w:t>
      </w:r>
      <w:r w:rsidR="007F7375" w:rsidRPr="000346A7">
        <w:rPr>
          <w:rFonts w:ascii="Times New Roman" w:hAnsi="Times New Roman" w:cs="Times New Roman"/>
          <w:sz w:val="24"/>
          <w:szCs w:val="24"/>
        </w:rPr>
        <w:t xml:space="preserve">first </w:t>
      </w:r>
      <w:r w:rsidR="00E62217" w:rsidRPr="000346A7">
        <w:rPr>
          <w:rFonts w:ascii="Times New Roman" w:hAnsi="Times New Roman" w:cs="Times New Roman"/>
          <w:sz w:val="24"/>
          <w:szCs w:val="24"/>
        </w:rPr>
        <w:t xml:space="preserve">applicant appears to acknowledge given her consent to the representative affidavit.  </w:t>
      </w:r>
      <w:r w:rsidR="00D83F41" w:rsidRPr="000346A7">
        <w:rPr>
          <w:rFonts w:ascii="Times New Roman" w:hAnsi="Times New Roman" w:cs="Times New Roman"/>
          <w:sz w:val="24"/>
          <w:szCs w:val="24"/>
        </w:rPr>
        <w:t xml:space="preserve">As such, it is reasonable to conclude that the </w:t>
      </w:r>
      <w:r w:rsidR="00645B91" w:rsidRPr="000346A7">
        <w:rPr>
          <w:rFonts w:ascii="Times New Roman" w:hAnsi="Times New Roman" w:cs="Times New Roman"/>
          <w:sz w:val="24"/>
          <w:szCs w:val="24"/>
        </w:rPr>
        <w:t>fourth</w:t>
      </w:r>
      <w:r w:rsidR="00D83F41" w:rsidRPr="000346A7">
        <w:rPr>
          <w:rFonts w:ascii="Times New Roman" w:hAnsi="Times New Roman" w:cs="Times New Roman"/>
          <w:sz w:val="24"/>
          <w:szCs w:val="24"/>
        </w:rPr>
        <w:t xml:space="preserve"> respondent would indeed be knowledgeable about the details of the present dispute</w:t>
      </w:r>
      <w:r w:rsidR="00D00422" w:rsidRPr="000346A7">
        <w:rPr>
          <w:rFonts w:ascii="Times New Roman" w:hAnsi="Times New Roman" w:cs="Times New Roman"/>
          <w:sz w:val="24"/>
          <w:szCs w:val="24"/>
        </w:rPr>
        <w:t xml:space="preserve"> and able to prove them</w:t>
      </w:r>
      <w:r w:rsidR="00EB0E1C" w:rsidRPr="000346A7">
        <w:rPr>
          <w:rFonts w:ascii="Times New Roman" w:hAnsi="Times New Roman" w:cs="Times New Roman"/>
          <w:sz w:val="24"/>
          <w:szCs w:val="24"/>
        </w:rPr>
        <w:t xml:space="preserve">, as stated in </w:t>
      </w:r>
      <w:r w:rsidR="00D00422" w:rsidRPr="000346A7">
        <w:rPr>
          <w:rFonts w:ascii="Times New Roman" w:hAnsi="Times New Roman" w:cs="Times New Roman"/>
          <w:sz w:val="24"/>
          <w:szCs w:val="24"/>
        </w:rPr>
        <w:t xml:space="preserve">the affidavit.  The </w:t>
      </w:r>
      <w:r w:rsidR="00645B91" w:rsidRPr="000346A7">
        <w:rPr>
          <w:rFonts w:ascii="Times New Roman" w:hAnsi="Times New Roman" w:cs="Times New Roman"/>
          <w:sz w:val="24"/>
          <w:szCs w:val="24"/>
        </w:rPr>
        <w:t>fourth</w:t>
      </w:r>
      <w:r w:rsidR="00D00422" w:rsidRPr="000346A7">
        <w:rPr>
          <w:rFonts w:ascii="Times New Roman" w:hAnsi="Times New Roman" w:cs="Times New Roman"/>
          <w:sz w:val="24"/>
          <w:szCs w:val="24"/>
        </w:rPr>
        <w:t xml:space="preserve"> applicant did also attest to having been authorized to depone the affidavit on behalf of the other applicants</w:t>
      </w:r>
      <w:r w:rsidR="005019E1" w:rsidRPr="000346A7">
        <w:rPr>
          <w:rFonts w:ascii="Times New Roman" w:hAnsi="Times New Roman" w:cs="Times New Roman"/>
          <w:sz w:val="24"/>
          <w:szCs w:val="24"/>
        </w:rPr>
        <w:t xml:space="preserve"> and written consent there</w:t>
      </w:r>
      <w:r w:rsidR="00D00422" w:rsidRPr="000346A7">
        <w:rPr>
          <w:rFonts w:ascii="Times New Roman" w:hAnsi="Times New Roman" w:cs="Times New Roman"/>
          <w:sz w:val="24"/>
          <w:szCs w:val="24"/>
        </w:rPr>
        <w:t xml:space="preserve">for was </w:t>
      </w:r>
      <w:r w:rsidR="005019E1" w:rsidRPr="000346A7">
        <w:rPr>
          <w:rFonts w:ascii="Times New Roman" w:hAnsi="Times New Roman" w:cs="Times New Roman"/>
          <w:sz w:val="24"/>
          <w:szCs w:val="24"/>
        </w:rPr>
        <w:t xml:space="preserve">availed </w:t>
      </w:r>
      <w:r w:rsidR="00D00422" w:rsidRPr="000346A7">
        <w:rPr>
          <w:rFonts w:ascii="Times New Roman" w:hAnsi="Times New Roman" w:cs="Times New Roman"/>
          <w:sz w:val="24"/>
          <w:szCs w:val="24"/>
        </w:rPr>
        <w:t xml:space="preserve">vide a document dated </w:t>
      </w:r>
      <w:r w:rsidR="00BC758D" w:rsidRPr="000346A7">
        <w:rPr>
          <w:rFonts w:ascii="Times New Roman" w:hAnsi="Times New Roman" w:cs="Times New Roman"/>
          <w:sz w:val="24"/>
          <w:szCs w:val="24"/>
        </w:rPr>
        <w:t>2</w:t>
      </w:r>
      <w:r w:rsidR="00BC758D" w:rsidRPr="000346A7">
        <w:rPr>
          <w:rFonts w:ascii="Times New Roman" w:hAnsi="Times New Roman" w:cs="Times New Roman"/>
          <w:sz w:val="24"/>
          <w:szCs w:val="24"/>
          <w:vertAlign w:val="superscript"/>
        </w:rPr>
        <w:t>nd</w:t>
      </w:r>
      <w:r w:rsidR="00BC758D" w:rsidRPr="000346A7">
        <w:rPr>
          <w:rFonts w:ascii="Times New Roman" w:hAnsi="Times New Roman" w:cs="Times New Roman"/>
          <w:sz w:val="24"/>
          <w:szCs w:val="24"/>
        </w:rPr>
        <w:t xml:space="preserve"> </w:t>
      </w:r>
      <w:r w:rsidR="00D00422" w:rsidRPr="000346A7">
        <w:rPr>
          <w:rFonts w:ascii="Times New Roman" w:hAnsi="Times New Roman" w:cs="Times New Roman"/>
          <w:sz w:val="24"/>
          <w:szCs w:val="24"/>
        </w:rPr>
        <w:t xml:space="preserve">May 2013.  Having </w:t>
      </w:r>
      <w:r w:rsidR="00575CFF" w:rsidRPr="000346A7">
        <w:rPr>
          <w:rFonts w:ascii="Times New Roman" w:hAnsi="Times New Roman" w:cs="Times New Roman"/>
          <w:sz w:val="24"/>
          <w:szCs w:val="24"/>
        </w:rPr>
        <w:t xml:space="preserve">established that the deponent had authority to depone </w:t>
      </w:r>
      <w:r w:rsidR="005019E1" w:rsidRPr="000346A7">
        <w:rPr>
          <w:rFonts w:ascii="Times New Roman" w:hAnsi="Times New Roman" w:cs="Times New Roman"/>
          <w:sz w:val="24"/>
          <w:szCs w:val="24"/>
        </w:rPr>
        <w:t>the</w:t>
      </w:r>
      <w:r w:rsidR="00575CFF" w:rsidRPr="000346A7">
        <w:rPr>
          <w:rFonts w:ascii="Times New Roman" w:hAnsi="Times New Roman" w:cs="Times New Roman"/>
          <w:sz w:val="24"/>
          <w:szCs w:val="24"/>
        </w:rPr>
        <w:t xml:space="preserve"> representative affidavit,</w:t>
      </w:r>
      <w:r w:rsidR="00E62217" w:rsidRPr="000346A7">
        <w:rPr>
          <w:rFonts w:ascii="Times New Roman" w:hAnsi="Times New Roman" w:cs="Times New Roman"/>
          <w:sz w:val="24"/>
          <w:szCs w:val="24"/>
        </w:rPr>
        <w:t xml:space="preserve"> </w:t>
      </w:r>
      <w:r w:rsidR="00575CFF" w:rsidRPr="000346A7">
        <w:rPr>
          <w:rFonts w:ascii="Times New Roman" w:hAnsi="Times New Roman" w:cs="Times New Roman"/>
          <w:sz w:val="24"/>
          <w:szCs w:val="24"/>
        </w:rPr>
        <w:t xml:space="preserve">I do find the affidavit </w:t>
      </w:r>
      <w:r w:rsidR="00D83F41" w:rsidRPr="000346A7">
        <w:rPr>
          <w:rFonts w:ascii="Times New Roman" w:hAnsi="Times New Roman" w:cs="Times New Roman"/>
          <w:sz w:val="24"/>
          <w:szCs w:val="24"/>
        </w:rPr>
        <w:t xml:space="preserve">in question </w:t>
      </w:r>
      <w:r w:rsidR="00575CFF" w:rsidRPr="000346A7">
        <w:rPr>
          <w:rFonts w:ascii="Times New Roman" w:hAnsi="Times New Roman" w:cs="Times New Roman"/>
          <w:sz w:val="24"/>
          <w:szCs w:val="24"/>
        </w:rPr>
        <w:t xml:space="preserve">competent for purposes of the present application.  </w:t>
      </w:r>
      <w:r w:rsidR="00575CFF" w:rsidRPr="000346A7">
        <w:rPr>
          <w:rFonts w:ascii="Times New Roman" w:hAnsi="Times New Roman" w:cs="Times New Roman"/>
          <w:i/>
          <w:sz w:val="24"/>
          <w:szCs w:val="24"/>
        </w:rPr>
        <w:t xml:space="preserve">See </w:t>
      </w:r>
      <w:r w:rsidR="00575CFF" w:rsidRPr="000346A7">
        <w:rPr>
          <w:rFonts w:ascii="Times New Roman" w:hAnsi="Times New Roman" w:cs="Times New Roman"/>
          <w:b/>
          <w:i/>
          <w:sz w:val="24"/>
          <w:szCs w:val="24"/>
          <w:u w:val="single"/>
        </w:rPr>
        <w:t>Kaingana vs. Boubou (1986) HCB 59</w:t>
      </w:r>
      <w:r w:rsidR="00575CFF" w:rsidRPr="000346A7">
        <w:rPr>
          <w:rFonts w:ascii="Times New Roman" w:hAnsi="Times New Roman" w:cs="Times New Roman"/>
          <w:i/>
          <w:sz w:val="24"/>
          <w:szCs w:val="24"/>
        </w:rPr>
        <w:t>.</w:t>
      </w:r>
    </w:p>
    <w:p w:rsidR="004C3F8B" w:rsidRPr="000346A7" w:rsidRDefault="004C3F8B" w:rsidP="004C3F8B">
      <w:pPr>
        <w:pStyle w:val="ListParagraph"/>
        <w:ind w:left="360"/>
        <w:jc w:val="both"/>
        <w:rPr>
          <w:rFonts w:ascii="Times New Roman" w:hAnsi="Times New Roman" w:cs="Times New Roman"/>
          <w:sz w:val="24"/>
          <w:szCs w:val="24"/>
        </w:rPr>
      </w:pPr>
    </w:p>
    <w:p w:rsidR="009A7CAC" w:rsidRPr="000346A7" w:rsidRDefault="009A7CAC" w:rsidP="008E33DB">
      <w:pPr>
        <w:pStyle w:val="ListParagraph"/>
        <w:numPr>
          <w:ilvl w:val="0"/>
          <w:numId w:val="22"/>
        </w:numPr>
        <w:jc w:val="both"/>
        <w:rPr>
          <w:rFonts w:ascii="Times New Roman" w:hAnsi="Times New Roman" w:cs="Times New Roman"/>
          <w:sz w:val="24"/>
          <w:szCs w:val="24"/>
        </w:rPr>
      </w:pPr>
      <w:r w:rsidRPr="000346A7">
        <w:rPr>
          <w:rFonts w:ascii="Times New Roman" w:hAnsi="Times New Roman" w:cs="Times New Roman"/>
          <w:sz w:val="24"/>
          <w:szCs w:val="24"/>
        </w:rPr>
        <w:t>I</w:t>
      </w:r>
      <w:r w:rsidR="00546DAC" w:rsidRPr="000346A7">
        <w:rPr>
          <w:rFonts w:ascii="Times New Roman" w:hAnsi="Times New Roman" w:cs="Times New Roman"/>
          <w:sz w:val="24"/>
          <w:szCs w:val="24"/>
        </w:rPr>
        <w:t>n the final result, I</w:t>
      </w:r>
      <w:r w:rsidRPr="000346A7">
        <w:rPr>
          <w:rFonts w:ascii="Times New Roman" w:hAnsi="Times New Roman" w:cs="Times New Roman"/>
          <w:sz w:val="24"/>
          <w:szCs w:val="24"/>
        </w:rPr>
        <w:t xml:space="preserve"> do hereby grant a temporary injunction in this matter</w:t>
      </w:r>
      <w:r w:rsidR="00A04991" w:rsidRPr="000346A7">
        <w:rPr>
          <w:rFonts w:ascii="Times New Roman" w:hAnsi="Times New Roman" w:cs="Times New Roman"/>
          <w:sz w:val="24"/>
          <w:szCs w:val="24"/>
        </w:rPr>
        <w:t xml:space="preserve"> with no order as to costs</w:t>
      </w:r>
      <w:r w:rsidR="008E33DB" w:rsidRPr="000346A7">
        <w:rPr>
          <w:rFonts w:ascii="Times New Roman" w:hAnsi="Times New Roman" w:cs="Times New Roman"/>
          <w:sz w:val="24"/>
          <w:szCs w:val="24"/>
        </w:rPr>
        <w:t>.</w:t>
      </w:r>
      <w:r w:rsidRPr="000346A7">
        <w:rPr>
          <w:rFonts w:ascii="Times New Roman" w:hAnsi="Times New Roman" w:cs="Times New Roman"/>
          <w:sz w:val="24"/>
          <w:szCs w:val="24"/>
        </w:rPr>
        <w:t xml:space="preserve"> </w:t>
      </w:r>
    </w:p>
    <w:p w:rsidR="009A7CAC" w:rsidRPr="000346A7" w:rsidRDefault="009A7CAC" w:rsidP="009A7CAC">
      <w:pPr>
        <w:jc w:val="both"/>
        <w:rPr>
          <w:rFonts w:ascii="Times New Roman" w:hAnsi="Times New Roman" w:cs="Times New Roman"/>
          <w:sz w:val="24"/>
          <w:szCs w:val="24"/>
        </w:rPr>
      </w:pPr>
    </w:p>
    <w:p w:rsidR="004C3F8B" w:rsidRPr="000346A7" w:rsidRDefault="004C3F8B" w:rsidP="009A7CAC">
      <w:pPr>
        <w:pStyle w:val="ListParagraph"/>
        <w:ind w:left="0"/>
        <w:jc w:val="both"/>
        <w:rPr>
          <w:rFonts w:ascii="Times New Roman" w:eastAsia="Calibri" w:hAnsi="Times New Roman" w:cs="Times New Roman"/>
          <w:b/>
          <w:bCs/>
          <w:sz w:val="24"/>
          <w:szCs w:val="24"/>
        </w:rPr>
      </w:pPr>
    </w:p>
    <w:p w:rsidR="004C3F8B" w:rsidRPr="000346A7" w:rsidRDefault="004C3F8B" w:rsidP="009A7CAC">
      <w:pPr>
        <w:pStyle w:val="ListParagraph"/>
        <w:ind w:left="0"/>
        <w:jc w:val="both"/>
        <w:rPr>
          <w:rFonts w:ascii="Times New Roman" w:eastAsia="Calibri" w:hAnsi="Times New Roman" w:cs="Times New Roman"/>
          <w:b/>
          <w:bCs/>
          <w:sz w:val="24"/>
          <w:szCs w:val="24"/>
        </w:rPr>
      </w:pPr>
    </w:p>
    <w:p w:rsidR="004C3F8B" w:rsidRPr="000346A7" w:rsidRDefault="004C3F8B" w:rsidP="009A7CAC">
      <w:pPr>
        <w:pStyle w:val="ListParagraph"/>
        <w:ind w:left="0"/>
        <w:jc w:val="both"/>
        <w:rPr>
          <w:rFonts w:ascii="Times New Roman" w:eastAsia="Calibri" w:hAnsi="Times New Roman" w:cs="Times New Roman"/>
          <w:b/>
          <w:bCs/>
          <w:sz w:val="24"/>
          <w:szCs w:val="24"/>
        </w:rPr>
      </w:pPr>
    </w:p>
    <w:p w:rsidR="009A7CAC" w:rsidRPr="000346A7" w:rsidRDefault="009A7CAC" w:rsidP="009A7CAC">
      <w:pPr>
        <w:pStyle w:val="ListParagraph"/>
        <w:ind w:left="0"/>
        <w:jc w:val="both"/>
        <w:rPr>
          <w:rFonts w:ascii="Times New Roman" w:eastAsia="Calibri" w:hAnsi="Times New Roman" w:cs="Times New Roman"/>
          <w:b/>
          <w:sz w:val="24"/>
          <w:szCs w:val="24"/>
        </w:rPr>
      </w:pPr>
      <w:r w:rsidRPr="000346A7">
        <w:rPr>
          <w:rFonts w:ascii="Times New Roman" w:eastAsia="Calibri" w:hAnsi="Times New Roman" w:cs="Times New Roman"/>
          <w:b/>
          <w:bCs/>
          <w:sz w:val="24"/>
          <w:szCs w:val="24"/>
        </w:rPr>
        <w:t>Monica K. Mugenyi</w:t>
      </w:r>
      <w:r w:rsidRPr="000346A7">
        <w:rPr>
          <w:rFonts w:ascii="Times New Roman" w:eastAsia="Calibri" w:hAnsi="Times New Roman" w:cs="Times New Roman"/>
          <w:b/>
          <w:sz w:val="24"/>
          <w:szCs w:val="24"/>
        </w:rPr>
        <w:t xml:space="preserve"> </w:t>
      </w:r>
    </w:p>
    <w:p w:rsidR="009A7CAC" w:rsidRPr="000346A7" w:rsidRDefault="009A7CAC" w:rsidP="009A7CAC">
      <w:pPr>
        <w:pStyle w:val="ListParagraph"/>
        <w:ind w:left="0"/>
        <w:jc w:val="both"/>
        <w:rPr>
          <w:rFonts w:ascii="Times New Roman" w:eastAsia="Calibri" w:hAnsi="Times New Roman" w:cs="Times New Roman"/>
          <w:b/>
          <w:sz w:val="24"/>
          <w:szCs w:val="24"/>
          <w:u w:val="single"/>
        </w:rPr>
      </w:pPr>
      <w:r w:rsidRPr="000346A7">
        <w:rPr>
          <w:rFonts w:ascii="Times New Roman" w:eastAsia="Calibri" w:hAnsi="Times New Roman" w:cs="Times New Roman"/>
          <w:b/>
          <w:sz w:val="24"/>
          <w:szCs w:val="24"/>
          <w:u w:val="single"/>
        </w:rPr>
        <w:t>JUDGE</w:t>
      </w:r>
    </w:p>
    <w:p w:rsidR="009A7CAC" w:rsidRPr="000346A7" w:rsidRDefault="009A7CAC" w:rsidP="009A7CAC">
      <w:pPr>
        <w:jc w:val="both"/>
        <w:rPr>
          <w:rFonts w:ascii="Times New Roman" w:hAnsi="Times New Roman" w:cs="Times New Roman"/>
          <w:sz w:val="24"/>
          <w:szCs w:val="24"/>
        </w:rPr>
      </w:pPr>
      <w:r w:rsidRPr="000346A7">
        <w:rPr>
          <w:rFonts w:ascii="Times New Roman" w:hAnsi="Times New Roman" w:cs="Times New Roman"/>
          <w:sz w:val="24"/>
          <w:szCs w:val="24"/>
        </w:rPr>
        <w:t>1</w:t>
      </w:r>
      <w:r w:rsidR="00546DAC" w:rsidRPr="000346A7">
        <w:rPr>
          <w:rFonts w:ascii="Times New Roman" w:hAnsi="Times New Roman" w:cs="Times New Roman"/>
          <w:sz w:val="24"/>
          <w:szCs w:val="24"/>
        </w:rPr>
        <w:t>8</w:t>
      </w:r>
      <w:r w:rsidRPr="000346A7">
        <w:rPr>
          <w:rFonts w:ascii="Times New Roman" w:hAnsi="Times New Roman" w:cs="Times New Roman"/>
          <w:sz w:val="24"/>
          <w:szCs w:val="24"/>
          <w:vertAlign w:val="superscript"/>
        </w:rPr>
        <w:t>th</w:t>
      </w:r>
      <w:r w:rsidR="00546DAC" w:rsidRPr="000346A7">
        <w:rPr>
          <w:rFonts w:ascii="Times New Roman" w:hAnsi="Times New Roman" w:cs="Times New Roman"/>
          <w:sz w:val="24"/>
          <w:szCs w:val="24"/>
        </w:rPr>
        <w:t xml:space="preserve"> August</w:t>
      </w:r>
      <w:r w:rsidRPr="000346A7">
        <w:rPr>
          <w:rFonts w:ascii="Times New Roman" w:eastAsia="Calibri" w:hAnsi="Times New Roman" w:cs="Times New Roman"/>
          <w:sz w:val="24"/>
          <w:szCs w:val="24"/>
        </w:rPr>
        <w:t>, 201</w:t>
      </w:r>
      <w:r w:rsidR="00546DAC" w:rsidRPr="000346A7">
        <w:rPr>
          <w:rFonts w:ascii="Times New Roman" w:eastAsia="Calibri" w:hAnsi="Times New Roman" w:cs="Times New Roman"/>
          <w:sz w:val="24"/>
          <w:szCs w:val="24"/>
        </w:rPr>
        <w:t>4</w:t>
      </w:r>
    </w:p>
    <w:sectPr w:rsidR="009A7CAC" w:rsidRPr="000346A7" w:rsidSect="00B533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B8" w:rsidRDefault="00C36FB8" w:rsidP="002A6E84">
      <w:pPr>
        <w:spacing w:after="0" w:line="240" w:lineRule="auto"/>
      </w:pPr>
      <w:r>
        <w:separator/>
      </w:r>
    </w:p>
  </w:endnote>
  <w:endnote w:type="continuationSeparator" w:id="1">
    <w:p w:rsidR="00C36FB8" w:rsidRDefault="00C36FB8" w:rsidP="002A6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B8" w:rsidRDefault="00C36FB8" w:rsidP="002A6E84">
      <w:pPr>
        <w:spacing w:after="0" w:line="240" w:lineRule="auto"/>
      </w:pPr>
      <w:r>
        <w:separator/>
      </w:r>
    </w:p>
  </w:footnote>
  <w:footnote w:type="continuationSeparator" w:id="1">
    <w:p w:rsidR="00C36FB8" w:rsidRDefault="00C36FB8" w:rsidP="002A6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869"/>
    <w:multiLevelType w:val="hybridMultilevel"/>
    <w:tmpl w:val="19923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3C265D"/>
    <w:multiLevelType w:val="hybridMultilevel"/>
    <w:tmpl w:val="27F65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66009"/>
    <w:multiLevelType w:val="hybridMultilevel"/>
    <w:tmpl w:val="335A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B08"/>
    <w:multiLevelType w:val="hybridMultilevel"/>
    <w:tmpl w:val="86FE2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04355"/>
    <w:multiLevelType w:val="hybridMultilevel"/>
    <w:tmpl w:val="F3DAAA68"/>
    <w:lvl w:ilvl="0" w:tplc="CCF8BCD6">
      <w:start w:val="1"/>
      <w:numFmt w:val="lowerLetter"/>
      <w:lvlText w:val="%1."/>
      <w:lvlJc w:val="left"/>
      <w:pPr>
        <w:ind w:left="720" w:hanging="360"/>
      </w:pPr>
      <w:rPr>
        <w:rFonts w:ascii="Constantia" w:eastAsiaTheme="minorHAnsi" w:hAnsi="Constant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06DA5"/>
    <w:multiLevelType w:val="hybridMultilevel"/>
    <w:tmpl w:val="51D25C2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84D0D"/>
    <w:multiLevelType w:val="hybridMultilevel"/>
    <w:tmpl w:val="3BF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71ADD"/>
    <w:multiLevelType w:val="hybridMultilevel"/>
    <w:tmpl w:val="8F7E7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2A1DD9"/>
    <w:multiLevelType w:val="hybridMultilevel"/>
    <w:tmpl w:val="956E2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EE04E7"/>
    <w:multiLevelType w:val="multilevel"/>
    <w:tmpl w:val="77B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134B3"/>
    <w:multiLevelType w:val="hybridMultilevel"/>
    <w:tmpl w:val="E754364A"/>
    <w:lvl w:ilvl="0" w:tplc="C7882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97535"/>
    <w:multiLevelType w:val="hybridMultilevel"/>
    <w:tmpl w:val="335A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20936"/>
    <w:multiLevelType w:val="hybridMultilevel"/>
    <w:tmpl w:val="B046DD9A"/>
    <w:lvl w:ilvl="0" w:tplc="7A163D58">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6A4D12"/>
    <w:multiLevelType w:val="hybridMultilevel"/>
    <w:tmpl w:val="C3AE7D7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584513DE"/>
    <w:multiLevelType w:val="hybridMultilevel"/>
    <w:tmpl w:val="C64CF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955DA"/>
    <w:multiLevelType w:val="hybridMultilevel"/>
    <w:tmpl w:val="994A3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D107E1F"/>
    <w:multiLevelType w:val="hybridMultilevel"/>
    <w:tmpl w:val="844CCB7E"/>
    <w:lvl w:ilvl="0" w:tplc="B5F4E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F08BE"/>
    <w:multiLevelType w:val="hybridMultilevel"/>
    <w:tmpl w:val="97F4F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5658F1"/>
    <w:multiLevelType w:val="hybridMultilevel"/>
    <w:tmpl w:val="51D25C2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51323"/>
    <w:multiLevelType w:val="hybridMultilevel"/>
    <w:tmpl w:val="FAEAA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29709D"/>
    <w:multiLevelType w:val="hybridMultilevel"/>
    <w:tmpl w:val="30B04612"/>
    <w:lvl w:ilvl="0" w:tplc="ADC01410">
      <w:start w:val="1"/>
      <w:numFmt w:val="lowerLetter"/>
      <w:lvlText w:val="%1."/>
      <w:lvlJc w:val="left"/>
      <w:pPr>
        <w:ind w:left="720" w:hanging="360"/>
      </w:pPr>
      <w:rPr>
        <w:rFonts w:ascii="Constantia" w:eastAsiaTheme="minorHAnsi" w:hAnsi="Constant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C0F10"/>
    <w:multiLevelType w:val="hybridMultilevel"/>
    <w:tmpl w:val="4522916C"/>
    <w:lvl w:ilvl="0" w:tplc="B5F4E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7"/>
  </w:num>
  <w:num w:numId="4">
    <w:abstractNumId w:val="20"/>
  </w:num>
  <w:num w:numId="5">
    <w:abstractNumId w:val="3"/>
  </w:num>
  <w:num w:numId="6">
    <w:abstractNumId w:val="9"/>
  </w:num>
  <w:num w:numId="7">
    <w:abstractNumId w:val="15"/>
  </w:num>
  <w:num w:numId="8">
    <w:abstractNumId w:val="14"/>
  </w:num>
  <w:num w:numId="9">
    <w:abstractNumId w:val="6"/>
  </w:num>
  <w:num w:numId="10">
    <w:abstractNumId w:val="8"/>
  </w:num>
  <w:num w:numId="11">
    <w:abstractNumId w:val="12"/>
  </w:num>
  <w:num w:numId="12">
    <w:abstractNumId w:val="13"/>
  </w:num>
  <w:num w:numId="13">
    <w:abstractNumId w:val="19"/>
  </w:num>
  <w:num w:numId="14">
    <w:abstractNumId w:val="1"/>
  </w:num>
  <w:num w:numId="15">
    <w:abstractNumId w:val="10"/>
  </w:num>
  <w:num w:numId="16">
    <w:abstractNumId w:val="11"/>
  </w:num>
  <w:num w:numId="17">
    <w:abstractNumId w:val="2"/>
  </w:num>
  <w:num w:numId="18">
    <w:abstractNumId w:val="5"/>
  </w:num>
  <w:num w:numId="19">
    <w:abstractNumId w:val="18"/>
  </w:num>
  <w:num w:numId="20">
    <w:abstractNumId w:val="21"/>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footnotePr>
    <w:footnote w:id="0"/>
    <w:footnote w:id="1"/>
  </w:footnotePr>
  <w:endnotePr>
    <w:endnote w:id="0"/>
    <w:endnote w:id="1"/>
  </w:endnotePr>
  <w:compat/>
  <w:rsids>
    <w:rsidRoot w:val="00574291"/>
    <w:rsid w:val="00003378"/>
    <w:rsid w:val="00007EE1"/>
    <w:rsid w:val="00007F59"/>
    <w:rsid w:val="0001321F"/>
    <w:rsid w:val="00014B48"/>
    <w:rsid w:val="00015229"/>
    <w:rsid w:val="000179A6"/>
    <w:rsid w:val="000215F7"/>
    <w:rsid w:val="000302A3"/>
    <w:rsid w:val="00033403"/>
    <w:rsid w:val="000346A7"/>
    <w:rsid w:val="00034A74"/>
    <w:rsid w:val="000377A0"/>
    <w:rsid w:val="00041C76"/>
    <w:rsid w:val="0005136D"/>
    <w:rsid w:val="00054A7A"/>
    <w:rsid w:val="00057060"/>
    <w:rsid w:val="00062C2A"/>
    <w:rsid w:val="00063309"/>
    <w:rsid w:val="00063958"/>
    <w:rsid w:val="00063E5B"/>
    <w:rsid w:val="00065C7B"/>
    <w:rsid w:val="00066665"/>
    <w:rsid w:val="000666C0"/>
    <w:rsid w:val="00072F69"/>
    <w:rsid w:val="0007309A"/>
    <w:rsid w:val="00080E14"/>
    <w:rsid w:val="000857C8"/>
    <w:rsid w:val="0009133D"/>
    <w:rsid w:val="00095958"/>
    <w:rsid w:val="000A0313"/>
    <w:rsid w:val="000A1A98"/>
    <w:rsid w:val="000A5B55"/>
    <w:rsid w:val="000B2911"/>
    <w:rsid w:val="000B4B73"/>
    <w:rsid w:val="000D06FD"/>
    <w:rsid w:val="000E0623"/>
    <w:rsid w:val="000E1D61"/>
    <w:rsid w:val="000E40CA"/>
    <w:rsid w:val="000F16C4"/>
    <w:rsid w:val="000F64D7"/>
    <w:rsid w:val="000F6F34"/>
    <w:rsid w:val="00100CF8"/>
    <w:rsid w:val="00101151"/>
    <w:rsid w:val="0010582B"/>
    <w:rsid w:val="00111E86"/>
    <w:rsid w:val="0011207F"/>
    <w:rsid w:val="00112B6A"/>
    <w:rsid w:val="00113644"/>
    <w:rsid w:val="001138FE"/>
    <w:rsid w:val="001155D8"/>
    <w:rsid w:val="00130ACA"/>
    <w:rsid w:val="0013177D"/>
    <w:rsid w:val="00132E9E"/>
    <w:rsid w:val="001432A3"/>
    <w:rsid w:val="00144590"/>
    <w:rsid w:val="001536A4"/>
    <w:rsid w:val="00154AAA"/>
    <w:rsid w:val="001559F2"/>
    <w:rsid w:val="00157B22"/>
    <w:rsid w:val="001622DB"/>
    <w:rsid w:val="00162C97"/>
    <w:rsid w:val="001742FB"/>
    <w:rsid w:val="0018069A"/>
    <w:rsid w:val="0018711B"/>
    <w:rsid w:val="001A363B"/>
    <w:rsid w:val="001A50CB"/>
    <w:rsid w:val="001B090E"/>
    <w:rsid w:val="001B2EA4"/>
    <w:rsid w:val="001B4526"/>
    <w:rsid w:val="001C1F1A"/>
    <w:rsid w:val="001C4B4D"/>
    <w:rsid w:val="001C6336"/>
    <w:rsid w:val="001C693D"/>
    <w:rsid w:val="001C6940"/>
    <w:rsid w:val="001D395F"/>
    <w:rsid w:val="001E3B53"/>
    <w:rsid w:val="001E4776"/>
    <w:rsid w:val="001E6623"/>
    <w:rsid w:val="001E6A33"/>
    <w:rsid w:val="001F4750"/>
    <w:rsid w:val="002051B3"/>
    <w:rsid w:val="00205267"/>
    <w:rsid w:val="0020611F"/>
    <w:rsid w:val="002206C6"/>
    <w:rsid w:val="002207C7"/>
    <w:rsid w:val="002260CF"/>
    <w:rsid w:val="00231782"/>
    <w:rsid w:val="002342E3"/>
    <w:rsid w:val="00244DCE"/>
    <w:rsid w:val="002472B8"/>
    <w:rsid w:val="00247695"/>
    <w:rsid w:val="00247ABE"/>
    <w:rsid w:val="00247CB5"/>
    <w:rsid w:val="00255AFB"/>
    <w:rsid w:val="002622D2"/>
    <w:rsid w:val="002646A5"/>
    <w:rsid w:val="0026758B"/>
    <w:rsid w:val="002730CE"/>
    <w:rsid w:val="00274B92"/>
    <w:rsid w:val="002869B0"/>
    <w:rsid w:val="0029657F"/>
    <w:rsid w:val="002A1406"/>
    <w:rsid w:val="002A5333"/>
    <w:rsid w:val="002A6E84"/>
    <w:rsid w:val="002A7DB8"/>
    <w:rsid w:val="002B31CC"/>
    <w:rsid w:val="002B5931"/>
    <w:rsid w:val="002C77C2"/>
    <w:rsid w:val="002D38D5"/>
    <w:rsid w:val="002D3944"/>
    <w:rsid w:val="002D4559"/>
    <w:rsid w:val="002D4DF5"/>
    <w:rsid w:val="002E07B0"/>
    <w:rsid w:val="002E3F13"/>
    <w:rsid w:val="002E5202"/>
    <w:rsid w:val="002E5282"/>
    <w:rsid w:val="002F140E"/>
    <w:rsid w:val="002F1E1E"/>
    <w:rsid w:val="00303152"/>
    <w:rsid w:val="00305197"/>
    <w:rsid w:val="00307C84"/>
    <w:rsid w:val="0031605A"/>
    <w:rsid w:val="00322568"/>
    <w:rsid w:val="003300E3"/>
    <w:rsid w:val="0033076C"/>
    <w:rsid w:val="003519B7"/>
    <w:rsid w:val="003526F2"/>
    <w:rsid w:val="0035371A"/>
    <w:rsid w:val="00356996"/>
    <w:rsid w:val="00362DA5"/>
    <w:rsid w:val="00365F88"/>
    <w:rsid w:val="00372177"/>
    <w:rsid w:val="003744C8"/>
    <w:rsid w:val="003767AE"/>
    <w:rsid w:val="00380F7D"/>
    <w:rsid w:val="0038359A"/>
    <w:rsid w:val="003926DC"/>
    <w:rsid w:val="00396DBF"/>
    <w:rsid w:val="003A0A72"/>
    <w:rsid w:val="003A4411"/>
    <w:rsid w:val="003B0AC4"/>
    <w:rsid w:val="003C056F"/>
    <w:rsid w:val="003C3105"/>
    <w:rsid w:val="003C3DA5"/>
    <w:rsid w:val="003C5DBC"/>
    <w:rsid w:val="003C71E3"/>
    <w:rsid w:val="003D239B"/>
    <w:rsid w:val="003D3FA7"/>
    <w:rsid w:val="003E34CC"/>
    <w:rsid w:val="003E600E"/>
    <w:rsid w:val="003F01C0"/>
    <w:rsid w:val="003F1B3C"/>
    <w:rsid w:val="003F42F6"/>
    <w:rsid w:val="00400C86"/>
    <w:rsid w:val="0040262B"/>
    <w:rsid w:val="00407A48"/>
    <w:rsid w:val="0041786F"/>
    <w:rsid w:val="0042478E"/>
    <w:rsid w:val="00427EA6"/>
    <w:rsid w:val="00431DB5"/>
    <w:rsid w:val="00450542"/>
    <w:rsid w:val="0045157D"/>
    <w:rsid w:val="00452280"/>
    <w:rsid w:val="00455E0A"/>
    <w:rsid w:val="00462A89"/>
    <w:rsid w:val="0046461A"/>
    <w:rsid w:val="00465126"/>
    <w:rsid w:val="00466246"/>
    <w:rsid w:val="004664AB"/>
    <w:rsid w:val="00466B99"/>
    <w:rsid w:val="00470179"/>
    <w:rsid w:val="00472A1C"/>
    <w:rsid w:val="00483008"/>
    <w:rsid w:val="00484DA5"/>
    <w:rsid w:val="00486DC4"/>
    <w:rsid w:val="004903CE"/>
    <w:rsid w:val="00497539"/>
    <w:rsid w:val="004A6EE7"/>
    <w:rsid w:val="004B0916"/>
    <w:rsid w:val="004B25AB"/>
    <w:rsid w:val="004C0424"/>
    <w:rsid w:val="004C1C7D"/>
    <w:rsid w:val="004C3F8B"/>
    <w:rsid w:val="004D4BFF"/>
    <w:rsid w:val="004D5473"/>
    <w:rsid w:val="004D70DF"/>
    <w:rsid w:val="004E2132"/>
    <w:rsid w:val="004E3DBE"/>
    <w:rsid w:val="004E7879"/>
    <w:rsid w:val="004F2BF1"/>
    <w:rsid w:val="004F2D09"/>
    <w:rsid w:val="005019E1"/>
    <w:rsid w:val="00507185"/>
    <w:rsid w:val="0050724E"/>
    <w:rsid w:val="0052655C"/>
    <w:rsid w:val="00527C5E"/>
    <w:rsid w:val="00532568"/>
    <w:rsid w:val="00535120"/>
    <w:rsid w:val="00542E33"/>
    <w:rsid w:val="00544AD1"/>
    <w:rsid w:val="00546DAC"/>
    <w:rsid w:val="00547B70"/>
    <w:rsid w:val="005563FD"/>
    <w:rsid w:val="00562E9C"/>
    <w:rsid w:val="00563B34"/>
    <w:rsid w:val="0056764B"/>
    <w:rsid w:val="00574291"/>
    <w:rsid w:val="005744AC"/>
    <w:rsid w:val="00575CFF"/>
    <w:rsid w:val="00576C8F"/>
    <w:rsid w:val="00582A05"/>
    <w:rsid w:val="005830EE"/>
    <w:rsid w:val="00584F88"/>
    <w:rsid w:val="0059063D"/>
    <w:rsid w:val="00594DDA"/>
    <w:rsid w:val="005A5772"/>
    <w:rsid w:val="005A62F9"/>
    <w:rsid w:val="005A6522"/>
    <w:rsid w:val="005B37BA"/>
    <w:rsid w:val="005B52BC"/>
    <w:rsid w:val="005C3752"/>
    <w:rsid w:val="005D1873"/>
    <w:rsid w:val="005D613E"/>
    <w:rsid w:val="005D7925"/>
    <w:rsid w:val="005E38C8"/>
    <w:rsid w:val="005E4436"/>
    <w:rsid w:val="005E5792"/>
    <w:rsid w:val="005E68DF"/>
    <w:rsid w:val="005E7A7D"/>
    <w:rsid w:val="0060209E"/>
    <w:rsid w:val="006040EB"/>
    <w:rsid w:val="0060589A"/>
    <w:rsid w:val="00611B3B"/>
    <w:rsid w:val="00622E3F"/>
    <w:rsid w:val="006272CD"/>
    <w:rsid w:val="0063135E"/>
    <w:rsid w:val="006336BA"/>
    <w:rsid w:val="00635788"/>
    <w:rsid w:val="00636AF4"/>
    <w:rsid w:val="00645B91"/>
    <w:rsid w:val="00646064"/>
    <w:rsid w:val="00652734"/>
    <w:rsid w:val="00652ABD"/>
    <w:rsid w:val="0065489F"/>
    <w:rsid w:val="00672A96"/>
    <w:rsid w:val="00675EDB"/>
    <w:rsid w:val="00686931"/>
    <w:rsid w:val="00687947"/>
    <w:rsid w:val="00697008"/>
    <w:rsid w:val="00697938"/>
    <w:rsid w:val="006A3621"/>
    <w:rsid w:val="006A7F91"/>
    <w:rsid w:val="006B17E7"/>
    <w:rsid w:val="006B18C7"/>
    <w:rsid w:val="006B1CEA"/>
    <w:rsid w:val="006B6733"/>
    <w:rsid w:val="006B6EA3"/>
    <w:rsid w:val="006C1FA8"/>
    <w:rsid w:val="006C21F0"/>
    <w:rsid w:val="006C7526"/>
    <w:rsid w:val="006D0DD7"/>
    <w:rsid w:val="006D45AB"/>
    <w:rsid w:val="006D52FE"/>
    <w:rsid w:val="006D62C1"/>
    <w:rsid w:val="006D6A9E"/>
    <w:rsid w:val="006E48C7"/>
    <w:rsid w:val="006E75D9"/>
    <w:rsid w:val="006F0157"/>
    <w:rsid w:val="006F23ED"/>
    <w:rsid w:val="006F77F8"/>
    <w:rsid w:val="00701ECE"/>
    <w:rsid w:val="007067E8"/>
    <w:rsid w:val="00706A47"/>
    <w:rsid w:val="0070718D"/>
    <w:rsid w:val="007143AC"/>
    <w:rsid w:val="0071560B"/>
    <w:rsid w:val="00715964"/>
    <w:rsid w:val="0071684C"/>
    <w:rsid w:val="007179BF"/>
    <w:rsid w:val="00721D66"/>
    <w:rsid w:val="00724235"/>
    <w:rsid w:val="007341FC"/>
    <w:rsid w:val="00734BAC"/>
    <w:rsid w:val="007370D8"/>
    <w:rsid w:val="007418AF"/>
    <w:rsid w:val="0074263A"/>
    <w:rsid w:val="007435C0"/>
    <w:rsid w:val="007605F9"/>
    <w:rsid w:val="007643D5"/>
    <w:rsid w:val="00783251"/>
    <w:rsid w:val="00785B53"/>
    <w:rsid w:val="0078714B"/>
    <w:rsid w:val="00794E51"/>
    <w:rsid w:val="007964C7"/>
    <w:rsid w:val="007A3612"/>
    <w:rsid w:val="007A6EF0"/>
    <w:rsid w:val="007C0B50"/>
    <w:rsid w:val="007C5E25"/>
    <w:rsid w:val="007D5140"/>
    <w:rsid w:val="007D540C"/>
    <w:rsid w:val="007D6E8E"/>
    <w:rsid w:val="007D76FD"/>
    <w:rsid w:val="007F40F9"/>
    <w:rsid w:val="007F4E53"/>
    <w:rsid w:val="007F7375"/>
    <w:rsid w:val="008008AF"/>
    <w:rsid w:val="008015D7"/>
    <w:rsid w:val="00806F53"/>
    <w:rsid w:val="00812DED"/>
    <w:rsid w:val="00815C2A"/>
    <w:rsid w:val="008206AE"/>
    <w:rsid w:val="008247FB"/>
    <w:rsid w:val="00826D31"/>
    <w:rsid w:val="00832349"/>
    <w:rsid w:val="008370FE"/>
    <w:rsid w:val="00840FB8"/>
    <w:rsid w:val="00845DF7"/>
    <w:rsid w:val="00850BE3"/>
    <w:rsid w:val="008524AF"/>
    <w:rsid w:val="00852A60"/>
    <w:rsid w:val="00856403"/>
    <w:rsid w:val="0086284C"/>
    <w:rsid w:val="00862B16"/>
    <w:rsid w:val="00870F0E"/>
    <w:rsid w:val="00873F42"/>
    <w:rsid w:val="008930AF"/>
    <w:rsid w:val="00896884"/>
    <w:rsid w:val="008A1F5A"/>
    <w:rsid w:val="008B1E25"/>
    <w:rsid w:val="008B377F"/>
    <w:rsid w:val="008B72BE"/>
    <w:rsid w:val="008C14D2"/>
    <w:rsid w:val="008C635F"/>
    <w:rsid w:val="008D13D4"/>
    <w:rsid w:val="008D1833"/>
    <w:rsid w:val="008D3981"/>
    <w:rsid w:val="008E009B"/>
    <w:rsid w:val="008E33DB"/>
    <w:rsid w:val="008E4EF4"/>
    <w:rsid w:val="008F22A6"/>
    <w:rsid w:val="008F2893"/>
    <w:rsid w:val="008F2A12"/>
    <w:rsid w:val="008F5594"/>
    <w:rsid w:val="008F6382"/>
    <w:rsid w:val="008F747E"/>
    <w:rsid w:val="00900E62"/>
    <w:rsid w:val="00902AB8"/>
    <w:rsid w:val="0090315A"/>
    <w:rsid w:val="009032DA"/>
    <w:rsid w:val="00903D39"/>
    <w:rsid w:val="009042EE"/>
    <w:rsid w:val="00915F4A"/>
    <w:rsid w:val="00917700"/>
    <w:rsid w:val="00920BFC"/>
    <w:rsid w:val="00921222"/>
    <w:rsid w:val="00921611"/>
    <w:rsid w:val="009319CE"/>
    <w:rsid w:val="009326D2"/>
    <w:rsid w:val="00933569"/>
    <w:rsid w:val="00933C8B"/>
    <w:rsid w:val="00934794"/>
    <w:rsid w:val="009409AA"/>
    <w:rsid w:val="00941371"/>
    <w:rsid w:val="00941523"/>
    <w:rsid w:val="00942BB8"/>
    <w:rsid w:val="00944EC9"/>
    <w:rsid w:val="00961E45"/>
    <w:rsid w:val="00963AB1"/>
    <w:rsid w:val="00977064"/>
    <w:rsid w:val="009776A3"/>
    <w:rsid w:val="009816FE"/>
    <w:rsid w:val="009851B9"/>
    <w:rsid w:val="00986F98"/>
    <w:rsid w:val="00990D46"/>
    <w:rsid w:val="00991437"/>
    <w:rsid w:val="00993B7F"/>
    <w:rsid w:val="009A038B"/>
    <w:rsid w:val="009A0BE3"/>
    <w:rsid w:val="009A2D1D"/>
    <w:rsid w:val="009A4944"/>
    <w:rsid w:val="009A7CAC"/>
    <w:rsid w:val="009B219B"/>
    <w:rsid w:val="009B4790"/>
    <w:rsid w:val="009B6DAD"/>
    <w:rsid w:val="009B70B4"/>
    <w:rsid w:val="009C106B"/>
    <w:rsid w:val="009D23CD"/>
    <w:rsid w:val="009D4F72"/>
    <w:rsid w:val="009E11F0"/>
    <w:rsid w:val="009E18F7"/>
    <w:rsid w:val="009E4347"/>
    <w:rsid w:val="009F26E5"/>
    <w:rsid w:val="009F2A9D"/>
    <w:rsid w:val="009F3DB6"/>
    <w:rsid w:val="009F512D"/>
    <w:rsid w:val="009F5808"/>
    <w:rsid w:val="00A00E21"/>
    <w:rsid w:val="00A04991"/>
    <w:rsid w:val="00A10500"/>
    <w:rsid w:val="00A11751"/>
    <w:rsid w:val="00A1369C"/>
    <w:rsid w:val="00A13D3F"/>
    <w:rsid w:val="00A14F95"/>
    <w:rsid w:val="00A2712C"/>
    <w:rsid w:val="00A30D44"/>
    <w:rsid w:val="00A3105E"/>
    <w:rsid w:val="00A317AE"/>
    <w:rsid w:val="00A32849"/>
    <w:rsid w:val="00A36054"/>
    <w:rsid w:val="00A37033"/>
    <w:rsid w:val="00A42063"/>
    <w:rsid w:val="00A42926"/>
    <w:rsid w:val="00A44500"/>
    <w:rsid w:val="00A47773"/>
    <w:rsid w:val="00A50940"/>
    <w:rsid w:val="00A60960"/>
    <w:rsid w:val="00A614F5"/>
    <w:rsid w:val="00A635EF"/>
    <w:rsid w:val="00A63BD5"/>
    <w:rsid w:val="00A74137"/>
    <w:rsid w:val="00A747B1"/>
    <w:rsid w:val="00A76807"/>
    <w:rsid w:val="00A76CE5"/>
    <w:rsid w:val="00A82CF9"/>
    <w:rsid w:val="00A8455B"/>
    <w:rsid w:val="00A87CD2"/>
    <w:rsid w:val="00A90D8B"/>
    <w:rsid w:val="00A96C9A"/>
    <w:rsid w:val="00AA0590"/>
    <w:rsid w:val="00AA6E03"/>
    <w:rsid w:val="00AB4716"/>
    <w:rsid w:val="00AB5984"/>
    <w:rsid w:val="00AC10F0"/>
    <w:rsid w:val="00AC2709"/>
    <w:rsid w:val="00AD1F90"/>
    <w:rsid w:val="00AD2EEC"/>
    <w:rsid w:val="00AD6216"/>
    <w:rsid w:val="00AD68AE"/>
    <w:rsid w:val="00AD6C4C"/>
    <w:rsid w:val="00AE440A"/>
    <w:rsid w:val="00AE440E"/>
    <w:rsid w:val="00AF2006"/>
    <w:rsid w:val="00B04622"/>
    <w:rsid w:val="00B07D1D"/>
    <w:rsid w:val="00B160C9"/>
    <w:rsid w:val="00B16198"/>
    <w:rsid w:val="00B254B8"/>
    <w:rsid w:val="00B27085"/>
    <w:rsid w:val="00B3157E"/>
    <w:rsid w:val="00B3230F"/>
    <w:rsid w:val="00B33868"/>
    <w:rsid w:val="00B34BD2"/>
    <w:rsid w:val="00B376D6"/>
    <w:rsid w:val="00B403C9"/>
    <w:rsid w:val="00B524C8"/>
    <w:rsid w:val="00B53301"/>
    <w:rsid w:val="00B5512C"/>
    <w:rsid w:val="00B55D66"/>
    <w:rsid w:val="00B61900"/>
    <w:rsid w:val="00B636DA"/>
    <w:rsid w:val="00B728B4"/>
    <w:rsid w:val="00B72B9F"/>
    <w:rsid w:val="00B74291"/>
    <w:rsid w:val="00B76A21"/>
    <w:rsid w:val="00B7734F"/>
    <w:rsid w:val="00B83C0E"/>
    <w:rsid w:val="00B9344F"/>
    <w:rsid w:val="00B94D9F"/>
    <w:rsid w:val="00B95CED"/>
    <w:rsid w:val="00BA3F1A"/>
    <w:rsid w:val="00BB4760"/>
    <w:rsid w:val="00BB4D89"/>
    <w:rsid w:val="00BB64A5"/>
    <w:rsid w:val="00BB6E18"/>
    <w:rsid w:val="00BC62FA"/>
    <w:rsid w:val="00BC6833"/>
    <w:rsid w:val="00BC758D"/>
    <w:rsid w:val="00BD616F"/>
    <w:rsid w:val="00BE0A90"/>
    <w:rsid w:val="00BE76FE"/>
    <w:rsid w:val="00BF48F2"/>
    <w:rsid w:val="00BF6129"/>
    <w:rsid w:val="00C04940"/>
    <w:rsid w:val="00C122D5"/>
    <w:rsid w:val="00C15A63"/>
    <w:rsid w:val="00C228CA"/>
    <w:rsid w:val="00C22A62"/>
    <w:rsid w:val="00C23F4A"/>
    <w:rsid w:val="00C27DB7"/>
    <w:rsid w:val="00C32183"/>
    <w:rsid w:val="00C3461E"/>
    <w:rsid w:val="00C36FB8"/>
    <w:rsid w:val="00C401BB"/>
    <w:rsid w:val="00C441B8"/>
    <w:rsid w:val="00C466EC"/>
    <w:rsid w:val="00C520A1"/>
    <w:rsid w:val="00C52366"/>
    <w:rsid w:val="00C52580"/>
    <w:rsid w:val="00C53838"/>
    <w:rsid w:val="00C57F45"/>
    <w:rsid w:val="00C60BA0"/>
    <w:rsid w:val="00C60BE6"/>
    <w:rsid w:val="00C713FD"/>
    <w:rsid w:val="00C7439D"/>
    <w:rsid w:val="00C77DDA"/>
    <w:rsid w:val="00C838D8"/>
    <w:rsid w:val="00C84433"/>
    <w:rsid w:val="00C87584"/>
    <w:rsid w:val="00C9339D"/>
    <w:rsid w:val="00CA2829"/>
    <w:rsid w:val="00CA3A8C"/>
    <w:rsid w:val="00CA3F78"/>
    <w:rsid w:val="00CA3FDA"/>
    <w:rsid w:val="00CA59E0"/>
    <w:rsid w:val="00CB2FCC"/>
    <w:rsid w:val="00CB5E48"/>
    <w:rsid w:val="00CB63A8"/>
    <w:rsid w:val="00CC4D37"/>
    <w:rsid w:val="00CD067F"/>
    <w:rsid w:val="00CD7BC9"/>
    <w:rsid w:val="00CE1E10"/>
    <w:rsid w:val="00CE537A"/>
    <w:rsid w:val="00CF1F11"/>
    <w:rsid w:val="00CF332D"/>
    <w:rsid w:val="00CF4EA3"/>
    <w:rsid w:val="00CF5DC9"/>
    <w:rsid w:val="00D00422"/>
    <w:rsid w:val="00D02C87"/>
    <w:rsid w:val="00D0759C"/>
    <w:rsid w:val="00D1752A"/>
    <w:rsid w:val="00D367C7"/>
    <w:rsid w:val="00D36A4B"/>
    <w:rsid w:val="00D45D9A"/>
    <w:rsid w:val="00D464EB"/>
    <w:rsid w:val="00D53C66"/>
    <w:rsid w:val="00D54150"/>
    <w:rsid w:val="00D56AFC"/>
    <w:rsid w:val="00D571E5"/>
    <w:rsid w:val="00D76582"/>
    <w:rsid w:val="00D808D1"/>
    <w:rsid w:val="00D83C02"/>
    <w:rsid w:val="00D83F41"/>
    <w:rsid w:val="00D85DBD"/>
    <w:rsid w:val="00D95801"/>
    <w:rsid w:val="00DA3424"/>
    <w:rsid w:val="00DB0F50"/>
    <w:rsid w:val="00DB2958"/>
    <w:rsid w:val="00DB2F67"/>
    <w:rsid w:val="00DB36BB"/>
    <w:rsid w:val="00DB4BDE"/>
    <w:rsid w:val="00DB70E2"/>
    <w:rsid w:val="00DC0437"/>
    <w:rsid w:val="00DC694E"/>
    <w:rsid w:val="00DD0A3F"/>
    <w:rsid w:val="00DF0C69"/>
    <w:rsid w:val="00DF2645"/>
    <w:rsid w:val="00E100F7"/>
    <w:rsid w:val="00E17CAC"/>
    <w:rsid w:val="00E2042F"/>
    <w:rsid w:val="00E24731"/>
    <w:rsid w:val="00E24F90"/>
    <w:rsid w:val="00E328EE"/>
    <w:rsid w:val="00E35CD3"/>
    <w:rsid w:val="00E35D77"/>
    <w:rsid w:val="00E41338"/>
    <w:rsid w:val="00E448BA"/>
    <w:rsid w:val="00E45EF4"/>
    <w:rsid w:val="00E5438C"/>
    <w:rsid w:val="00E601C7"/>
    <w:rsid w:val="00E62217"/>
    <w:rsid w:val="00E62A67"/>
    <w:rsid w:val="00E66CCB"/>
    <w:rsid w:val="00E6705B"/>
    <w:rsid w:val="00E67B34"/>
    <w:rsid w:val="00E70051"/>
    <w:rsid w:val="00E743BE"/>
    <w:rsid w:val="00E82892"/>
    <w:rsid w:val="00E84C1E"/>
    <w:rsid w:val="00E86701"/>
    <w:rsid w:val="00E965B8"/>
    <w:rsid w:val="00E969C4"/>
    <w:rsid w:val="00E970F0"/>
    <w:rsid w:val="00EA3503"/>
    <w:rsid w:val="00EA6AC1"/>
    <w:rsid w:val="00EA6C51"/>
    <w:rsid w:val="00EB0E1C"/>
    <w:rsid w:val="00EB414D"/>
    <w:rsid w:val="00EC208F"/>
    <w:rsid w:val="00EC2CEA"/>
    <w:rsid w:val="00EC4C5B"/>
    <w:rsid w:val="00EC59AF"/>
    <w:rsid w:val="00ED0EF5"/>
    <w:rsid w:val="00ED3194"/>
    <w:rsid w:val="00ED5040"/>
    <w:rsid w:val="00EE1449"/>
    <w:rsid w:val="00EE14D7"/>
    <w:rsid w:val="00EE39C0"/>
    <w:rsid w:val="00EF1102"/>
    <w:rsid w:val="00EF46BD"/>
    <w:rsid w:val="00F02AA8"/>
    <w:rsid w:val="00F2368E"/>
    <w:rsid w:val="00F26F41"/>
    <w:rsid w:val="00F31492"/>
    <w:rsid w:val="00F3186A"/>
    <w:rsid w:val="00F33FB1"/>
    <w:rsid w:val="00F35DAC"/>
    <w:rsid w:val="00F369ED"/>
    <w:rsid w:val="00F4756C"/>
    <w:rsid w:val="00F51D40"/>
    <w:rsid w:val="00F565A5"/>
    <w:rsid w:val="00F60C72"/>
    <w:rsid w:val="00F63DCC"/>
    <w:rsid w:val="00F657C6"/>
    <w:rsid w:val="00F677FC"/>
    <w:rsid w:val="00F67B7F"/>
    <w:rsid w:val="00F70F42"/>
    <w:rsid w:val="00F736FC"/>
    <w:rsid w:val="00F84B82"/>
    <w:rsid w:val="00F851ED"/>
    <w:rsid w:val="00F8798F"/>
    <w:rsid w:val="00F9536D"/>
    <w:rsid w:val="00FA08D8"/>
    <w:rsid w:val="00FA374C"/>
    <w:rsid w:val="00FB16F3"/>
    <w:rsid w:val="00FC2218"/>
    <w:rsid w:val="00FC59C1"/>
    <w:rsid w:val="00FD0886"/>
    <w:rsid w:val="00FD14DB"/>
    <w:rsid w:val="00FD1A81"/>
    <w:rsid w:val="00FD2866"/>
    <w:rsid w:val="00FD45CB"/>
    <w:rsid w:val="00FD703C"/>
    <w:rsid w:val="00FE1BEB"/>
    <w:rsid w:val="00FE656B"/>
    <w:rsid w:val="00FE6E84"/>
    <w:rsid w:val="00FE756D"/>
    <w:rsid w:val="00FF0DF5"/>
    <w:rsid w:val="00FF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91"/>
    <w:pPr>
      <w:ind w:left="720"/>
      <w:contextualSpacing/>
    </w:pPr>
  </w:style>
  <w:style w:type="paragraph" w:styleId="Header">
    <w:name w:val="header"/>
    <w:basedOn w:val="Normal"/>
    <w:link w:val="HeaderChar"/>
    <w:uiPriority w:val="99"/>
    <w:semiHidden/>
    <w:unhideWhenUsed/>
    <w:rsid w:val="002A6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E84"/>
  </w:style>
  <w:style w:type="paragraph" w:styleId="Footer">
    <w:name w:val="footer"/>
    <w:basedOn w:val="Normal"/>
    <w:link w:val="FooterChar"/>
    <w:uiPriority w:val="99"/>
    <w:unhideWhenUsed/>
    <w:rsid w:val="002A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84"/>
  </w:style>
  <w:style w:type="paragraph" w:styleId="NormalWeb">
    <w:name w:val="Normal (Web)"/>
    <w:basedOn w:val="Normal"/>
    <w:uiPriority w:val="99"/>
    <w:semiHidden/>
    <w:unhideWhenUsed/>
    <w:rsid w:val="00F02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3824616">
      <w:bodyDiv w:val="1"/>
      <w:marLeft w:val="0"/>
      <w:marRight w:val="0"/>
      <w:marTop w:val="0"/>
      <w:marBottom w:val="0"/>
      <w:divBdr>
        <w:top w:val="none" w:sz="0" w:space="0" w:color="auto"/>
        <w:left w:val="none" w:sz="0" w:space="0" w:color="auto"/>
        <w:bottom w:val="none" w:sz="0" w:space="0" w:color="auto"/>
        <w:right w:val="none" w:sz="0" w:space="0" w:color="auto"/>
      </w:divBdr>
    </w:div>
    <w:div w:id="1907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3D3BA-A5F2-4404-9E8C-9186A3F7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4744</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jmugenyi</dc:creator>
  <cp:lastModifiedBy>jmugala</cp:lastModifiedBy>
  <cp:revision>2</cp:revision>
  <cp:lastPrinted>2014-08-18T05:46:00Z</cp:lastPrinted>
  <dcterms:created xsi:type="dcterms:W3CDTF">2014-08-18T13:09:00Z</dcterms:created>
  <dcterms:modified xsi:type="dcterms:W3CDTF">2014-08-18T13:09:00Z</dcterms:modified>
</cp:coreProperties>
</file>