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9C75" w14:textId="2877A02A" w:rsidR="00372B85" w:rsidRDefault="008B41C0" w:rsidP="00344296">
      <w:pPr>
        <w:spacing w:after="0" w:line="360" w:lineRule="auto"/>
        <w:jc w:val="center"/>
        <w:rPr>
          <w:rFonts w:ascii="Arial" w:hAnsi="Arial" w:cs="Arial"/>
          <w:b/>
          <w:sz w:val="24"/>
          <w:szCs w:val="24"/>
          <w:u w:val="single"/>
        </w:rPr>
      </w:pPr>
      <w:r w:rsidRPr="00344296">
        <w:rPr>
          <w:rFonts w:ascii="Arial" w:hAnsi="Arial" w:cs="Arial"/>
          <w:b/>
          <w:sz w:val="24"/>
          <w:szCs w:val="24"/>
        </w:rPr>
        <w:t xml:space="preserve"> </w:t>
      </w:r>
      <w:r w:rsidR="00372B85" w:rsidRPr="0004020E">
        <w:rPr>
          <w:rFonts w:ascii="Arial" w:hAnsi="Arial" w:cs="Arial"/>
          <w:b/>
          <w:sz w:val="24"/>
          <w:szCs w:val="24"/>
          <w:u w:val="single"/>
        </w:rPr>
        <w:t>THE REPUBLIC OF UGANDA</w:t>
      </w:r>
      <w:r w:rsidR="00372B85" w:rsidRPr="0004020E">
        <w:rPr>
          <w:rFonts w:ascii="Arial" w:hAnsi="Arial" w:cs="Arial"/>
          <w:b/>
          <w:sz w:val="24"/>
          <w:szCs w:val="24"/>
          <w:u w:val="single"/>
        </w:rPr>
        <w:br/>
        <w:t>IN THE TAX APPEALS TRIBUNAL</w:t>
      </w:r>
      <w:r w:rsidR="002B1DAD">
        <w:rPr>
          <w:rFonts w:ascii="Arial" w:hAnsi="Arial" w:cs="Arial"/>
          <w:b/>
          <w:sz w:val="24"/>
          <w:szCs w:val="24"/>
          <w:u w:val="single"/>
        </w:rPr>
        <w:t xml:space="preserve"> OF UGANDA</w:t>
      </w:r>
      <w:r w:rsidR="00372B85" w:rsidRPr="0004020E">
        <w:rPr>
          <w:rFonts w:ascii="Arial" w:hAnsi="Arial" w:cs="Arial"/>
          <w:b/>
          <w:sz w:val="24"/>
          <w:szCs w:val="24"/>
          <w:u w:val="single"/>
        </w:rPr>
        <w:t xml:space="preserve"> AT KAMPALA</w:t>
      </w:r>
      <w:r w:rsidR="00372B85" w:rsidRPr="0004020E">
        <w:rPr>
          <w:rFonts w:ascii="Arial" w:hAnsi="Arial" w:cs="Arial"/>
          <w:b/>
          <w:sz w:val="24"/>
          <w:szCs w:val="24"/>
          <w:u w:val="single"/>
        </w:rPr>
        <w:br/>
      </w:r>
      <w:r w:rsidR="00032326" w:rsidRPr="0004020E">
        <w:rPr>
          <w:rFonts w:ascii="Arial" w:hAnsi="Arial" w:cs="Arial"/>
          <w:b/>
          <w:sz w:val="24"/>
          <w:szCs w:val="24"/>
          <w:u w:val="single"/>
        </w:rPr>
        <w:t xml:space="preserve">MISCELLANEOUS </w:t>
      </w:r>
      <w:r w:rsidR="00372B85" w:rsidRPr="0004020E">
        <w:rPr>
          <w:rFonts w:ascii="Arial" w:hAnsi="Arial" w:cs="Arial"/>
          <w:b/>
          <w:sz w:val="24"/>
          <w:szCs w:val="24"/>
          <w:u w:val="single"/>
        </w:rPr>
        <w:t xml:space="preserve">APPLICATION </w:t>
      </w:r>
      <w:r w:rsidR="002B1DAD">
        <w:rPr>
          <w:rFonts w:ascii="Arial" w:hAnsi="Arial" w:cs="Arial"/>
          <w:b/>
          <w:sz w:val="24"/>
          <w:szCs w:val="24"/>
          <w:u w:val="single"/>
        </w:rPr>
        <w:t xml:space="preserve">NO. </w:t>
      </w:r>
      <w:r w:rsidR="00443DA0" w:rsidRPr="0004020E">
        <w:rPr>
          <w:rFonts w:ascii="Arial" w:hAnsi="Arial" w:cs="Arial"/>
          <w:b/>
          <w:sz w:val="24"/>
          <w:szCs w:val="24"/>
          <w:u w:val="single"/>
        </w:rPr>
        <w:t>197</w:t>
      </w:r>
      <w:r w:rsidR="00372B85" w:rsidRPr="0004020E">
        <w:rPr>
          <w:rFonts w:ascii="Arial" w:hAnsi="Arial" w:cs="Arial"/>
          <w:b/>
          <w:sz w:val="24"/>
          <w:szCs w:val="24"/>
          <w:u w:val="single"/>
        </w:rPr>
        <w:t xml:space="preserve"> OF 202</w:t>
      </w:r>
      <w:r w:rsidR="00443DA0" w:rsidRPr="0004020E">
        <w:rPr>
          <w:rFonts w:ascii="Arial" w:hAnsi="Arial" w:cs="Arial"/>
          <w:b/>
          <w:sz w:val="24"/>
          <w:szCs w:val="24"/>
          <w:u w:val="single"/>
        </w:rPr>
        <w:t>2</w:t>
      </w:r>
    </w:p>
    <w:p w14:paraId="1235D97F" w14:textId="77777777" w:rsidR="0004020E" w:rsidRPr="0004020E" w:rsidRDefault="0004020E" w:rsidP="00344296">
      <w:pPr>
        <w:spacing w:after="0" w:line="360" w:lineRule="auto"/>
        <w:jc w:val="center"/>
        <w:rPr>
          <w:rFonts w:ascii="Arial" w:hAnsi="Arial" w:cs="Arial"/>
          <w:b/>
          <w:sz w:val="24"/>
          <w:szCs w:val="24"/>
          <w:u w:val="single"/>
        </w:rPr>
      </w:pPr>
    </w:p>
    <w:p w14:paraId="46D416CF" w14:textId="2AEDB7DB" w:rsidR="00372B85" w:rsidRPr="00344296" w:rsidRDefault="00443DA0" w:rsidP="00344296">
      <w:pPr>
        <w:spacing w:after="0" w:line="360" w:lineRule="auto"/>
        <w:jc w:val="both"/>
        <w:rPr>
          <w:rFonts w:ascii="Arial" w:hAnsi="Arial" w:cs="Arial"/>
          <w:b/>
          <w:sz w:val="24"/>
          <w:szCs w:val="24"/>
        </w:rPr>
      </w:pPr>
      <w:r w:rsidRPr="00344296">
        <w:rPr>
          <w:rFonts w:ascii="Arial" w:hAnsi="Arial" w:cs="Arial"/>
          <w:b/>
          <w:sz w:val="24"/>
          <w:szCs w:val="24"/>
        </w:rPr>
        <w:t>ZARIN PHAMACEUTICALS L</w:t>
      </w:r>
      <w:r w:rsidR="0004020E">
        <w:rPr>
          <w:rFonts w:ascii="Arial" w:hAnsi="Arial" w:cs="Arial"/>
          <w:b/>
          <w:sz w:val="24"/>
          <w:szCs w:val="24"/>
        </w:rPr>
        <w:t>IMI</w:t>
      </w:r>
      <w:r w:rsidRPr="00344296">
        <w:rPr>
          <w:rFonts w:ascii="Arial" w:hAnsi="Arial" w:cs="Arial"/>
          <w:b/>
          <w:sz w:val="24"/>
          <w:szCs w:val="24"/>
        </w:rPr>
        <w:t>T</w:t>
      </w:r>
      <w:r w:rsidR="0004020E">
        <w:rPr>
          <w:rFonts w:ascii="Arial" w:hAnsi="Arial" w:cs="Arial"/>
          <w:b/>
          <w:sz w:val="24"/>
          <w:szCs w:val="24"/>
        </w:rPr>
        <w:t>E</w:t>
      </w:r>
      <w:r w:rsidRPr="00344296">
        <w:rPr>
          <w:rFonts w:ascii="Arial" w:hAnsi="Arial" w:cs="Arial"/>
          <w:b/>
          <w:sz w:val="24"/>
          <w:szCs w:val="24"/>
        </w:rPr>
        <w:t>D</w:t>
      </w:r>
      <w:r w:rsidR="0004020E">
        <w:rPr>
          <w:rFonts w:ascii="Arial" w:hAnsi="Arial" w:cs="Arial"/>
          <w:b/>
          <w:sz w:val="24"/>
          <w:szCs w:val="24"/>
        </w:rPr>
        <w:t xml:space="preserve"> …</w:t>
      </w:r>
      <w:r w:rsidR="00372B85" w:rsidRPr="00344296">
        <w:rPr>
          <w:rFonts w:ascii="Arial" w:hAnsi="Arial" w:cs="Arial"/>
          <w:b/>
          <w:sz w:val="24"/>
          <w:szCs w:val="24"/>
        </w:rPr>
        <w:t>………</w:t>
      </w:r>
      <w:r w:rsidRPr="00344296">
        <w:rPr>
          <w:rFonts w:ascii="Arial" w:hAnsi="Arial" w:cs="Arial"/>
          <w:b/>
          <w:sz w:val="24"/>
          <w:szCs w:val="24"/>
        </w:rPr>
        <w:t>….</w:t>
      </w:r>
      <w:r w:rsidR="00372B85" w:rsidRPr="00344296">
        <w:rPr>
          <w:rFonts w:ascii="Arial" w:hAnsi="Arial" w:cs="Arial"/>
          <w:b/>
          <w:sz w:val="24"/>
          <w:szCs w:val="24"/>
        </w:rPr>
        <w:t>…….….……………….</w:t>
      </w:r>
      <w:r w:rsidR="0004020E">
        <w:rPr>
          <w:rFonts w:ascii="Arial" w:hAnsi="Arial" w:cs="Arial"/>
          <w:b/>
          <w:sz w:val="24"/>
          <w:szCs w:val="24"/>
        </w:rPr>
        <w:t xml:space="preserve"> </w:t>
      </w:r>
      <w:r w:rsidR="00372B85" w:rsidRPr="00344296">
        <w:rPr>
          <w:rFonts w:ascii="Arial" w:hAnsi="Arial" w:cs="Arial"/>
          <w:b/>
          <w:sz w:val="24"/>
          <w:szCs w:val="24"/>
        </w:rPr>
        <w:t>APPLICANT</w:t>
      </w:r>
    </w:p>
    <w:p w14:paraId="517BE907" w14:textId="77777777" w:rsidR="00372B85" w:rsidRPr="00344296" w:rsidRDefault="00372B85" w:rsidP="00344296">
      <w:pPr>
        <w:spacing w:after="0" w:line="360" w:lineRule="auto"/>
        <w:jc w:val="center"/>
        <w:rPr>
          <w:rFonts w:ascii="Arial" w:hAnsi="Arial" w:cs="Arial"/>
          <w:b/>
          <w:sz w:val="24"/>
          <w:szCs w:val="24"/>
        </w:rPr>
      </w:pPr>
      <w:r w:rsidRPr="00344296">
        <w:rPr>
          <w:rFonts w:ascii="Arial" w:hAnsi="Arial" w:cs="Arial"/>
          <w:b/>
          <w:sz w:val="24"/>
          <w:szCs w:val="24"/>
        </w:rPr>
        <w:t>VERSUS</w:t>
      </w:r>
    </w:p>
    <w:p w14:paraId="19A7859D" w14:textId="4BDA26C9" w:rsidR="00372B85" w:rsidRPr="00344296" w:rsidRDefault="00372B85" w:rsidP="00344296">
      <w:pPr>
        <w:spacing w:after="0" w:line="360" w:lineRule="auto"/>
        <w:jc w:val="both"/>
        <w:rPr>
          <w:rFonts w:ascii="Arial" w:hAnsi="Arial" w:cs="Arial"/>
          <w:b/>
          <w:sz w:val="24"/>
          <w:szCs w:val="24"/>
        </w:rPr>
      </w:pPr>
      <w:r w:rsidRPr="00344296">
        <w:rPr>
          <w:rFonts w:ascii="Arial" w:hAnsi="Arial" w:cs="Arial"/>
          <w:b/>
          <w:sz w:val="24"/>
          <w:szCs w:val="24"/>
        </w:rPr>
        <w:t>UGANDA REVENUE AUTHORITY………...................................……</w:t>
      </w:r>
      <w:r w:rsidR="003C7805" w:rsidRPr="00344296">
        <w:rPr>
          <w:rFonts w:ascii="Arial" w:hAnsi="Arial" w:cs="Arial"/>
          <w:b/>
          <w:sz w:val="24"/>
          <w:szCs w:val="24"/>
        </w:rPr>
        <w:t>…. RESPONDENT</w:t>
      </w:r>
    </w:p>
    <w:p w14:paraId="7C68302B" w14:textId="77777777" w:rsidR="0004020E" w:rsidRDefault="0004020E" w:rsidP="00344296">
      <w:pPr>
        <w:spacing w:after="0" w:line="360" w:lineRule="auto"/>
        <w:jc w:val="both"/>
        <w:rPr>
          <w:rFonts w:ascii="Arial" w:hAnsi="Arial" w:cs="Arial"/>
          <w:b/>
          <w:sz w:val="24"/>
          <w:szCs w:val="24"/>
        </w:rPr>
      </w:pPr>
    </w:p>
    <w:p w14:paraId="4ABDAA3B" w14:textId="2BBEF1F5" w:rsidR="00372B85" w:rsidRDefault="0004020E" w:rsidP="00344296">
      <w:pPr>
        <w:spacing w:after="0" w:line="360" w:lineRule="auto"/>
        <w:jc w:val="both"/>
        <w:rPr>
          <w:rFonts w:ascii="Arial" w:hAnsi="Arial" w:cs="Arial"/>
          <w:b/>
          <w:sz w:val="24"/>
          <w:szCs w:val="24"/>
        </w:rPr>
      </w:pPr>
      <w:r w:rsidRPr="00344296">
        <w:rPr>
          <w:rFonts w:ascii="Arial" w:hAnsi="Arial" w:cs="Arial"/>
          <w:b/>
          <w:sz w:val="24"/>
          <w:szCs w:val="24"/>
        </w:rPr>
        <w:t xml:space="preserve">BEFORE: </w:t>
      </w:r>
      <w:bookmarkStart w:id="0" w:name="_Hlk126755051"/>
      <w:r w:rsidRPr="00344296">
        <w:rPr>
          <w:rFonts w:ascii="Arial" w:hAnsi="Arial" w:cs="Arial"/>
          <w:b/>
          <w:sz w:val="24"/>
          <w:szCs w:val="24"/>
        </w:rPr>
        <w:t xml:space="preserve">DR. ASA MUGENYI, DR. STEPHEN </w:t>
      </w:r>
      <w:r w:rsidR="00B37FB6" w:rsidRPr="00344296">
        <w:rPr>
          <w:rFonts w:ascii="Arial" w:hAnsi="Arial" w:cs="Arial"/>
          <w:b/>
          <w:sz w:val="24"/>
          <w:szCs w:val="24"/>
        </w:rPr>
        <w:t>AKABWAY</w:t>
      </w:r>
      <w:r w:rsidR="00B37FB6">
        <w:rPr>
          <w:rFonts w:ascii="Arial" w:hAnsi="Arial" w:cs="Arial"/>
          <w:b/>
          <w:sz w:val="24"/>
          <w:szCs w:val="24"/>
        </w:rPr>
        <w:t>,</w:t>
      </w:r>
      <w:r w:rsidR="00B37FB6" w:rsidRPr="00344296">
        <w:rPr>
          <w:rFonts w:ascii="Arial" w:hAnsi="Arial" w:cs="Arial"/>
          <w:b/>
          <w:sz w:val="24"/>
          <w:szCs w:val="24"/>
        </w:rPr>
        <w:t xml:space="preserve"> </w:t>
      </w:r>
      <w:r w:rsidR="00B37FB6">
        <w:rPr>
          <w:rFonts w:ascii="Arial" w:hAnsi="Arial" w:cs="Arial"/>
          <w:b/>
          <w:sz w:val="24"/>
          <w:szCs w:val="24"/>
        </w:rPr>
        <w:t>MR.</w:t>
      </w:r>
      <w:r w:rsidRPr="00344296">
        <w:rPr>
          <w:rFonts w:ascii="Arial" w:hAnsi="Arial" w:cs="Arial"/>
          <w:b/>
          <w:sz w:val="24"/>
          <w:szCs w:val="24"/>
        </w:rPr>
        <w:t xml:space="preserve"> GEORGE MUGERWA</w:t>
      </w:r>
      <w:bookmarkEnd w:id="0"/>
    </w:p>
    <w:p w14:paraId="7AC2E009" w14:textId="77777777" w:rsidR="0004020E" w:rsidRPr="00344296" w:rsidRDefault="0004020E" w:rsidP="00344296">
      <w:pPr>
        <w:spacing w:after="0" w:line="360" w:lineRule="auto"/>
        <w:jc w:val="both"/>
        <w:rPr>
          <w:rFonts w:ascii="Arial" w:hAnsi="Arial" w:cs="Arial"/>
          <w:b/>
          <w:sz w:val="24"/>
          <w:szCs w:val="24"/>
        </w:rPr>
      </w:pPr>
    </w:p>
    <w:p w14:paraId="1C1ED0FF" w14:textId="2119B979" w:rsidR="00085280" w:rsidRDefault="00372B85" w:rsidP="00344296">
      <w:pPr>
        <w:spacing w:after="0" w:line="360" w:lineRule="auto"/>
        <w:jc w:val="center"/>
        <w:rPr>
          <w:rFonts w:ascii="Arial" w:hAnsi="Arial" w:cs="Arial"/>
          <w:b/>
          <w:sz w:val="24"/>
          <w:szCs w:val="24"/>
          <w:u w:val="single"/>
        </w:rPr>
      </w:pPr>
      <w:r w:rsidRPr="00344296">
        <w:rPr>
          <w:rFonts w:ascii="Arial" w:hAnsi="Arial" w:cs="Arial"/>
          <w:b/>
          <w:sz w:val="24"/>
          <w:szCs w:val="24"/>
          <w:u w:val="single"/>
        </w:rPr>
        <w:t>RULING</w:t>
      </w:r>
    </w:p>
    <w:p w14:paraId="5C65DD6D" w14:textId="64E4585F" w:rsidR="00D6014E" w:rsidRDefault="00367371" w:rsidP="007273FA">
      <w:pPr>
        <w:spacing w:after="0" w:line="360" w:lineRule="auto"/>
        <w:jc w:val="both"/>
        <w:rPr>
          <w:rFonts w:ascii="Arial" w:hAnsi="Arial" w:cs="Arial"/>
          <w:bCs/>
          <w:sz w:val="24"/>
          <w:szCs w:val="24"/>
        </w:rPr>
      </w:pPr>
      <w:r w:rsidRPr="00344296">
        <w:rPr>
          <w:rFonts w:ascii="Arial" w:hAnsi="Arial" w:cs="Arial"/>
          <w:bCs/>
          <w:sz w:val="24"/>
          <w:szCs w:val="24"/>
        </w:rPr>
        <w:t>This application is in respect of an application for extension of time to file an application before the Tax Appeals Tribunal.</w:t>
      </w:r>
    </w:p>
    <w:p w14:paraId="271F2A3A" w14:textId="77777777" w:rsidR="00E512CD" w:rsidRPr="00344296" w:rsidRDefault="00E512CD" w:rsidP="007273FA">
      <w:pPr>
        <w:spacing w:after="0" w:line="360" w:lineRule="auto"/>
        <w:jc w:val="both"/>
        <w:rPr>
          <w:rFonts w:ascii="Arial" w:hAnsi="Arial" w:cs="Arial"/>
          <w:bCs/>
          <w:sz w:val="24"/>
          <w:szCs w:val="24"/>
        </w:rPr>
      </w:pPr>
    </w:p>
    <w:p w14:paraId="16185D04" w14:textId="01DE02C8" w:rsidR="00D6014E"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The respondent issued the applicant </w:t>
      </w:r>
      <w:r w:rsidR="008D1AB8" w:rsidRPr="00344296">
        <w:rPr>
          <w:rFonts w:ascii="Arial" w:hAnsi="Arial" w:cs="Arial"/>
          <w:sz w:val="24"/>
          <w:szCs w:val="24"/>
        </w:rPr>
        <w:t>add</w:t>
      </w:r>
      <w:r w:rsidRPr="00344296">
        <w:rPr>
          <w:rFonts w:ascii="Arial" w:hAnsi="Arial" w:cs="Arial"/>
          <w:sz w:val="24"/>
          <w:szCs w:val="24"/>
        </w:rPr>
        <w:t xml:space="preserve">itional </w:t>
      </w:r>
      <w:r w:rsidR="00392633">
        <w:rPr>
          <w:rFonts w:ascii="Arial" w:hAnsi="Arial" w:cs="Arial"/>
          <w:sz w:val="24"/>
          <w:szCs w:val="24"/>
        </w:rPr>
        <w:t>i</w:t>
      </w:r>
      <w:r w:rsidRPr="00344296">
        <w:rPr>
          <w:rFonts w:ascii="Arial" w:hAnsi="Arial" w:cs="Arial"/>
          <w:sz w:val="24"/>
          <w:szCs w:val="24"/>
        </w:rPr>
        <w:t xml:space="preserve">ncome </w:t>
      </w:r>
      <w:r w:rsidR="00392633">
        <w:rPr>
          <w:rFonts w:ascii="Arial" w:hAnsi="Arial" w:cs="Arial"/>
          <w:sz w:val="24"/>
          <w:szCs w:val="24"/>
        </w:rPr>
        <w:t>t</w:t>
      </w:r>
      <w:r w:rsidRPr="00344296">
        <w:rPr>
          <w:rFonts w:ascii="Arial" w:hAnsi="Arial" w:cs="Arial"/>
          <w:sz w:val="24"/>
          <w:szCs w:val="24"/>
        </w:rPr>
        <w:t>ax assessment</w:t>
      </w:r>
      <w:r w:rsidR="001C4633">
        <w:rPr>
          <w:rFonts w:ascii="Arial" w:hAnsi="Arial" w:cs="Arial"/>
          <w:sz w:val="24"/>
          <w:szCs w:val="24"/>
        </w:rPr>
        <w:t>s totaling to</w:t>
      </w:r>
      <w:r w:rsidRPr="00344296">
        <w:rPr>
          <w:rFonts w:ascii="Arial" w:hAnsi="Arial" w:cs="Arial"/>
          <w:sz w:val="24"/>
          <w:szCs w:val="24"/>
        </w:rPr>
        <w:t xml:space="preserve"> Shs.</w:t>
      </w:r>
      <w:r w:rsidR="001C4633">
        <w:rPr>
          <w:rFonts w:ascii="Arial" w:hAnsi="Arial" w:cs="Arial"/>
          <w:sz w:val="24"/>
          <w:szCs w:val="24"/>
        </w:rPr>
        <w:t xml:space="preserve"> </w:t>
      </w:r>
      <w:r w:rsidRPr="00344296">
        <w:rPr>
          <w:rFonts w:ascii="Arial" w:hAnsi="Arial" w:cs="Arial"/>
          <w:sz w:val="24"/>
          <w:szCs w:val="24"/>
        </w:rPr>
        <w:t xml:space="preserve">128,588,111 for </w:t>
      </w:r>
      <w:r w:rsidR="001C4633">
        <w:rPr>
          <w:rFonts w:ascii="Arial" w:hAnsi="Arial" w:cs="Arial"/>
          <w:sz w:val="24"/>
          <w:szCs w:val="24"/>
        </w:rPr>
        <w:t xml:space="preserve">financial year </w:t>
      </w:r>
      <w:r w:rsidR="00392633">
        <w:rPr>
          <w:rFonts w:ascii="Arial" w:hAnsi="Arial" w:cs="Arial"/>
          <w:sz w:val="24"/>
          <w:szCs w:val="24"/>
        </w:rPr>
        <w:t>2017</w:t>
      </w:r>
      <w:r w:rsidRPr="00344296">
        <w:rPr>
          <w:rFonts w:ascii="Arial" w:hAnsi="Arial" w:cs="Arial"/>
          <w:sz w:val="24"/>
          <w:szCs w:val="24"/>
        </w:rPr>
        <w:t>. On 14</w:t>
      </w:r>
      <w:r w:rsidRPr="00344296">
        <w:rPr>
          <w:rFonts w:ascii="Arial" w:hAnsi="Arial" w:cs="Arial"/>
          <w:sz w:val="24"/>
          <w:szCs w:val="24"/>
          <w:vertAlign w:val="superscript"/>
        </w:rPr>
        <w:t>th</w:t>
      </w:r>
      <w:r w:rsidRPr="00344296">
        <w:rPr>
          <w:rFonts w:ascii="Arial" w:hAnsi="Arial" w:cs="Arial"/>
          <w:sz w:val="24"/>
          <w:szCs w:val="24"/>
        </w:rPr>
        <w:t xml:space="preserve"> November 2018, the applicant objected and on 31</w:t>
      </w:r>
      <w:r w:rsidRPr="00344296">
        <w:rPr>
          <w:rFonts w:ascii="Arial" w:hAnsi="Arial" w:cs="Arial"/>
          <w:sz w:val="24"/>
          <w:szCs w:val="24"/>
          <w:vertAlign w:val="superscript"/>
        </w:rPr>
        <w:t>st</w:t>
      </w:r>
      <w:r w:rsidRPr="00344296">
        <w:rPr>
          <w:rFonts w:ascii="Arial" w:hAnsi="Arial" w:cs="Arial"/>
          <w:sz w:val="24"/>
          <w:szCs w:val="24"/>
        </w:rPr>
        <w:t xml:space="preserve"> January 2019 the respondent </w:t>
      </w:r>
      <w:r w:rsidR="001C4633">
        <w:rPr>
          <w:rFonts w:ascii="Arial" w:hAnsi="Arial" w:cs="Arial"/>
          <w:sz w:val="24"/>
          <w:szCs w:val="24"/>
        </w:rPr>
        <w:t xml:space="preserve">purportedly </w:t>
      </w:r>
      <w:r w:rsidRPr="00344296">
        <w:rPr>
          <w:rFonts w:ascii="Arial" w:hAnsi="Arial" w:cs="Arial"/>
          <w:sz w:val="24"/>
          <w:szCs w:val="24"/>
        </w:rPr>
        <w:t xml:space="preserve">issued </w:t>
      </w:r>
      <w:r w:rsidR="001C4633">
        <w:rPr>
          <w:rFonts w:ascii="Arial" w:hAnsi="Arial" w:cs="Arial"/>
          <w:sz w:val="24"/>
          <w:szCs w:val="24"/>
        </w:rPr>
        <w:t>an</w:t>
      </w:r>
      <w:r w:rsidRPr="00344296">
        <w:rPr>
          <w:rFonts w:ascii="Arial" w:hAnsi="Arial" w:cs="Arial"/>
          <w:sz w:val="24"/>
          <w:szCs w:val="24"/>
        </w:rPr>
        <w:t xml:space="preserve"> objection decision</w:t>
      </w:r>
      <w:r w:rsidR="001C4633">
        <w:rPr>
          <w:rFonts w:ascii="Arial" w:hAnsi="Arial" w:cs="Arial"/>
          <w:sz w:val="24"/>
          <w:szCs w:val="24"/>
        </w:rPr>
        <w:t xml:space="preserve"> on it</w:t>
      </w:r>
      <w:r w:rsidRPr="00344296">
        <w:rPr>
          <w:rFonts w:ascii="Arial" w:hAnsi="Arial" w:cs="Arial"/>
          <w:sz w:val="24"/>
          <w:szCs w:val="24"/>
        </w:rPr>
        <w:t>.</w:t>
      </w:r>
      <w:r w:rsidR="001C4633">
        <w:rPr>
          <w:rFonts w:ascii="Arial" w:hAnsi="Arial" w:cs="Arial"/>
          <w:sz w:val="24"/>
          <w:szCs w:val="24"/>
        </w:rPr>
        <w:t xml:space="preserve"> The applicant did not file an application before the Tribunal within the prescribed time from the purported service of the objection decision. </w:t>
      </w:r>
      <w:r w:rsidRPr="00344296">
        <w:rPr>
          <w:rFonts w:ascii="Arial" w:hAnsi="Arial" w:cs="Arial"/>
          <w:sz w:val="24"/>
          <w:szCs w:val="24"/>
        </w:rPr>
        <w:t>On 22</w:t>
      </w:r>
      <w:r w:rsidRPr="00344296">
        <w:rPr>
          <w:rFonts w:ascii="Arial" w:hAnsi="Arial" w:cs="Arial"/>
          <w:sz w:val="24"/>
          <w:szCs w:val="24"/>
          <w:vertAlign w:val="superscript"/>
        </w:rPr>
        <w:t>nd</w:t>
      </w:r>
      <w:r w:rsidR="008D1AB8" w:rsidRPr="00344296">
        <w:rPr>
          <w:rFonts w:ascii="Arial" w:hAnsi="Arial" w:cs="Arial"/>
          <w:sz w:val="24"/>
          <w:szCs w:val="24"/>
        </w:rPr>
        <w:t xml:space="preserve"> </w:t>
      </w:r>
      <w:r w:rsidRPr="00344296">
        <w:rPr>
          <w:rFonts w:ascii="Arial" w:hAnsi="Arial" w:cs="Arial"/>
          <w:sz w:val="24"/>
          <w:szCs w:val="24"/>
        </w:rPr>
        <w:t xml:space="preserve">December 2022, </w:t>
      </w:r>
      <w:r w:rsidR="00CC1F47">
        <w:rPr>
          <w:rFonts w:ascii="Arial" w:hAnsi="Arial" w:cs="Arial"/>
          <w:sz w:val="24"/>
          <w:szCs w:val="24"/>
        </w:rPr>
        <w:t>th</w:t>
      </w:r>
      <w:r w:rsidRPr="00344296">
        <w:rPr>
          <w:rFonts w:ascii="Arial" w:hAnsi="Arial" w:cs="Arial"/>
          <w:sz w:val="24"/>
          <w:szCs w:val="24"/>
        </w:rPr>
        <w:t xml:space="preserve">e </w:t>
      </w:r>
      <w:r w:rsidR="008D1AB8" w:rsidRPr="00344296">
        <w:rPr>
          <w:rFonts w:ascii="Arial" w:hAnsi="Arial" w:cs="Arial"/>
          <w:sz w:val="24"/>
          <w:szCs w:val="24"/>
        </w:rPr>
        <w:t>applica</w:t>
      </w:r>
      <w:r w:rsidRPr="00344296">
        <w:rPr>
          <w:rFonts w:ascii="Arial" w:hAnsi="Arial" w:cs="Arial"/>
          <w:sz w:val="24"/>
          <w:szCs w:val="24"/>
        </w:rPr>
        <w:t xml:space="preserve">nt lodged this application for extension of time within which to file an application before the tribunal. </w:t>
      </w:r>
    </w:p>
    <w:p w14:paraId="304722DE" w14:textId="77777777" w:rsidR="00E512CD" w:rsidRDefault="00E512CD" w:rsidP="007273FA">
      <w:pPr>
        <w:spacing w:after="0" w:line="360" w:lineRule="auto"/>
        <w:jc w:val="both"/>
        <w:rPr>
          <w:rFonts w:ascii="Arial" w:hAnsi="Arial" w:cs="Arial"/>
          <w:b/>
          <w:bCs/>
          <w:sz w:val="24"/>
          <w:szCs w:val="24"/>
        </w:rPr>
      </w:pPr>
    </w:p>
    <w:p w14:paraId="3FB51FAB" w14:textId="71A3B441" w:rsidR="00D6014E" w:rsidRPr="00870CD7" w:rsidRDefault="0022114E" w:rsidP="007273FA">
      <w:pPr>
        <w:spacing w:after="0" w:line="360" w:lineRule="auto"/>
        <w:jc w:val="both"/>
        <w:rPr>
          <w:rFonts w:ascii="Arial" w:hAnsi="Arial" w:cs="Arial"/>
          <w:sz w:val="24"/>
          <w:szCs w:val="24"/>
        </w:rPr>
      </w:pPr>
      <w:r w:rsidRPr="00870CD7">
        <w:rPr>
          <w:rFonts w:ascii="Arial" w:hAnsi="Arial" w:cs="Arial"/>
          <w:sz w:val="24"/>
          <w:szCs w:val="24"/>
        </w:rPr>
        <w:t>Issues</w:t>
      </w:r>
      <w:r w:rsidR="00D6014E" w:rsidRPr="00870CD7">
        <w:rPr>
          <w:rFonts w:ascii="Arial" w:hAnsi="Arial" w:cs="Arial"/>
          <w:sz w:val="24"/>
          <w:szCs w:val="24"/>
        </w:rPr>
        <w:t xml:space="preserve"> </w:t>
      </w:r>
    </w:p>
    <w:p w14:paraId="228CCC53" w14:textId="581E400F" w:rsidR="00D6014E"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a) Whether the </w:t>
      </w:r>
      <w:r w:rsidR="00F55CD7" w:rsidRPr="00344296">
        <w:rPr>
          <w:rFonts w:ascii="Arial" w:hAnsi="Arial" w:cs="Arial"/>
          <w:sz w:val="24"/>
          <w:szCs w:val="24"/>
        </w:rPr>
        <w:t>ap</w:t>
      </w:r>
      <w:r w:rsidRPr="00344296">
        <w:rPr>
          <w:rFonts w:ascii="Arial" w:hAnsi="Arial" w:cs="Arial"/>
          <w:sz w:val="24"/>
          <w:szCs w:val="24"/>
        </w:rPr>
        <w:t xml:space="preserve">plication discloses sufficient grounds for extension of time? </w:t>
      </w:r>
    </w:p>
    <w:p w14:paraId="0E874088" w14:textId="77777777" w:rsidR="00D6014E"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b) What remedies are available for the parties? </w:t>
      </w:r>
    </w:p>
    <w:p w14:paraId="19711150" w14:textId="77777777" w:rsidR="00E512CD" w:rsidRDefault="00E512CD" w:rsidP="007273FA">
      <w:pPr>
        <w:spacing w:after="0" w:line="360" w:lineRule="auto"/>
        <w:jc w:val="both"/>
        <w:rPr>
          <w:rFonts w:ascii="Arial" w:hAnsi="Arial" w:cs="Arial"/>
          <w:sz w:val="24"/>
          <w:szCs w:val="24"/>
        </w:rPr>
      </w:pPr>
    </w:p>
    <w:p w14:paraId="1373862F" w14:textId="74C6C6CB" w:rsidR="00B619EA" w:rsidRDefault="00B619EA" w:rsidP="007273FA">
      <w:pPr>
        <w:spacing w:after="0" w:line="360" w:lineRule="auto"/>
        <w:jc w:val="both"/>
        <w:rPr>
          <w:rFonts w:ascii="Arial" w:hAnsi="Arial" w:cs="Arial"/>
          <w:sz w:val="24"/>
          <w:szCs w:val="24"/>
        </w:rPr>
      </w:pPr>
      <w:r w:rsidRPr="00344296">
        <w:rPr>
          <w:rFonts w:ascii="Arial" w:hAnsi="Arial" w:cs="Arial"/>
          <w:sz w:val="24"/>
          <w:szCs w:val="24"/>
        </w:rPr>
        <w:t xml:space="preserve">The applicant was represented by </w:t>
      </w:r>
      <w:r w:rsidR="00870CD7" w:rsidRPr="00344296">
        <w:rPr>
          <w:rFonts w:ascii="Arial" w:hAnsi="Arial" w:cs="Arial"/>
          <w:sz w:val="24"/>
          <w:szCs w:val="24"/>
        </w:rPr>
        <w:t>M</w:t>
      </w:r>
      <w:r w:rsidR="00870CD7">
        <w:rPr>
          <w:rFonts w:ascii="Arial" w:hAnsi="Arial" w:cs="Arial"/>
          <w:sz w:val="24"/>
          <w:szCs w:val="24"/>
        </w:rPr>
        <w:t>r.</w:t>
      </w:r>
      <w:r w:rsidRPr="00344296">
        <w:rPr>
          <w:rFonts w:ascii="Arial" w:hAnsi="Arial" w:cs="Arial"/>
          <w:sz w:val="24"/>
          <w:szCs w:val="24"/>
        </w:rPr>
        <w:t xml:space="preserve"> </w:t>
      </w:r>
      <w:r w:rsidR="00C0512E">
        <w:rPr>
          <w:rFonts w:ascii="Arial" w:hAnsi="Arial" w:cs="Arial"/>
          <w:sz w:val="24"/>
          <w:szCs w:val="24"/>
        </w:rPr>
        <w:t>Sydney Ojwee</w:t>
      </w:r>
      <w:r w:rsidRPr="00344296">
        <w:rPr>
          <w:rFonts w:ascii="Arial" w:hAnsi="Arial" w:cs="Arial"/>
          <w:sz w:val="24"/>
          <w:szCs w:val="24"/>
        </w:rPr>
        <w:t xml:space="preserve"> while the respondent by Mr. Rodney Amanya Mishambi.</w:t>
      </w:r>
    </w:p>
    <w:p w14:paraId="3AA5A7A1" w14:textId="77777777" w:rsidR="00E512CD" w:rsidRPr="00344296" w:rsidRDefault="00E512CD" w:rsidP="007273FA">
      <w:pPr>
        <w:spacing w:after="0" w:line="360" w:lineRule="auto"/>
        <w:jc w:val="both"/>
        <w:rPr>
          <w:rFonts w:ascii="Arial" w:hAnsi="Arial" w:cs="Arial"/>
          <w:sz w:val="24"/>
          <w:szCs w:val="24"/>
        </w:rPr>
      </w:pPr>
    </w:p>
    <w:p w14:paraId="5668A4AE" w14:textId="680D4E97" w:rsidR="00D25F3F" w:rsidRDefault="009C5A19" w:rsidP="007273FA">
      <w:pPr>
        <w:spacing w:after="0" w:line="360" w:lineRule="auto"/>
        <w:jc w:val="both"/>
        <w:rPr>
          <w:rFonts w:ascii="Arial" w:hAnsi="Arial" w:cs="Arial"/>
          <w:sz w:val="24"/>
          <w:szCs w:val="24"/>
        </w:rPr>
      </w:pPr>
      <w:r w:rsidRPr="00344296">
        <w:rPr>
          <w:rFonts w:ascii="Arial" w:hAnsi="Arial" w:cs="Arial"/>
          <w:sz w:val="24"/>
          <w:szCs w:val="24"/>
        </w:rPr>
        <w:t xml:space="preserve">The applicant filed this application </w:t>
      </w:r>
      <w:r w:rsidR="00CC1F47">
        <w:rPr>
          <w:rFonts w:ascii="Arial" w:hAnsi="Arial" w:cs="Arial"/>
          <w:sz w:val="24"/>
          <w:szCs w:val="24"/>
        </w:rPr>
        <w:t>under</w:t>
      </w:r>
      <w:r w:rsidRPr="00344296">
        <w:rPr>
          <w:rFonts w:ascii="Arial" w:hAnsi="Arial" w:cs="Arial"/>
          <w:sz w:val="24"/>
          <w:szCs w:val="24"/>
        </w:rPr>
        <w:t xml:space="preserve"> O</w:t>
      </w:r>
      <w:r w:rsidR="001C4633">
        <w:rPr>
          <w:rFonts w:ascii="Arial" w:hAnsi="Arial" w:cs="Arial"/>
          <w:sz w:val="24"/>
          <w:szCs w:val="24"/>
        </w:rPr>
        <w:t>rder</w:t>
      </w:r>
      <w:r w:rsidRPr="00344296">
        <w:rPr>
          <w:rFonts w:ascii="Arial" w:hAnsi="Arial" w:cs="Arial"/>
          <w:sz w:val="24"/>
          <w:szCs w:val="24"/>
        </w:rPr>
        <w:t xml:space="preserve"> 52</w:t>
      </w:r>
      <w:r w:rsidR="0026440F" w:rsidRPr="00344296">
        <w:rPr>
          <w:rFonts w:ascii="Arial" w:hAnsi="Arial" w:cs="Arial"/>
          <w:sz w:val="24"/>
          <w:szCs w:val="24"/>
        </w:rPr>
        <w:t xml:space="preserve"> </w:t>
      </w:r>
      <w:r w:rsidRPr="00344296">
        <w:rPr>
          <w:rFonts w:ascii="Arial" w:hAnsi="Arial" w:cs="Arial"/>
          <w:sz w:val="24"/>
          <w:szCs w:val="24"/>
        </w:rPr>
        <w:t xml:space="preserve">of the Civil Procedure Rules. The </w:t>
      </w:r>
      <w:r w:rsidR="00CC1F47" w:rsidRPr="00344296">
        <w:rPr>
          <w:rFonts w:ascii="Arial" w:hAnsi="Arial" w:cs="Arial"/>
          <w:sz w:val="24"/>
          <w:szCs w:val="24"/>
        </w:rPr>
        <w:t>applicant</w:t>
      </w:r>
      <w:r w:rsidR="00CC1F47">
        <w:rPr>
          <w:rFonts w:ascii="Arial" w:hAnsi="Arial" w:cs="Arial"/>
          <w:sz w:val="24"/>
          <w:szCs w:val="24"/>
        </w:rPr>
        <w:t>’s</w:t>
      </w:r>
      <w:r w:rsidR="00CC1F47" w:rsidRPr="00344296">
        <w:rPr>
          <w:rFonts w:ascii="Arial" w:hAnsi="Arial" w:cs="Arial"/>
          <w:sz w:val="24"/>
          <w:szCs w:val="24"/>
        </w:rPr>
        <w:t xml:space="preserve"> submissions</w:t>
      </w:r>
      <w:r w:rsidR="00CC1F47">
        <w:rPr>
          <w:rFonts w:ascii="Arial" w:hAnsi="Arial" w:cs="Arial"/>
          <w:sz w:val="24"/>
          <w:szCs w:val="24"/>
        </w:rPr>
        <w:t xml:space="preserve"> </w:t>
      </w:r>
      <w:r w:rsidR="00771099">
        <w:rPr>
          <w:rFonts w:ascii="Arial" w:hAnsi="Arial" w:cs="Arial"/>
          <w:sz w:val="24"/>
          <w:szCs w:val="24"/>
        </w:rPr>
        <w:t>s</w:t>
      </w:r>
      <w:r w:rsidR="00CC1F47">
        <w:rPr>
          <w:rFonts w:ascii="Arial" w:hAnsi="Arial" w:cs="Arial"/>
          <w:sz w:val="24"/>
          <w:szCs w:val="24"/>
        </w:rPr>
        <w:t>howed</w:t>
      </w:r>
      <w:r w:rsidR="0009674A">
        <w:rPr>
          <w:rFonts w:ascii="Arial" w:hAnsi="Arial" w:cs="Arial"/>
          <w:sz w:val="24"/>
          <w:szCs w:val="24"/>
        </w:rPr>
        <w:t xml:space="preserve"> that</w:t>
      </w:r>
      <w:r w:rsidR="00CC1F47">
        <w:rPr>
          <w:rFonts w:ascii="Arial" w:hAnsi="Arial" w:cs="Arial"/>
          <w:sz w:val="24"/>
          <w:szCs w:val="24"/>
        </w:rPr>
        <w:t xml:space="preserve"> </w:t>
      </w:r>
      <w:r w:rsidR="0009674A">
        <w:rPr>
          <w:rFonts w:ascii="Arial" w:hAnsi="Arial" w:cs="Arial"/>
          <w:sz w:val="24"/>
          <w:szCs w:val="24"/>
        </w:rPr>
        <w:t xml:space="preserve">they </w:t>
      </w:r>
      <w:r w:rsidR="00CC1F47">
        <w:rPr>
          <w:rFonts w:ascii="Arial" w:hAnsi="Arial" w:cs="Arial"/>
          <w:sz w:val="24"/>
          <w:szCs w:val="24"/>
        </w:rPr>
        <w:t>were</w:t>
      </w:r>
      <w:r w:rsidR="00771099">
        <w:rPr>
          <w:rFonts w:ascii="Arial" w:hAnsi="Arial" w:cs="Arial"/>
          <w:sz w:val="24"/>
          <w:szCs w:val="24"/>
        </w:rPr>
        <w:t xml:space="preserve"> in respect of </w:t>
      </w:r>
      <w:r w:rsidR="00CE30BE">
        <w:rPr>
          <w:rFonts w:ascii="Arial" w:hAnsi="Arial" w:cs="Arial"/>
          <w:sz w:val="24"/>
          <w:szCs w:val="24"/>
        </w:rPr>
        <w:t>MA</w:t>
      </w:r>
      <w:r w:rsidR="00771099">
        <w:rPr>
          <w:rFonts w:ascii="Arial" w:hAnsi="Arial" w:cs="Arial"/>
          <w:sz w:val="24"/>
          <w:szCs w:val="24"/>
        </w:rPr>
        <w:t xml:space="preserve"> 153</w:t>
      </w:r>
      <w:r w:rsidR="001C4633">
        <w:rPr>
          <w:rFonts w:ascii="Arial" w:hAnsi="Arial" w:cs="Arial"/>
          <w:sz w:val="24"/>
          <w:szCs w:val="24"/>
        </w:rPr>
        <w:t xml:space="preserve"> of 2</w:t>
      </w:r>
      <w:r w:rsidR="00771099">
        <w:rPr>
          <w:rFonts w:ascii="Arial" w:hAnsi="Arial" w:cs="Arial"/>
          <w:sz w:val="24"/>
          <w:szCs w:val="24"/>
        </w:rPr>
        <w:t xml:space="preserve">022 </w:t>
      </w:r>
      <w:r w:rsidR="00771099" w:rsidRPr="00344296">
        <w:rPr>
          <w:rFonts w:ascii="Arial" w:hAnsi="Arial" w:cs="Arial"/>
          <w:sz w:val="24"/>
          <w:szCs w:val="24"/>
        </w:rPr>
        <w:t>Moon</w:t>
      </w:r>
      <w:r w:rsidRPr="00344296">
        <w:rPr>
          <w:rFonts w:ascii="Arial" w:hAnsi="Arial" w:cs="Arial"/>
          <w:sz w:val="24"/>
          <w:szCs w:val="24"/>
        </w:rPr>
        <w:t xml:space="preserve"> </w:t>
      </w:r>
      <w:r w:rsidRPr="00CE30BE">
        <w:rPr>
          <w:rFonts w:ascii="Arial" w:hAnsi="Arial" w:cs="Arial"/>
          <w:i/>
          <w:iCs/>
          <w:sz w:val="24"/>
          <w:szCs w:val="24"/>
        </w:rPr>
        <w:t>Light Buildings Ltd v URA</w:t>
      </w:r>
      <w:r w:rsidRPr="00344296">
        <w:rPr>
          <w:rFonts w:ascii="Arial" w:hAnsi="Arial" w:cs="Arial"/>
          <w:sz w:val="24"/>
          <w:szCs w:val="24"/>
        </w:rPr>
        <w:t xml:space="preserve"> instead of </w:t>
      </w:r>
      <w:r w:rsidR="00CE30BE">
        <w:rPr>
          <w:rFonts w:ascii="Arial" w:hAnsi="Arial" w:cs="Arial"/>
          <w:sz w:val="24"/>
          <w:szCs w:val="24"/>
        </w:rPr>
        <w:t xml:space="preserve">MA 197 of 2023 </w:t>
      </w:r>
      <w:r w:rsidRPr="00CE30BE">
        <w:rPr>
          <w:rFonts w:ascii="Arial" w:hAnsi="Arial" w:cs="Arial"/>
          <w:i/>
          <w:iCs/>
          <w:sz w:val="24"/>
          <w:szCs w:val="24"/>
        </w:rPr>
        <w:t>Zarin Pharmaceuticals Ltd v URA</w:t>
      </w:r>
      <w:r w:rsidR="00CC1F47" w:rsidRPr="00CE30BE">
        <w:rPr>
          <w:rFonts w:ascii="Arial" w:hAnsi="Arial" w:cs="Arial"/>
          <w:i/>
          <w:iCs/>
          <w:sz w:val="24"/>
          <w:szCs w:val="24"/>
        </w:rPr>
        <w:t>.</w:t>
      </w:r>
      <w:r w:rsidR="00F55CD7" w:rsidRPr="00344296">
        <w:rPr>
          <w:rFonts w:ascii="Arial" w:hAnsi="Arial" w:cs="Arial"/>
          <w:sz w:val="24"/>
          <w:szCs w:val="24"/>
        </w:rPr>
        <w:t xml:space="preserve"> </w:t>
      </w:r>
      <w:r w:rsidR="00CC1F47">
        <w:rPr>
          <w:rFonts w:ascii="Arial" w:hAnsi="Arial" w:cs="Arial"/>
          <w:sz w:val="24"/>
          <w:szCs w:val="24"/>
        </w:rPr>
        <w:t>T</w:t>
      </w:r>
      <w:r w:rsidR="00F55CD7" w:rsidRPr="00344296">
        <w:rPr>
          <w:rFonts w:ascii="Arial" w:hAnsi="Arial" w:cs="Arial"/>
          <w:sz w:val="24"/>
          <w:szCs w:val="24"/>
        </w:rPr>
        <w:t xml:space="preserve">he </w:t>
      </w:r>
      <w:r w:rsidR="00CE30BE">
        <w:rPr>
          <w:rFonts w:ascii="Arial" w:hAnsi="Arial" w:cs="Arial"/>
          <w:sz w:val="24"/>
          <w:szCs w:val="24"/>
        </w:rPr>
        <w:lastRenderedPageBreak/>
        <w:t>tax in dispute</w:t>
      </w:r>
      <w:r w:rsidR="00F55CD7" w:rsidRPr="00344296">
        <w:rPr>
          <w:rFonts w:ascii="Arial" w:hAnsi="Arial" w:cs="Arial"/>
          <w:sz w:val="24"/>
          <w:szCs w:val="24"/>
        </w:rPr>
        <w:t xml:space="preserve"> in the submissions filed by the applicant in this case do not match th</w:t>
      </w:r>
      <w:r w:rsidR="00CE30BE">
        <w:rPr>
          <w:rFonts w:ascii="Arial" w:hAnsi="Arial" w:cs="Arial"/>
          <w:sz w:val="24"/>
          <w:szCs w:val="24"/>
        </w:rPr>
        <w:t>at</w:t>
      </w:r>
      <w:r w:rsidR="00F55CD7" w:rsidRPr="00344296">
        <w:rPr>
          <w:rFonts w:ascii="Arial" w:hAnsi="Arial" w:cs="Arial"/>
          <w:sz w:val="24"/>
          <w:szCs w:val="24"/>
        </w:rPr>
        <w:t xml:space="preserve"> in </w:t>
      </w:r>
      <w:r w:rsidR="00CC1F47">
        <w:rPr>
          <w:rFonts w:ascii="Arial" w:hAnsi="Arial" w:cs="Arial"/>
          <w:sz w:val="24"/>
          <w:szCs w:val="24"/>
        </w:rPr>
        <w:t>its</w:t>
      </w:r>
      <w:r w:rsidR="00F55CD7" w:rsidRPr="00344296">
        <w:rPr>
          <w:rFonts w:ascii="Arial" w:hAnsi="Arial" w:cs="Arial"/>
          <w:sz w:val="24"/>
          <w:szCs w:val="24"/>
        </w:rPr>
        <w:t xml:space="preserve"> </w:t>
      </w:r>
      <w:r w:rsidR="00B927EC">
        <w:rPr>
          <w:rFonts w:ascii="Arial" w:hAnsi="Arial" w:cs="Arial"/>
          <w:sz w:val="24"/>
          <w:szCs w:val="24"/>
        </w:rPr>
        <w:t>n</w:t>
      </w:r>
      <w:r w:rsidR="00F55CD7" w:rsidRPr="00344296">
        <w:rPr>
          <w:rFonts w:ascii="Arial" w:hAnsi="Arial" w:cs="Arial"/>
          <w:sz w:val="24"/>
          <w:szCs w:val="24"/>
        </w:rPr>
        <w:t>otice of motion</w:t>
      </w:r>
      <w:r w:rsidRPr="00344296">
        <w:rPr>
          <w:rFonts w:ascii="Arial" w:hAnsi="Arial" w:cs="Arial"/>
          <w:sz w:val="24"/>
          <w:szCs w:val="24"/>
        </w:rPr>
        <w:t xml:space="preserve">. </w:t>
      </w:r>
      <w:r w:rsidR="00CC1F47">
        <w:rPr>
          <w:rFonts w:ascii="Arial" w:hAnsi="Arial" w:cs="Arial"/>
          <w:sz w:val="24"/>
          <w:szCs w:val="24"/>
        </w:rPr>
        <w:t xml:space="preserve">Despite that, </w:t>
      </w:r>
      <w:r w:rsidR="003738C7" w:rsidRPr="00344296">
        <w:rPr>
          <w:rFonts w:ascii="Arial" w:hAnsi="Arial" w:cs="Arial"/>
          <w:sz w:val="24"/>
          <w:szCs w:val="24"/>
        </w:rPr>
        <w:t xml:space="preserve">the applicant served the </w:t>
      </w:r>
      <w:r w:rsidR="009C0EC1" w:rsidRPr="00344296">
        <w:rPr>
          <w:rFonts w:ascii="Arial" w:hAnsi="Arial" w:cs="Arial"/>
          <w:sz w:val="24"/>
          <w:szCs w:val="24"/>
        </w:rPr>
        <w:t>respondent,</w:t>
      </w:r>
      <w:r w:rsidR="003738C7" w:rsidRPr="00344296">
        <w:rPr>
          <w:rFonts w:ascii="Arial" w:hAnsi="Arial" w:cs="Arial"/>
          <w:sz w:val="24"/>
          <w:szCs w:val="24"/>
        </w:rPr>
        <w:t xml:space="preserve"> </w:t>
      </w:r>
      <w:r w:rsidR="00CC1F47">
        <w:rPr>
          <w:rFonts w:ascii="Arial" w:hAnsi="Arial" w:cs="Arial"/>
          <w:sz w:val="24"/>
          <w:szCs w:val="24"/>
        </w:rPr>
        <w:t>and the latter</w:t>
      </w:r>
      <w:r w:rsidRPr="00344296">
        <w:rPr>
          <w:rFonts w:ascii="Arial" w:hAnsi="Arial" w:cs="Arial"/>
          <w:sz w:val="24"/>
          <w:szCs w:val="24"/>
        </w:rPr>
        <w:t xml:space="preserve"> filed</w:t>
      </w:r>
      <w:r w:rsidR="00D25F3F">
        <w:rPr>
          <w:rFonts w:ascii="Arial" w:hAnsi="Arial" w:cs="Arial"/>
          <w:sz w:val="24"/>
          <w:szCs w:val="24"/>
        </w:rPr>
        <w:t xml:space="preserve"> its reply</w:t>
      </w:r>
      <w:r w:rsidRPr="00344296">
        <w:rPr>
          <w:rFonts w:ascii="Arial" w:hAnsi="Arial" w:cs="Arial"/>
          <w:sz w:val="24"/>
          <w:szCs w:val="24"/>
        </w:rPr>
        <w:t>.</w:t>
      </w:r>
      <w:r w:rsidR="00D25F3F">
        <w:rPr>
          <w:rFonts w:ascii="Arial" w:hAnsi="Arial" w:cs="Arial"/>
          <w:sz w:val="24"/>
          <w:szCs w:val="24"/>
        </w:rPr>
        <w:t xml:space="preserve"> The Tribunal will not consider the submissions filed by the applicant as the citation of the application and the parties are different. The Tribunal notes that the applicant filed a rejoinder which brings out clearly the grounds of its application. It will not be prejudiced by the decision </w:t>
      </w:r>
      <w:r w:rsidR="00B927EC">
        <w:rPr>
          <w:rFonts w:ascii="Arial" w:hAnsi="Arial" w:cs="Arial"/>
          <w:sz w:val="24"/>
          <w:szCs w:val="24"/>
        </w:rPr>
        <w:t xml:space="preserve">of the Tribunal to consider the rejoinder instead of the </w:t>
      </w:r>
      <w:r w:rsidR="00D25F3F">
        <w:rPr>
          <w:rFonts w:ascii="Arial" w:hAnsi="Arial" w:cs="Arial"/>
          <w:sz w:val="24"/>
          <w:szCs w:val="24"/>
        </w:rPr>
        <w:t>submissions</w:t>
      </w:r>
      <w:r w:rsidR="00B927EC">
        <w:rPr>
          <w:rFonts w:ascii="Arial" w:hAnsi="Arial" w:cs="Arial"/>
          <w:sz w:val="24"/>
          <w:szCs w:val="24"/>
        </w:rPr>
        <w:t xml:space="preserve"> that were </w:t>
      </w:r>
      <w:r w:rsidR="00D25F3F">
        <w:rPr>
          <w:rFonts w:ascii="Arial" w:hAnsi="Arial" w:cs="Arial"/>
          <w:sz w:val="24"/>
          <w:szCs w:val="24"/>
        </w:rPr>
        <w:t>filed in error.</w:t>
      </w:r>
      <w:r w:rsidRPr="00344296">
        <w:rPr>
          <w:rFonts w:ascii="Arial" w:hAnsi="Arial" w:cs="Arial"/>
          <w:sz w:val="24"/>
          <w:szCs w:val="24"/>
        </w:rPr>
        <w:t xml:space="preserve"> </w:t>
      </w:r>
    </w:p>
    <w:p w14:paraId="34AC00C0" w14:textId="77777777" w:rsidR="00D25F3F" w:rsidRDefault="00D25F3F" w:rsidP="007273FA">
      <w:pPr>
        <w:spacing w:after="0" w:line="360" w:lineRule="auto"/>
        <w:jc w:val="both"/>
        <w:rPr>
          <w:rFonts w:ascii="Arial" w:hAnsi="Arial" w:cs="Arial"/>
          <w:sz w:val="24"/>
          <w:szCs w:val="24"/>
        </w:rPr>
      </w:pPr>
    </w:p>
    <w:p w14:paraId="71BCEBCC" w14:textId="57FE4CEB" w:rsidR="003738C7" w:rsidRDefault="00D25F3F" w:rsidP="007273FA">
      <w:pPr>
        <w:spacing w:after="0" w:line="360" w:lineRule="auto"/>
        <w:jc w:val="both"/>
        <w:rPr>
          <w:rFonts w:ascii="Arial" w:hAnsi="Arial" w:cs="Arial"/>
          <w:sz w:val="24"/>
          <w:szCs w:val="24"/>
        </w:rPr>
      </w:pPr>
      <w:r>
        <w:rPr>
          <w:rFonts w:ascii="Arial" w:hAnsi="Arial" w:cs="Arial"/>
          <w:sz w:val="24"/>
          <w:szCs w:val="24"/>
        </w:rPr>
        <w:t xml:space="preserve">However, the Tribunal will consider </w:t>
      </w:r>
      <w:r w:rsidR="009C5A19" w:rsidRPr="00344296">
        <w:rPr>
          <w:rFonts w:ascii="Arial" w:hAnsi="Arial" w:cs="Arial"/>
          <w:sz w:val="24"/>
          <w:szCs w:val="24"/>
        </w:rPr>
        <w:t xml:space="preserve">the evidence </w:t>
      </w:r>
      <w:r>
        <w:rPr>
          <w:rFonts w:ascii="Arial" w:hAnsi="Arial" w:cs="Arial"/>
          <w:sz w:val="24"/>
          <w:szCs w:val="24"/>
        </w:rPr>
        <w:t xml:space="preserve">in the application </w:t>
      </w:r>
      <w:r w:rsidR="00445B4C">
        <w:rPr>
          <w:rFonts w:ascii="Arial" w:hAnsi="Arial" w:cs="Arial"/>
          <w:sz w:val="24"/>
          <w:szCs w:val="24"/>
        </w:rPr>
        <w:t>i.e.,</w:t>
      </w:r>
      <w:r>
        <w:rPr>
          <w:rFonts w:ascii="Arial" w:hAnsi="Arial" w:cs="Arial"/>
          <w:sz w:val="24"/>
          <w:szCs w:val="24"/>
        </w:rPr>
        <w:t xml:space="preserve"> what stated in the notice of motion and supporting affidavit. A</w:t>
      </w:r>
      <w:r w:rsidR="003738C7" w:rsidRPr="00344296">
        <w:rPr>
          <w:rFonts w:ascii="Arial" w:hAnsi="Arial" w:cs="Arial"/>
          <w:sz w:val="24"/>
          <w:szCs w:val="24"/>
        </w:rPr>
        <w:t xml:space="preserve">ccording to the </w:t>
      </w:r>
      <w:r w:rsidR="0009674A">
        <w:rPr>
          <w:rFonts w:ascii="Arial" w:hAnsi="Arial" w:cs="Arial"/>
          <w:sz w:val="24"/>
          <w:szCs w:val="24"/>
        </w:rPr>
        <w:t>application</w:t>
      </w:r>
      <w:r w:rsidR="003738C7" w:rsidRPr="00344296">
        <w:rPr>
          <w:rFonts w:ascii="Arial" w:hAnsi="Arial" w:cs="Arial"/>
          <w:sz w:val="24"/>
          <w:szCs w:val="24"/>
        </w:rPr>
        <w:t xml:space="preserve">, the respondent issued the applicant with tax assessment </w:t>
      </w:r>
      <w:r w:rsidR="00B927EC">
        <w:rPr>
          <w:rFonts w:ascii="Arial" w:hAnsi="Arial" w:cs="Arial"/>
          <w:sz w:val="24"/>
          <w:szCs w:val="24"/>
        </w:rPr>
        <w:t xml:space="preserve">totaling to </w:t>
      </w:r>
      <w:r w:rsidR="003738C7" w:rsidRPr="00344296">
        <w:rPr>
          <w:rFonts w:ascii="Arial" w:hAnsi="Arial" w:cs="Arial"/>
          <w:sz w:val="24"/>
          <w:szCs w:val="24"/>
        </w:rPr>
        <w:t>Shs.</w:t>
      </w:r>
      <w:r w:rsidR="00B927EC">
        <w:rPr>
          <w:rFonts w:ascii="Arial" w:hAnsi="Arial" w:cs="Arial"/>
          <w:sz w:val="24"/>
          <w:szCs w:val="24"/>
        </w:rPr>
        <w:t xml:space="preserve"> </w:t>
      </w:r>
      <w:r w:rsidR="003738C7" w:rsidRPr="00344296">
        <w:rPr>
          <w:rFonts w:ascii="Arial" w:hAnsi="Arial" w:cs="Arial"/>
          <w:sz w:val="24"/>
          <w:szCs w:val="24"/>
        </w:rPr>
        <w:t>128,588,111</w:t>
      </w:r>
      <w:r w:rsidR="0009674A">
        <w:rPr>
          <w:rFonts w:ascii="Arial" w:hAnsi="Arial" w:cs="Arial"/>
          <w:sz w:val="24"/>
          <w:szCs w:val="24"/>
        </w:rPr>
        <w:t>. O</w:t>
      </w:r>
      <w:r w:rsidR="003738C7" w:rsidRPr="00344296">
        <w:rPr>
          <w:rFonts w:ascii="Arial" w:hAnsi="Arial" w:cs="Arial"/>
          <w:sz w:val="24"/>
          <w:szCs w:val="24"/>
        </w:rPr>
        <w:t>n 31</w:t>
      </w:r>
      <w:r w:rsidR="003738C7" w:rsidRPr="00344296">
        <w:rPr>
          <w:rFonts w:ascii="Arial" w:hAnsi="Arial" w:cs="Arial"/>
          <w:sz w:val="24"/>
          <w:szCs w:val="24"/>
          <w:vertAlign w:val="superscript"/>
        </w:rPr>
        <w:t>st</w:t>
      </w:r>
      <w:r w:rsidR="003738C7" w:rsidRPr="00344296">
        <w:rPr>
          <w:rFonts w:ascii="Arial" w:hAnsi="Arial" w:cs="Arial"/>
          <w:sz w:val="24"/>
          <w:szCs w:val="24"/>
        </w:rPr>
        <w:t xml:space="preserve"> January 2019</w:t>
      </w:r>
      <w:r w:rsidR="0009674A">
        <w:rPr>
          <w:rFonts w:ascii="Arial" w:hAnsi="Arial" w:cs="Arial"/>
          <w:sz w:val="24"/>
          <w:szCs w:val="24"/>
        </w:rPr>
        <w:t>,</w:t>
      </w:r>
      <w:r w:rsidR="003738C7" w:rsidRPr="00344296">
        <w:rPr>
          <w:rFonts w:ascii="Arial" w:hAnsi="Arial" w:cs="Arial"/>
          <w:sz w:val="24"/>
          <w:szCs w:val="24"/>
        </w:rPr>
        <w:t xml:space="preserve"> the respondent issued its objection decision. On 22</w:t>
      </w:r>
      <w:r w:rsidR="003738C7" w:rsidRPr="00344296">
        <w:rPr>
          <w:rFonts w:ascii="Arial" w:hAnsi="Arial" w:cs="Arial"/>
          <w:sz w:val="24"/>
          <w:szCs w:val="24"/>
          <w:vertAlign w:val="superscript"/>
        </w:rPr>
        <w:t>nd</w:t>
      </w:r>
      <w:r w:rsidR="003738C7" w:rsidRPr="00344296">
        <w:rPr>
          <w:rFonts w:ascii="Arial" w:hAnsi="Arial" w:cs="Arial"/>
          <w:sz w:val="24"/>
          <w:szCs w:val="24"/>
        </w:rPr>
        <w:t xml:space="preserve"> December 2022, the applicant lodged this application for extension of time within which to file an application before the tribunal. </w:t>
      </w:r>
      <w:r w:rsidR="00B927EC">
        <w:rPr>
          <w:rFonts w:ascii="Arial" w:hAnsi="Arial" w:cs="Arial"/>
          <w:sz w:val="24"/>
          <w:szCs w:val="24"/>
        </w:rPr>
        <w:t>The applicant contended that the</w:t>
      </w:r>
      <w:r w:rsidR="00D45459" w:rsidRPr="00344296">
        <w:rPr>
          <w:rFonts w:ascii="Arial" w:hAnsi="Arial" w:cs="Arial"/>
          <w:sz w:val="24"/>
          <w:szCs w:val="24"/>
        </w:rPr>
        <w:t xml:space="preserve"> main application had high chances of success and that it was fair and in the interest of justice if this application is granted.</w:t>
      </w:r>
    </w:p>
    <w:p w14:paraId="4B325B62" w14:textId="65E89AC3" w:rsidR="0009674A" w:rsidRDefault="0009674A" w:rsidP="007273FA">
      <w:pPr>
        <w:spacing w:after="0" w:line="360" w:lineRule="auto"/>
        <w:jc w:val="both"/>
        <w:rPr>
          <w:rFonts w:ascii="Arial" w:hAnsi="Arial" w:cs="Arial"/>
          <w:sz w:val="24"/>
          <w:szCs w:val="24"/>
        </w:rPr>
      </w:pPr>
    </w:p>
    <w:p w14:paraId="4102FBE9" w14:textId="29D26FF8" w:rsidR="00A94397" w:rsidRPr="00344296" w:rsidRDefault="00A94397" w:rsidP="007273FA">
      <w:pPr>
        <w:spacing w:after="0" w:line="360" w:lineRule="auto"/>
        <w:jc w:val="both"/>
        <w:rPr>
          <w:rFonts w:ascii="Arial" w:hAnsi="Arial" w:cs="Arial"/>
          <w:sz w:val="24"/>
          <w:szCs w:val="24"/>
        </w:rPr>
      </w:pPr>
      <w:r w:rsidRPr="00344296">
        <w:rPr>
          <w:rFonts w:ascii="Arial" w:hAnsi="Arial" w:cs="Arial"/>
          <w:sz w:val="24"/>
          <w:szCs w:val="24"/>
        </w:rPr>
        <w:t>The respondent submitted that</w:t>
      </w:r>
      <w:r w:rsidR="00D6014E" w:rsidRPr="00344296">
        <w:rPr>
          <w:rFonts w:ascii="Arial" w:hAnsi="Arial" w:cs="Arial"/>
          <w:sz w:val="24"/>
          <w:szCs w:val="24"/>
        </w:rPr>
        <w:t xml:space="preserve"> S</w:t>
      </w:r>
      <w:r w:rsidRPr="00344296">
        <w:rPr>
          <w:rFonts w:ascii="Arial" w:hAnsi="Arial" w:cs="Arial"/>
          <w:sz w:val="24"/>
          <w:szCs w:val="24"/>
        </w:rPr>
        <w:t>.</w:t>
      </w:r>
      <w:r w:rsidR="00D6014E" w:rsidRPr="00344296">
        <w:rPr>
          <w:rFonts w:ascii="Arial" w:hAnsi="Arial" w:cs="Arial"/>
          <w:sz w:val="24"/>
          <w:szCs w:val="24"/>
        </w:rPr>
        <w:t xml:space="preserve"> 25(1) of the Tax Procedures Code Act</w:t>
      </w:r>
      <w:r w:rsidRPr="00344296">
        <w:rPr>
          <w:rFonts w:ascii="Arial" w:hAnsi="Arial" w:cs="Arial"/>
          <w:sz w:val="24"/>
          <w:szCs w:val="24"/>
        </w:rPr>
        <w:t xml:space="preserve"> </w:t>
      </w:r>
      <w:r w:rsidR="00D6014E" w:rsidRPr="00344296">
        <w:rPr>
          <w:rFonts w:ascii="Arial" w:hAnsi="Arial" w:cs="Arial"/>
          <w:sz w:val="24"/>
          <w:szCs w:val="24"/>
        </w:rPr>
        <w:t xml:space="preserve">provides </w:t>
      </w:r>
      <w:r w:rsidR="00FA543F" w:rsidRPr="00344296">
        <w:rPr>
          <w:rFonts w:ascii="Arial" w:hAnsi="Arial" w:cs="Arial"/>
          <w:sz w:val="24"/>
          <w:szCs w:val="24"/>
        </w:rPr>
        <w:t>that.</w:t>
      </w:r>
    </w:p>
    <w:p w14:paraId="616B55F8" w14:textId="2F81A0DB" w:rsidR="00D6014E" w:rsidRPr="00FA543F" w:rsidRDefault="00A94397" w:rsidP="007273FA">
      <w:pPr>
        <w:spacing w:after="0" w:line="360" w:lineRule="auto"/>
        <w:ind w:left="720"/>
        <w:jc w:val="both"/>
        <w:rPr>
          <w:rFonts w:ascii="Arial" w:hAnsi="Arial" w:cs="Arial"/>
        </w:rPr>
      </w:pPr>
      <w:r w:rsidRPr="00FA543F">
        <w:rPr>
          <w:rFonts w:ascii="Arial" w:hAnsi="Arial" w:cs="Arial"/>
        </w:rPr>
        <w:t>“</w:t>
      </w:r>
      <w:r w:rsidR="00D6014E" w:rsidRPr="00FA543F">
        <w:rPr>
          <w:rFonts w:ascii="Arial" w:hAnsi="Arial" w:cs="Arial"/>
        </w:rPr>
        <w:t>a person dissatisfied with an objection decision may, within 30 days after being served with a notice of objection, lodge an application with the Tax Appeals Tribunal for review of the objection decision</w:t>
      </w:r>
      <w:r w:rsidRPr="00FA543F">
        <w:rPr>
          <w:rFonts w:ascii="Arial" w:hAnsi="Arial" w:cs="Arial"/>
        </w:rPr>
        <w:t>”</w:t>
      </w:r>
      <w:r w:rsidR="00D6014E" w:rsidRPr="00FA543F">
        <w:rPr>
          <w:rFonts w:ascii="Arial" w:hAnsi="Arial" w:cs="Arial"/>
        </w:rPr>
        <w:t>.</w:t>
      </w:r>
    </w:p>
    <w:p w14:paraId="16B7C637" w14:textId="6720185D" w:rsidR="00E568FD" w:rsidRPr="00344296" w:rsidRDefault="00E56F7A" w:rsidP="007273FA">
      <w:pPr>
        <w:spacing w:after="0" w:line="360" w:lineRule="auto"/>
        <w:jc w:val="both"/>
        <w:rPr>
          <w:rFonts w:ascii="Arial" w:hAnsi="Arial" w:cs="Arial"/>
          <w:sz w:val="24"/>
          <w:szCs w:val="24"/>
        </w:rPr>
      </w:pPr>
      <w:bookmarkStart w:id="1" w:name="_Hlk126838884"/>
      <w:r w:rsidRPr="00344296">
        <w:rPr>
          <w:rFonts w:ascii="Arial" w:hAnsi="Arial" w:cs="Arial"/>
          <w:sz w:val="24"/>
          <w:szCs w:val="24"/>
        </w:rPr>
        <w:t xml:space="preserve">The respondent cited </w:t>
      </w:r>
      <w:bookmarkEnd w:id="1"/>
      <w:r w:rsidR="00D6014E" w:rsidRPr="00344296">
        <w:rPr>
          <w:rFonts w:ascii="Arial" w:hAnsi="Arial" w:cs="Arial"/>
          <w:sz w:val="24"/>
          <w:szCs w:val="24"/>
        </w:rPr>
        <w:t>S</w:t>
      </w:r>
      <w:r w:rsidR="00E568FD" w:rsidRPr="00344296">
        <w:rPr>
          <w:rFonts w:ascii="Arial" w:hAnsi="Arial" w:cs="Arial"/>
          <w:sz w:val="24"/>
          <w:szCs w:val="24"/>
        </w:rPr>
        <w:t>.</w:t>
      </w:r>
      <w:r w:rsidR="00D6014E" w:rsidRPr="00344296">
        <w:rPr>
          <w:rFonts w:ascii="Arial" w:hAnsi="Arial" w:cs="Arial"/>
          <w:sz w:val="24"/>
          <w:szCs w:val="24"/>
        </w:rPr>
        <w:t xml:space="preserve"> 16(1)(e) of the Tax Appeals Tribunal Act provides </w:t>
      </w:r>
      <w:r w:rsidR="009C0EC1" w:rsidRPr="00344296">
        <w:rPr>
          <w:rFonts w:ascii="Arial" w:hAnsi="Arial" w:cs="Arial"/>
          <w:sz w:val="24"/>
          <w:szCs w:val="24"/>
        </w:rPr>
        <w:t>that.</w:t>
      </w:r>
    </w:p>
    <w:p w14:paraId="6DCE0440" w14:textId="57C9A1D2" w:rsidR="00D6014E" w:rsidRPr="00344296" w:rsidRDefault="00E568FD" w:rsidP="007273FA">
      <w:pPr>
        <w:spacing w:after="0" w:line="360" w:lineRule="auto"/>
        <w:ind w:left="720"/>
        <w:jc w:val="both"/>
        <w:rPr>
          <w:rFonts w:ascii="Arial" w:hAnsi="Arial" w:cs="Arial"/>
          <w:sz w:val="24"/>
          <w:szCs w:val="24"/>
        </w:rPr>
      </w:pPr>
      <w:r w:rsidRPr="00344296">
        <w:rPr>
          <w:rFonts w:ascii="Arial" w:hAnsi="Arial" w:cs="Arial"/>
          <w:sz w:val="24"/>
          <w:szCs w:val="24"/>
        </w:rPr>
        <w:t>“</w:t>
      </w:r>
      <w:r w:rsidR="00067C7F" w:rsidRPr="00FA543F">
        <w:rPr>
          <w:rFonts w:ascii="Arial" w:hAnsi="Arial" w:cs="Arial"/>
        </w:rPr>
        <w:t>An</w:t>
      </w:r>
      <w:r w:rsidR="00D6014E" w:rsidRPr="00FA543F">
        <w:rPr>
          <w:rFonts w:ascii="Arial" w:hAnsi="Arial" w:cs="Arial"/>
        </w:rPr>
        <w:t xml:space="preserve"> application to the Tribunal for review of a tax decision shall be made within 30 days of being served with notice of the decision</w:t>
      </w:r>
      <w:r w:rsidRPr="00FA543F">
        <w:rPr>
          <w:rFonts w:ascii="Arial" w:hAnsi="Arial" w:cs="Arial"/>
        </w:rPr>
        <w:t>”</w:t>
      </w:r>
      <w:r w:rsidR="00D6014E" w:rsidRPr="00FA543F">
        <w:rPr>
          <w:rFonts w:ascii="Arial" w:hAnsi="Arial" w:cs="Arial"/>
        </w:rPr>
        <w:t>.</w:t>
      </w:r>
      <w:r w:rsidR="00D6014E" w:rsidRPr="00344296">
        <w:rPr>
          <w:rFonts w:ascii="Arial" w:hAnsi="Arial" w:cs="Arial"/>
          <w:sz w:val="24"/>
          <w:szCs w:val="24"/>
        </w:rPr>
        <w:t xml:space="preserve"> </w:t>
      </w:r>
    </w:p>
    <w:p w14:paraId="4147BA3B" w14:textId="5222D1FD" w:rsidR="007273FA" w:rsidRDefault="00E56F7A" w:rsidP="007273FA">
      <w:pPr>
        <w:spacing w:after="0" w:line="360" w:lineRule="auto"/>
        <w:jc w:val="both"/>
        <w:rPr>
          <w:rFonts w:ascii="Arial" w:hAnsi="Arial" w:cs="Arial"/>
          <w:sz w:val="24"/>
          <w:szCs w:val="24"/>
        </w:rPr>
      </w:pPr>
      <w:r w:rsidRPr="00344296">
        <w:rPr>
          <w:rFonts w:ascii="Arial" w:hAnsi="Arial" w:cs="Arial"/>
          <w:sz w:val="24"/>
          <w:szCs w:val="24"/>
        </w:rPr>
        <w:t xml:space="preserve">The respondent </w:t>
      </w:r>
      <w:r w:rsidR="007273FA">
        <w:rPr>
          <w:rFonts w:ascii="Arial" w:hAnsi="Arial" w:cs="Arial"/>
          <w:sz w:val="24"/>
          <w:szCs w:val="24"/>
        </w:rPr>
        <w:t xml:space="preserve">submitted </w:t>
      </w:r>
      <w:r w:rsidRPr="00344296">
        <w:rPr>
          <w:rFonts w:ascii="Arial" w:hAnsi="Arial" w:cs="Arial"/>
          <w:sz w:val="24"/>
          <w:szCs w:val="24"/>
        </w:rPr>
        <w:t xml:space="preserve">that </w:t>
      </w:r>
      <w:r w:rsidR="00D6014E" w:rsidRPr="00344296">
        <w:rPr>
          <w:rFonts w:ascii="Arial" w:hAnsi="Arial" w:cs="Arial"/>
          <w:sz w:val="24"/>
          <w:szCs w:val="24"/>
        </w:rPr>
        <w:t>S</w:t>
      </w:r>
      <w:r w:rsidR="00E568FD" w:rsidRPr="00344296">
        <w:rPr>
          <w:rFonts w:ascii="Arial" w:hAnsi="Arial" w:cs="Arial"/>
          <w:sz w:val="24"/>
          <w:szCs w:val="24"/>
        </w:rPr>
        <w:t>.</w:t>
      </w:r>
      <w:r w:rsidR="00D6014E" w:rsidRPr="00344296">
        <w:rPr>
          <w:rFonts w:ascii="Arial" w:hAnsi="Arial" w:cs="Arial"/>
          <w:sz w:val="24"/>
          <w:szCs w:val="24"/>
        </w:rPr>
        <w:t xml:space="preserve"> 16(2) of the Tax Procedures Code Act grants </w:t>
      </w:r>
      <w:r w:rsidR="00B927EC" w:rsidRPr="00344296">
        <w:rPr>
          <w:rFonts w:ascii="Arial" w:hAnsi="Arial" w:cs="Arial"/>
          <w:sz w:val="24"/>
          <w:szCs w:val="24"/>
        </w:rPr>
        <w:t>th</w:t>
      </w:r>
      <w:r w:rsidR="00B927EC">
        <w:rPr>
          <w:rFonts w:ascii="Arial" w:hAnsi="Arial" w:cs="Arial"/>
          <w:sz w:val="24"/>
          <w:szCs w:val="24"/>
        </w:rPr>
        <w:t>e</w:t>
      </w:r>
      <w:r w:rsidR="00B927EC" w:rsidRPr="00344296">
        <w:rPr>
          <w:rFonts w:ascii="Arial" w:hAnsi="Arial" w:cs="Arial"/>
          <w:sz w:val="24"/>
          <w:szCs w:val="24"/>
        </w:rPr>
        <w:t xml:space="preserve"> Tribunal</w:t>
      </w:r>
      <w:r w:rsidR="00D6014E" w:rsidRPr="00344296">
        <w:rPr>
          <w:rFonts w:ascii="Arial" w:hAnsi="Arial" w:cs="Arial"/>
          <w:sz w:val="24"/>
          <w:szCs w:val="24"/>
        </w:rPr>
        <w:t xml:space="preserve"> discretion to extend time within which to file an application for review of an objection decision. The tribunal only exercises its discretion where the </w:t>
      </w:r>
      <w:r w:rsidR="00E568FD" w:rsidRPr="00344296">
        <w:rPr>
          <w:rFonts w:ascii="Arial" w:hAnsi="Arial" w:cs="Arial"/>
          <w:sz w:val="24"/>
          <w:szCs w:val="24"/>
        </w:rPr>
        <w:t>app</w:t>
      </w:r>
      <w:r w:rsidR="00D6014E" w:rsidRPr="00344296">
        <w:rPr>
          <w:rFonts w:ascii="Arial" w:hAnsi="Arial" w:cs="Arial"/>
          <w:sz w:val="24"/>
          <w:szCs w:val="24"/>
        </w:rPr>
        <w:t xml:space="preserve">licant demonstrates sufficient cause for failure to file his/her application for review within the stipulated time. </w:t>
      </w:r>
      <w:r w:rsidR="00E568FD" w:rsidRPr="00344296">
        <w:rPr>
          <w:rFonts w:ascii="Arial" w:hAnsi="Arial" w:cs="Arial"/>
          <w:sz w:val="24"/>
          <w:szCs w:val="24"/>
        </w:rPr>
        <w:t xml:space="preserve">The respondent cited </w:t>
      </w:r>
      <w:r w:rsidR="00D6014E" w:rsidRPr="007273FA">
        <w:rPr>
          <w:rFonts w:ascii="Arial" w:hAnsi="Arial" w:cs="Arial"/>
          <w:i/>
          <w:iCs/>
          <w:sz w:val="24"/>
          <w:szCs w:val="24"/>
        </w:rPr>
        <w:t xml:space="preserve">Cable Corporation (U) Ltd </w:t>
      </w:r>
      <w:r w:rsidR="007273FA" w:rsidRPr="007273FA">
        <w:rPr>
          <w:rFonts w:ascii="Arial" w:hAnsi="Arial" w:cs="Arial"/>
          <w:i/>
          <w:iCs/>
          <w:sz w:val="24"/>
          <w:szCs w:val="24"/>
        </w:rPr>
        <w:t>v</w:t>
      </w:r>
      <w:r w:rsidR="00D6014E" w:rsidRPr="007273FA">
        <w:rPr>
          <w:rFonts w:ascii="Arial" w:hAnsi="Arial" w:cs="Arial"/>
          <w:i/>
          <w:iCs/>
          <w:sz w:val="24"/>
          <w:szCs w:val="24"/>
        </w:rPr>
        <w:t xml:space="preserve"> Uganda Revenue Authority</w:t>
      </w:r>
      <w:r w:rsidR="00D6014E" w:rsidRPr="00344296">
        <w:rPr>
          <w:rFonts w:ascii="Arial" w:hAnsi="Arial" w:cs="Arial"/>
          <w:sz w:val="24"/>
          <w:szCs w:val="24"/>
        </w:rPr>
        <w:t xml:space="preserve">, HCCA </w:t>
      </w:r>
      <w:r w:rsidR="007273FA">
        <w:rPr>
          <w:rFonts w:ascii="Arial" w:hAnsi="Arial" w:cs="Arial"/>
          <w:sz w:val="24"/>
          <w:szCs w:val="24"/>
        </w:rPr>
        <w:t>1</w:t>
      </w:r>
      <w:r w:rsidR="00D6014E" w:rsidRPr="00344296">
        <w:rPr>
          <w:rFonts w:ascii="Arial" w:hAnsi="Arial" w:cs="Arial"/>
          <w:sz w:val="24"/>
          <w:szCs w:val="24"/>
        </w:rPr>
        <w:t xml:space="preserve"> of 2011,</w:t>
      </w:r>
      <w:r w:rsidR="00B927EC">
        <w:rPr>
          <w:rFonts w:ascii="Arial" w:hAnsi="Arial" w:cs="Arial"/>
          <w:sz w:val="24"/>
          <w:szCs w:val="24"/>
        </w:rPr>
        <w:t xml:space="preserve"> where the</w:t>
      </w:r>
      <w:r w:rsidR="00D6014E" w:rsidRPr="00344296">
        <w:rPr>
          <w:rFonts w:ascii="Arial" w:hAnsi="Arial" w:cs="Arial"/>
          <w:sz w:val="24"/>
          <w:szCs w:val="24"/>
        </w:rPr>
        <w:t xml:space="preserve"> High Court stated </w:t>
      </w:r>
      <w:r w:rsidR="007273FA" w:rsidRPr="00344296">
        <w:rPr>
          <w:rFonts w:ascii="Arial" w:hAnsi="Arial" w:cs="Arial"/>
          <w:sz w:val="24"/>
          <w:szCs w:val="24"/>
        </w:rPr>
        <w:t>that</w:t>
      </w:r>
      <w:r w:rsidR="007273FA">
        <w:rPr>
          <w:rFonts w:ascii="Arial" w:hAnsi="Arial" w:cs="Arial"/>
          <w:sz w:val="24"/>
          <w:szCs w:val="24"/>
        </w:rPr>
        <w:t xml:space="preserve"> “</w:t>
      </w:r>
      <w:r w:rsidR="00E568FD" w:rsidRPr="00344296">
        <w:rPr>
          <w:rFonts w:ascii="Arial" w:hAnsi="Arial" w:cs="Arial"/>
          <w:sz w:val="24"/>
          <w:szCs w:val="24"/>
        </w:rPr>
        <w:t>The</w:t>
      </w:r>
      <w:r w:rsidR="00D6014E" w:rsidRPr="00344296">
        <w:rPr>
          <w:rFonts w:ascii="Arial" w:hAnsi="Arial" w:cs="Arial"/>
          <w:sz w:val="24"/>
          <w:szCs w:val="24"/>
        </w:rPr>
        <w:t xml:space="preserve"> 30 days laid down in S</w:t>
      </w:r>
      <w:r w:rsidR="004A0AB7" w:rsidRPr="00344296">
        <w:rPr>
          <w:rFonts w:ascii="Arial" w:hAnsi="Arial" w:cs="Arial"/>
          <w:sz w:val="24"/>
          <w:szCs w:val="24"/>
        </w:rPr>
        <w:t>.</w:t>
      </w:r>
      <w:r w:rsidR="00D6014E" w:rsidRPr="00344296">
        <w:rPr>
          <w:rFonts w:ascii="Arial" w:hAnsi="Arial" w:cs="Arial"/>
          <w:sz w:val="24"/>
          <w:szCs w:val="24"/>
        </w:rPr>
        <w:t xml:space="preserve"> 16 of the Tax Appeals Tribunal Act, start to run on receipt of the letter communicating the decision from the </w:t>
      </w:r>
      <w:r w:rsidR="00B927EC">
        <w:rPr>
          <w:rFonts w:ascii="Arial" w:hAnsi="Arial" w:cs="Arial"/>
          <w:sz w:val="24"/>
          <w:szCs w:val="24"/>
        </w:rPr>
        <w:t>r</w:t>
      </w:r>
      <w:r w:rsidR="00D6014E" w:rsidRPr="00344296">
        <w:rPr>
          <w:rFonts w:ascii="Arial" w:hAnsi="Arial" w:cs="Arial"/>
          <w:sz w:val="24"/>
          <w:szCs w:val="24"/>
        </w:rPr>
        <w:t>espondent</w:t>
      </w:r>
      <w:r w:rsidR="00E568FD" w:rsidRPr="00344296">
        <w:rPr>
          <w:rFonts w:ascii="Arial" w:hAnsi="Arial" w:cs="Arial"/>
          <w:sz w:val="24"/>
          <w:szCs w:val="24"/>
        </w:rPr>
        <w:t>”</w:t>
      </w:r>
      <w:r w:rsidR="00D6014E" w:rsidRPr="00344296">
        <w:rPr>
          <w:rFonts w:ascii="Arial" w:hAnsi="Arial" w:cs="Arial"/>
          <w:sz w:val="24"/>
          <w:szCs w:val="24"/>
        </w:rPr>
        <w:t xml:space="preserve">. </w:t>
      </w:r>
    </w:p>
    <w:p w14:paraId="279C5230" w14:textId="77777777" w:rsidR="007273FA" w:rsidRDefault="007273FA" w:rsidP="007273FA">
      <w:pPr>
        <w:spacing w:after="0" w:line="360" w:lineRule="auto"/>
        <w:jc w:val="both"/>
        <w:rPr>
          <w:rFonts w:ascii="Arial" w:hAnsi="Arial" w:cs="Arial"/>
          <w:sz w:val="24"/>
          <w:szCs w:val="24"/>
        </w:rPr>
      </w:pPr>
    </w:p>
    <w:p w14:paraId="7FE264E8" w14:textId="08B90E31" w:rsidR="003738C7"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The </w:t>
      </w:r>
      <w:r w:rsidR="00CD1361" w:rsidRPr="00344296">
        <w:rPr>
          <w:rFonts w:ascii="Arial" w:hAnsi="Arial" w:cs="Arial"/>
          <w:sz w:val="24"/>
          <w:szCs w:val="24"/>
        </w:rPr>
        <w:t xml:space="preserve">respondent submitted that the </w:t>
      </w:r>
      <w:r w:rsidR="004A0AB7" w:rsidRPr="00344296">
        <w:rPr>
          <w:rFonts w:ascii="Arial" w:hAnsi="Arial" w:cs="Arial"/>
          <w:sz w:val="24"/>
          <w:szCs w:val="24"/>
        </w:rPr>
        <w:t xml:space="preserve">applicant bears the burden of proving that it has sufficient reasons for not filing its application </w:t>
      </w:r>
      <w:r w:rsidRPr="00344296">
        <w:rPr>
          <w:rFonts w:ascii="Arial" w:hAnsi="Arial" w:cs="Arial"/>
          <w:sz w:val="24"/>
          <w:szCs w:val="24"/>
        </w:rPr>
        <w:t xml:space="preserve">for review of the </w:t>
      </w:r>
      <w:r w:rsidR="004A0AB7" w:rsidRPr="00344296">
        <w:rPr>
          <w:rFonts w:ascii="Arial" w:hAnsi="Arial" w:cs="Arial"/>
          <w:sz w:val="24"/>
          <w:szCs w:val="24"/>
        </w:rPr>
        <w:t>respo</w:t>
      </w:r>
      <w:r w:rsidRPr="00344296">
        <w:rPr>
          <w:rFonts w:ascii="Arial" w:hAnsi="Arial" w:cs="Arial"/>
          <w:sz w:val="24"/>
          <w:szCs w:val="24"/>
        </w:rPr>
        <w:t xml:space="preserve">ndent's objection decision in time. </w:t>
      </w:r>
      <w:r w:rsidR="004A0AB7" w:rsidRPr="00344296">
        <w:rPr>
          <w:rFonts w:ascii="Arial" w:hAnsi="Arial" w:cs="Arial"/>
          <w:sz w:val="24"/>
          <w:szCs w:val="24"/>
        </w:rPr>
        <w:t>Th</w:t>
      </w:r>
      <w:r w:rsidRPr="00344296">
        <w:rPr>
          <w:rFonts w:ascii="Arial" w:hAnsi="Arial" w:cs="Arial"/>
          <w:sz w:val="24"/>
          <w:szCs w:val="24"/>
        </w:rPr>
        <w:t>e objection decision was issued on 31</w:t>
      </w:r>
      <w:r w:rsidRPr="00344296">
        <w:rPr>
          <w:rFonts w:ascii="Arial" w:hAnsi="Arial" w:cs="Arial"/>
          <w:sz w:val="24"/>
          <w:szCs w:val="24"/>
          <w:vertAlign w:val="superscript"/>
        </w:rPr>
        <w:t>st</w:t>
      </w:r>
      <w:r w:rsidR="004A0AB7" w:rsidRPr="00344296">
        <w:rPr>
          <w:rFonts w:ascii="Arial" w:hAnsi="Arial" w:cs="Arial"/>
          <w:sz w:val="24"/>
          <w:szCs w:val="24"/>
        </w:rPr>
        <w:t xml:space="preserve"> </w:t>
      </w:r>
      <w:r w:rsidRPr="00344296">
        <w:rPr>
          <w:rFonts w:ascii="Arial" w:hAnsi="Arial" w:cs="Arial"/>
          <w:sz w:val="24"/>
          <w:szCs w:val="24"/>
        </w:rPr>
        <w:t xml:space="preserve">January 2019. </w:t>
      </w:r>
      <w:r w:rsidR="007273FA">
        <w:rPr>
          <w:rFonts w:ascii="Arial" w:hAnsi="Arial" w:cs="Arial"/>
          <w:sz w:val="24"/>
          <w:szCs w:val="24"/>
        </w:rPr>
        <w:t xml:space="preserve">The respondent submitted </w:t>
      </w:r>
      <w:r w:rsidRPr="00344296">
        <w:rPr>
          <w:rFonts w:ascii="Arial" w:hAnsi="Arial" w:cs="Arial"/>
          <w:sz w:val="24"/>
          <w:szCs w:val="24"/>
        </w:rPr>
        <w:t xml:space="preserve">that the </w:t>
      </w:r>
      <w:r w:rsidR="004A0AB7" w:rsidRPr="00344296">
        <w:rPr>
          <w:rFonts w:ascii="Arial" w:hAnsi="Arial" w:cs="Arial"/>
          <w:sz w:val="24"/>
          <w:szCs w:val="24"/>
        </w:rPr>
        <w:t>applic</w:t>
      </w:r>
      <w:r w:rsidRPr="00344296">
        <w:rPr>
          <w:rFonts w:ascii="Arial" w:hAnsi="Arial" w:cs="Arial"/>
          <w:sz w:val="24"/>
          <w:szCs w:val="24"/>
        </w:rPr>
        <w:t xml:space="preserve">ant was served with the notice of the objection decision via email. Therefore, the </w:t>
      </w:r>
      <w:r w:rsidR="004A0AB7" w:rsidRPr="00344296">
        <w:rPr>
          <w:rFonts w:ascii="Arial" w:hAnsi="Arial" w:cs="Arial"/>
          <w:sz w:val="24"/>
          <w:szCs w:val="24"/>
        </w:rPr>
        <w:t>appli</w:t>
      </w:r>
      <w:r w:rsidRPr="00344296">
        <w:rPr>
          <w:rFonts w:ascii="Arial" w:hAnsi="Arial" w:cs="Arial"/>
          <w:sz w:val="24"/>
          <w:szCs w:val="24"/>
        </w:rPr>
        <w:t>cant had until the 3</w:t>
      </w:r>
      <w:r w:rsidRPr="00344296">
        <w:rPr>
          <w:rFonts w:ascii="Arial" w:hAnsi="Arial" w:cs="Arial"/>
          <w:sz w:val="24"/>
          <w:szCs w:val="24"/>
          <w:vertAlign w:val="superscript"/>
        </w:rPr>
        <w:t>rd</w:t>
      </w:r>
      <w:r w:rsidR="004A0AB7" w:rsidRPr="00344296">
        <w:rPr>
          <w:rFonts w:ascii="Arial" w:hAnsi="Arial" w:cs="Arial"/>
          <w:sz w:val="24"/>
          <w:szCs w:val="24"/>
        </w:rPr>
        <w:t xml:space="preserve"> </w:t>
      </w:r>
      <w:r w:rsidRPr="00344296">
        <w:rPr>
          <w:rFonts w:ascii="Arial" w:hAnsi="Arial" w:cs="Arial"/>
          <w:sz w:val="24"/>
          <w:szCs w:val="24"/>
        </w:rPr>
        <w:t xml:space="preserve">of March 2019 to lodge its </w:t>
      </w:r>
      <w:r w:rsidR="004A0AB7" w:rsidRPr="00344296">
        <w:rPr>
          <w:rFonts w:ascii="Arial" w:hAnsi="Arial" w:cs="Arial"/>
          <w:sz w:val="24"/>
          <w:szCs w:val="24"/>
        </w:rPr>
        <w:t>appli</w:t>
      </w:r>
      <w:r w:rsidRPr="00344296">
        <w:rPr>
          <w:rFonts w:ascii="Arial" w:hAnsi="Arial" w:cs="Arial"/>
          <w:sz w:val="24"/>
          <w:szCs w:val="24"/>
        </w:rPr>
        <w:t xml:space="preserve">cation for review of the Objection decision. </w:t>
      </w:r>
      <w:r w:rsidR="00CD1361" w:rsidRPr="00344296">
        <w:rPr>
          <w:rFonts w:ascii="Arial" w:hAnsi="Arial" w:cs="Arial"/>
          <w:sz w:val="24"/>
          <w:szCs w:val="24"/>
        </w:rPr>
        <w:t>T</w:t>
      </w:r>
      <w:r w:rsidRPr="00344296">
        <w:rPr>
          <w:rFonts w:ascii="Arial" w:hAnsi="Arial" w:cs="Arial"/>
          <w:sz w:val="24"/>
          <w:szCs w:val="24"/>
        </w:rPr>
        <w:t xml:space="preserve">he </w:t>
      </w:r>
      <w:r w:rsidR="004A0AB7" w:rsidRPr="00344296">
        <w:rPr>
          <w:rFonts w:ascii="Arial" w:hAnsi="Arial" w:cs="Arial"/>
          <w:sz w:val="24"/>
          <w:szCs w:val="24"/>
        </w:rPr>
        <w:t>app</w:t>
      </w:r>
      <w:r w:rsidRPr="00344296">
        <w:rPr>
          <w:rFonts w:ascii="Arial" w:hAnsi="Arial" w:cs="Arial"/>
          <w:sz w:val="24"/>
          <w:szCs w:val="24"/>
        </w:rPr>
        <w:t>licant waited</w:t>
      </w:r>
      <w:r w:rsidR="00B927EC">
        <w:rPr>
          <w:rFonts w:ascii="Arial" w:hAnsi="Arial" w:cs="Arial"/>
          <w:sz w:val="24"/>
          <w:szCs w:val="24"/>
        </w:rPr>
        <w:t xml:space="preserve"> for</w:t>
      </w:r>
      <w:r w:rsidRPr="00344296">
        <w:rPr>
          <w:rFonts w:ascii="Arial" w:hAnsi="Arial" w:cs="Arial"/>
          <w:sz w:val="24"/>
          <w:szCs w:val="24"/>
        </w:rPr>
        <w:t xml:space="preserve"> four years to seek extension of time. </w:t>
      </w:r>
      <w:bookmarkStart w:id="2" w:name="_Hlk126839060"/>
    </w:p>
    <w:p w14:paraId="38542BE0" w14:textId="77777777" w:rsidR="007273FA" w:rsidRDefault="007273FA" w:rsidP="007273FA">
      <w:pPr>
        <w:spacing w:after="0" w:line="360" w:lineRule="auto"/>
        <w:jc w:val="both"/>
        <w:rPr>
          <w:rFonts w:ascii="Arial" w:hAnsi="Arial" w:cs="Arial"/>
          <w:sz w:val="24"/>
          <w:szCs w:val="24"/>
        </w:rPr>
      </w:pPr>
    </w:p>
    <w:p w14:paraId="33920FDF" w14:textId="3A8BF2F3" w:rsidR="00D6014E" w:rsidRPr="00344296" w:rsidRDefault="00CD1361" w:rsidP="007273FA">
      <w:pPr>
        <w:spacing w:after="0" w:line="360" w:lineRule="auto"/>
        <w:jc w:val="both"/>
        <w:rPr>
          <w:rFonts w:ascii="Arial" w:hAnsi="Arial" w:cs="Arial"/>
          <w:sz w:val="24"/>
          <w:szCs w:val="24"/>
        </w:rPr>
      </w:pPr>
      <w:r w:rsidRPr="00344296">
        <w:rPr>
          <w:rFonts w:ascii="Arial" w:hAnsi="Arial" w:cs="Arial"/>
          <w:sz w:val="24"/>
          <w:szCs w:val="24"/>
        </w:rPr>
        <w:t>The respondent submitted that</w:t>
      </w:r>
      <w:r w:rsidR="00FB3A2F" w:rsidRPr="00344296">
        <w:rPr>
          <w:rFonts w:ascii="Arial" w:hAnsi="Arial" w:cs="Arial"/>
          <w:sz w:val="24"/>
          <w:szCs w:val="24"/>
        </w:rPr>
        <w:t xml:space="preserve"> </w:t>
      </w:r>
      <w:bookmarkEnd w:id="2"/>
      <w:r w:rsidR="00D6014E" w:rsidRPr="00344296">
        <w:rPr>
          <w:rFonts w:ascii="Arial" w:hAnsi="Arial" w:cs="Arial"/>
          <w:sz w:val="24"/>
          <w:szCs w:val="24"/>
        </w:rPr>
        <w:t xml:space="preserve">the </w:t>
      </w:r>
      <w:r w:rsidR="00CE6111" w:rsidRPr="00344296">
        <w:rPr>
          <w:rFonts w:ascii="Arial" w:hAnsi="Arial" w:cs="Arial"/>
          <w:sz w:val="24"/>
          <w:szCs w:val="24"/>
        </w:rPr>
        <w:t>applic</w:t>
      </w:r>
      <w:r w:rsidR="00D6014E" w:rsidRPr="00344296">
        <w:rPr>
          <w:rFonts w:ascii="Arial" w:hAnsi="Arial" w:cs="Arial"/>
          <w:sz w:val="24"/>
          <w:szCs w:val="24"/>
        </w:rPr>
        <w:t>ant allege</w:t>
      </w:r>
      <w:r w:rsidR="00DC53D7">
        <w:rPr>
          <w:rFonts w:ascii="Arial" w:hAnsi="Arial" w:cs="Arial"/>
          <w:sz w:val="24"/>
          <w:szCs w:val="24"/>
        </w:rPr>
        <w:t>d</w:t>
      </w:r>
      <w:r w:rsidR="00D6014E" w:rsidRPr="00344296">
        <w:rPr>
          <w:rFonts w:ascii="Arial" w:hAnsi="Arial" w:cs="Arial"/>
          <w:sz w:val="24"/>
          <w:szCs w:val="24"/>
        </w:rPr>
        <w:t xml:space="preserve"> that it was never served with the objection decision</w:t>
      </w:r>
      <w:r w:rsidR="00CE6111" w:rsidRPr="00344296">
        <w:rPr>
          <w:rFonts w:ascii="Arial" w:hAnsi="Arial" w:cs="Arial"/>
          <w:sz w:val="24"/>
          <w:szCs w:val="24"/>
        </w:rPr>
        <w:t>.</w:t>
      </w:r>
      <w:r w:rsidR="007273FA">
        <w:rPr>
          <w:rFonts w:ascii="Arial" w:hAnsi="Arial" w:cs="Arial"/>
          <w:sz w:val="24"/>
          <w:szCs w:val="24"/>
        </w:rPr>
        <w:t xml:space="preserve"> </w:t>
      </w:r>
      <w:r w:rsidR="00D6014E" w:rsidRPr="00344296">
        <w:rPr>
          <w:rFonts w:ascii="Arial" w:hAnsi="Arial" w:cs="Arial"/>
          <w:sz w:val="24"/>
          <w:szCs w:val="24"/>
        </w:rPr>
        <w:t>S</w:t>
      </w:r>
      <w:r w:rsidR="00CE6111" w:rsidRPr="00344296">
        <w:rPr>
          <w:rFonts w:ascii="Arial" w:hAnsi="Arial" w:cs="Arial"/>
          <w:sz w:val="24"/>
          <w:szCs w:val="24"/>
        </w:rPr>
        <w:t>.</w:t>
      </w:r>
      <w:r w:rsidR="00D6014E" w:rsidRPr="00344296">
        <w:rPr>
          <w:rFonts w:ascii="Arial" w:hAnsi="Arial" w:cs="Arial"/>
          <w:sz w:val="24"/>
          <w:szCs w:val="24"/>
        </w:rPr>
        <w:t xml:space="preserve"> 72(2)(d) of the T</w:t>
      </w:r>
      <w:r w:rsidR="00C0512E">
        <w:rPr>
          <w:rFonts w:ascii="Arial" w:hAnsi="Arial" w:cs="Arial"/>
          <w:sz w:val="24"/>
          <w:szCs w:val="24"/>
        </w:rPr>
        <w:t xml:space="preserve">ax </w:t>
      </w:r>
      <w:r w:rsidR="00D6014E" w:rsidRPr="00344296">
        <w:rPr>
          <w:rFonts w:ascii="Arial" w:hAnsi="Arial" w:cs="Arial"/>
          <w:sz w:val="24"/>
          <w:szCs w:val="24"/>
        </w:rPr>
        <w:t>P</w:t>
      </w:r>
      <w:r w:rsidR="00C0512E">
        <w:rPr>
          <w:rFonts w:ascii="Arial" w:hAnsi="Arial" w:cs="Arial"/>
          <w:sz w:val="24"/>
          <w:szCs w:val="24"/>
        </w:rPr>
        <w:t xml:space="preserve">rocedure </w:t>
      </w:r>
      <w:r w:rsidR="00D6014E" w:rsidRPr="00344296">
        <w:rPr>
          <w:rFonts w:ascii="Arial" w:hAnsi="Arial" w:cs="Arial"/>
          <w:sz w:val="24"/>
          <w:szCs w:val="24"/>
        </w:rPr>
        <w:t>C</w:t>
      </w:r>
      <w:r w:rsidR="00C0512E">
        <w:rPr>
          <w:rFonts w:ascii="Arial" w:hAnsi="Arial" w:cs="Arial"/>
          <w:sz w:val="24"/>
          <w:szCs w:val="24"/>
        </w:rPr>
        <w:t xml:space="preserve">ode </w:t>
      </w:r>
      <w:r w:rsidR="00D6014E" w:rsidRPr="00344296">
        <w:rPr>
          <w:rFonts w:ascii="Arial" w:hAnsi="Arial" w:cs="Arial"/>
          <w:sz w:val="24"/>
          <w:szCs w:val="24"/>
        </w:rPr>
        <w:t>A</w:t>
      </w:r>
      <w:r w:rsidR="00C0512E">
        <w:rPr>
          <w:rFonts w:ascii="Arial" w:hAnsi="Arial" w:cs="Arial"/>
          <w:sz w:val="24"/>
          <w:szCs w:val="24"/>
        </w:rPr>
        <w:t>ct</w:t>
      </w:r>
      <w:r w:rsidR="00D6014E" w:rsidRPr="00344296">
        <w:rPr>
          <w:rFonts w:ascii="Arial" w:hAnsi="Arial" w:cs="Arial"/>
          <w:sz w:val="24"/>
          <w:szCs w:val="24"/>
        </w:rPr>
        <w:t xml:space="preserve"> </w:t>
      </w:r>
      <w:r w:rsidR="00C0512E">
        <w:rPr>
          <w:rFonts w:ascii="Arial" w:hAnsi="Arial" w:cs="Arial"/>
          <w:sz w:val="24"/>
          <w:szCs w:val="24"/>
        </w:rPr>
        <w:t>states</w:t>
      </w:r>
      <w:r w:rsidR="00D528F8" w:rsidRPr="00344296">
        <w:rPr>
          <w:rFonts w:ascii="Arial" w:hAnsi="Arial" w:cs="Arial"/>
          <w:sz w:val="24"/>
          <w:szCs w:val="24"/>
        </w:rPr>
        <w:t>.</w:t>
      </w:r>
      <w:r w:rsidR="00D6014E" w:rsidRPr="00344296">
        <w:rPr>
          <w:rFonts w:ascii="Arial" w:hAnsi="Arial" w:cs="Arial"/>
          <w:sz w:val="24"/>
          <w:szCs w:val="24"/>
        </w:rPr>
        <w:t xml:space="preserve"> </w:t>
      </w:r>
    </w:p>
    <w:p w14:paraId="2A7A79A5" w14:textId="4A6C6C4D" w:rsidR="00CE6111" w:rsidRPr="00C0512E" w:rsidRDefault="00D6014E" w:rsidP="007273FA">
      <w:pPr>
        <w:spacing w:after="0" w:line="360" w:lineRule="auto"/>
        <w:ind w:left="720"/>
        <w:jc w:val="both"/>
        <w:rPr>
          <w:rFonts w:ascii="Arial" w:hAnsi="Arial" w:cs="Arial"/>
        </w:rPr>
      </w:pPr>
      <w:r w:rsidRPr="00C0512E">
        <w:rPr>
          <w:rFonts w:ascii="Arial" w:hAnsi="Arial" w:cs="Arial"/>
        </w:rPr>
        <w:t xml:space="preserve">"Except as otherwise provided in a tax law, a notice or other document required to be served by the Commissioner on a person for the purposes of a tax law is treated as sufficiently served on the person </w:t>
      </w:r>
      <w:r w:rsidR="009C0EC1" w:rsidRPr="00C0512E">
        <w:rPr>
          <w:rFonts w:ascii="Arial" w:hAnsi="Arial" w:cs="Arial"/>
        </w:rPr>
        <w:t>if.</w:t>
      </w:r>
      <w:r w:rsidRPr="00C0512E">
        <w:rPr>
          <w:rFonts w:ascii="Arial" w:hAnsi="Arial" w:cs="Arial"/>
        </w:rPr>
        <w:t xml:space="preserve"> </w:t>
      </w:r>
    </w:p>
    <w:p w14:paraId="1F24626F" w14:textId="794219B3" w:rsidR="00D6014E" w:rsidRPr="00C0512E" w:rsidRDefault="00D6014E" w:rsidP="007273FA">
      <w:pPr>
        <w:spacing w:after="0" w:line="360" w:lineRule="auto"/>
        <w:ind w:left="720"/>
        <w:jc w:val="both"/>
        <w:rPr>
          <w:rFonts w:ascii="Arial" w:hAnsi="Arial" w:cs="Arial"/>
        </w:rPr>
      </w:pPr>
      <w:r w:rsidRPr="00C0512E">
        <w:rPr>
          <w:rFonts w:ascii="Arial" w:hAnsi="Arial" w:cs="Arial"/>
        </w:rPr>
        <w:t>d) An electronic data message is transmitted to the person's known or registered electronic account."</w:t>
      </w:r>
    </w:p>
    <w:p w14:paraId="71ECD312" w14:textId="227A37A1" w:rsidR="00D528F8" w:rsidRDefault="00FB3A2F" w:rsidP="007273FA">
      <w:pPr>
        <w:spacing w:after="0" w:line="360" w:lineRule="auto"/>
        <w:jc w:val="both"/>
        <w:rPr>
          <w:rFonts w:ascii="Arial" w:hAnsi="Arial" w:cs="Arial"/>
          <w:sz w:val="24"/>
          <w:szCs w:val="24"/>
        </w:rPr>
      </w:pPr>
      <w:r w:rsidRPr="00344296">
        <w:rPr>
          <w:rFonts w:ascii="Arial" w:hAnsi="Arial" w:cs="Arial"/>
          <w:sz w:val="24"/>
          <w:szCs w:val="24"/>
        </w:rPr>
        <w:t xml:space="preserve">The respondent submitted that </w:t>
      </w:r>
      <w:r w:rsidR="00D6014E" w:rsidRPr="00344296">
        <w:rPr>
          <w:rFonts w:ascii="Arial" w:hAnsi="Arial" w:cs="Arial"/>
          <w:sz w:val="24"/>
          <w:szCs w:val="24"/>
        </w:rPr>
        <w:t>taxpayers register with</w:t>
      </w:r>
      <w:r w:rsidR="00D528F8">
        <w:rPr>
          <w:rFonts w:ascii="Arial" w:hAnsi="Arial" w:cs="Arial"/>
          <w:sz w:val="24"/>
          <w:szCs w:val="24"/>
        </w:rPr>
        <w:t xml:space="preserve"> </w:t>
      </w:r>
      <w:r w:rsidR="00DC53D7">
        <w:rPr>
          <w:rFonts w:ascii="Arial" w:hAnsi="Arial" w:cs="Arial"/>
          <w:sz w:val="24"/>
          <w:szCs w:val="24"/>
        </w:rPr>
        <w:t>it</w:t>
      </w:r>
      <w:r w:rsidR="00D528F8">
        <w:rPr>
          <w:rFonts w:ascii="Arial" w:hAnsi="Arial" w:cs="Arial"/>
          <w:sz w:val="24"/>
          <w:szCs w:val="24"/>
        </w:rPr>
        <w:t xml:space="preserve"> </w:t>
      </w:r>
      <w:r w:rsidR="00D6014E" w:rsidRPr="00344296">
        <w:rPr>
          <w:rFonts w:ascii="Arial" w:hAnsi="Arial" w:cs="Arial"/>
          <w:sz w:val="24"/>
          <w:szCs w:val="24"/>
        </w:rPr>
        <w:t xml:space="preserve">contact details to which communications relating to their tax affairs should be sent. </w:t>
      </w:r>
      <w:r w:rsidR="00D528F8">
        <w:rPr>
          <w:rFonts w:ascii="Arial" w:hAnsi="Arial" w:cs="Arial"/>
          <w:sz w:val="24"/>
          <w:szCs w:val="24"/>
        </w:rPr>
        <w:t>The</w:t>
      </w:r>
      <w:r w:rsidR="00D6014E" w:rsidRPr="00344296">
        <w:rPr>
          <w:rFonts w:ascii="Arial" w:hAnsi="Arial" w:cs="Arial"/>
          <w:sz w:val="24"/>
          <w:szCs w:val="24"/>
        </w:rPr>
        <w:t xml:space="preserve"> taxpayers maintain a URA Portal User account to which tax communications are uploaded. </w:t>
      </w:r>
      <w:r w:rsidR="0081494E" w:rsidRPr="00344296">
        <w:rPr>
          <w:rFonts w:ascii="Arial" w:hAnsi="Arial" w:cs="Arial"/>
          <w:sz w:val="24"/>
          <w:szCs w:val="24"/>
        </w:rPr>
        <w:t xml:space="preserve"> </w:t>
      </w:r>
      <w:r w:rsidR="00D6014E" w:rsidRPr="00344296">
        <w:rPr>
          <w:rFonts w:ascii="Arial" w:hAnsi="Arial" w:cs="Arial"/>
          <w:sz w:val="24"/>
          <w:szCs w:val="24"/>
        </w:rPr>
        <w:t xml:space="preserve">The </w:t>
      </w:r>
      <w:r w:rsidR="00D528F8">
        <w:rPr>
          <w:rFonts w:ascii="Arial" w:hAnsi="Arial" w:cs="Arial"/>
          <w:sz w:val="24"/>
          <w:szCs w:val="24"/>
        </w:rPr>
        <w:t xml:space="preserve">respondent submitted that the </w:t>
      </w:r>
      <w:r w:rsidR="00CE6111" w:rsidRPr="00344296">
        <w:rPr>
          <w:rFonts w:ascii="Arial" w:hAnsi="Arial" w:cs="Arial"/>
          <w:sz w:val="24"/>
          <w:szCs w:val="24"/>
        </w:rPr>
        <w:t>app</w:t>
      </w:r>
      <w:r w:rsidR="00D6014E" w:rsidRPr="00344296">
        <w:rPr>
          <w:rFonts w:ascii="Arial" w:hAnsi="Arial" w:cs="Arial"/>
          <w:sz w:val="24"/>
          <w:szCs w:val="24"/>
        </w:rPr>
        <w:t xml:space="preserve">licant listed </w:t>
      </w:r>
      <w:hyperlink r:id="rId7" w:history="1">
        <w:r w:rsidR="00945935" w:rsidRPr="00E71733">
          <w:rPr>
            <w:rStyle w:val="Hyperlink"/>
            <w:rFonts w:ascii="Arial" w:hAnsi="Arial" w:cs="Arial"/>
            <w:sz w:val="24"/>
            <w:szCs w:val="24"/>
          </w:rPr>
          <w:t>manjiconsult@gmail.com</w:t>
        </w:r>
      </w:hyperlink>
      <w:r w:rsidR="00D6014E" w:rsidRPr="00344296">
        <w:rPr>
          <w:rFonts w:ascii="Arial" w:hAnsi="Arial" w:cs="Arial"/>
          <w:sz w:val="24"/>
          <w:szCs w:val="24"/>
        </w:rPr>
        <w:t xml:space="preserve"> as </w:t>
      </w:r>
      <w:r w:rsidR="000622DD">
        <w:rPr>
          <w:rFonts w:ascii="Arial" w:hAnsi="Arial" w:cs="Arial"/>
          <w:sz w:val="24"/>
          <w:szCs w:val="24"/>
        </w:rPr>
        <w:t xml:space="preserve">its </w:t>
      </w:r>
      <w:r w:rsidR="000622DD" w:rsidRPr="00344296">
        <w:rPr>
          <w:rFonts w:ascii="Arial" w:hAnsi="Arial" w:cs="Arial"/>
          <w:sz w:val="24"/>
          <w:szCs w:val="24"/>
        </w:rPr>
        <w:t>email</w:t>
      </w:r>
      <w:r w:rsidR="00D6014E" w:rsidRPr="00344296">
        <w:rPr>
          <w:rFonts w:ascii="Arial" w:hAnsi="Arial" w:cs="Arial"/>
          <w:sz w:val="24"/>
          <w:szCs w:val="24"/>
        </w:rPr>
        <w:t xml:space="preserve"> address to which tax communications should be sent </w:t>
      </w:r>
      <w:r w:rsidR="00CE6111" w:rsidRPr="00344296">
        <w:rPr>
          <w:rFonts w:ascii="Arial" w:hAnsi="Arial" w:cs="Arial"/>
          <w:sz w:val="24"/>
          <w:szCs w:val="24"/>
        </w:rPr>
        <w:t xml:space="preserve">and </w:t>
      </w:r>
      <w:r w:rsidR="00D6014E" w:rsidRPr="00344296">
        <w:rPr>
          <w:rFonts w:ascii="Arial" w:hAnsi="Arial" w:cs="Arial"/>
          <w:sz w:val="24"/>
          <w:szCs w:val="24"/>
        </w:rPr>
        <w:t xml:space="preserve">is the </w:t>
      </w:r>
      <w:r w:rsidR="00CE6111" w:rsidRPr="00344296">
        <w:rPr>
          <w:rFonts w:ascii="Arial" w:hAnsi="Arial" w:cs="Arial"/>
          <w:sz w:val="24"/>
          <w:szCs w:val="24"/>
        </w:rPr>
        <w:t>ap</w:t>
      </w:r>
      <w:r w:rsidR="00D6014E" w:rsidRPr="00344296">
        <w:rPr>
          <w:rFonts w:ascii="Arial" w:hAnsi="Arial" w:cs="Arial"/>
          <w:sz w:val="24"/>
          <w:szCs w:val="24"/>
        </w:rPr>
        <w:t xml:space="preserve">plicant's known and registered email address. The email address </w:t>
      </w:r>
      <w:hyperlink r:id="rId8" w:history="1">
        <w:r w:rsidR="00945935" w:rsidRPr="00E71733">
          <w:rPr>
            <w:rStyle w:val="Hyperlink"/>
            <w:rFonts w:ascii="Arial" w:hAnsi="Arial" w:cs="Arial"/>
            <w:sz w:val="24"/>
            <w:szCs w:val="24"/>
          </w:rPr>
          <w:t>zarinphramaceuticalsltd2008@gmail.com</w:t>
        </w:r>
      </w:hyperlink>
      <w:r w:rsidR="00D6014E" w:rsidRPr="00344296">
        <w:rPr>
          <w:rFonts w:ascii="Arial" w:hAnsi="Arial" w:cs="Arial"/>
          <w:sz w:val="24"/>
          <w:szCs w:val="24"/>
        </w:rPr>
        <w:t xml:space="preserve"> which the </w:t>
      </w:r>
      <w:r w:rsidR="00CE6111" w:rsidRPr="00344296">
        <w:rPr>
          <w:rFonts w:ascii="Arial" w:hAnsi="Arial" w:cs="Arial"/>
          <w:sz w:val="24"/>
          <w:szCs w:val="24"/>
        </w:rPr>
        <w:t>applicant</w:t>
      </w:r>
      <w:r w:rsidR="00D6014E" w:rsidRPr="00344296">
        <w:rPr>
          <w:rFonts w:ascii="Arial" w:hAnsi="Arial" w:cs="Arial"/>
          <w:sz w:val="24"/>
          <w:szCs w:val="24"/>
        </w:rPr>
        <w:t xml:space="preserve"> claims as its official email address does not appear anywhere in its tax profile.</w:t>
      </w:r>
    </w:p>
    <w:p w14:paraId="0C94DE5D" w14:textId="3071E087" w:rsidR="00D528F8" w:rsidRDefault="00CE6111" w:rsidP="007273FA">
      <w:pPr>
        <w:spacing w:after="0" w:line="360" w:lineRule="auto"/>
        <w:jc w:val="both"/>
        <w:rPr>
          <w:rFonts w:ascii="Arial" w:hAnsi="Arial" w:cs="Arial"/>
          <w:sz w:val="24"/>
          <w:szCs w:val="24"/>
        </w:rPr>
      </w:pPr>
      <w:r w:rsidRPr="00344296">
        <w:rPr>
          <w:rFonts w:ascii="Arial" w:hAnsi="Arial" w:cs="Arial"/>
          <w:sz w:val="24"/>
          <w:szCs w:val="24"/>
        </w:rPr>
        <w:t xml:space="preserve">The </w:t>
      </w:r>
      <w:r w:rsidR="00D6014E" w:rsidRPr="00344296">
        <w:rPr>
          <w:rFonts w:ascii="Arial" w:hAnsi="Arial" w:cs="Arial"/>
          <w:sz w:val="24"/>
          <w:szCs w:val="24"/>
        </w:rPr>
        <w:t xml:space="preserve">contact information provided by the </w:t>
      </w:r>
      <w:r w:rsidR="00196D4C" w:rsidRPr="00344296">
        <w:rPr>
          <w:rFonts w:ascii="Arial" w:hAnsi="Arial" w:cs="Arial"/>
          <w:sz w:val="24"/>
          <w:szCs w:val="24"/>
        </w:rPr>
        <w:t xml:space="preserve">applicant is </w:t>
      </w:r>
      <w:r w:rsidR="00D6014E" w:rsidRPr="00344296">
        <w:rPr>
          <w:rFonts w:ascii="Arial" w:hAnsi="Arial" w:cs="Arial"/>
          <w:sz w:val="24"/>
          <w:szCs w:val="24"/>
        </w:rPr>
        <w:t xml:space="preserve">the only contact information that the </w:t>
      </w:r>
      <w:r w:rsidR="0081494E" w:rsidRPr="00344296">
        <w:rPr>
          <w:rFonts w:ascii="Arial" w:hAnsi="Arial" w:cs="Arial"/>
          <w:sz w:val="24"/>
          <w:szCs w:val="24"/>
        </w:rPr>
        <w:t>responden</w:t>
      </w:r>
      <w:r w:rsidR="00D6014E" w:rsidRPr="00344296">
        <w:rPr>
          <w:rFonts w:ascii="Arial" w:hAnsi="Arial" w:cs="Arial"/>
          <w:sz w:val="24"/>
          <w:szCs w:val="24"/>
        </w:rPr>
        <w:t>t c</w:t>
      </w:r>
      <w:r w:rsidR="00945935">
        <w:rPr>
          <w:rFonts w:ascii="Arial" w:hAnsi="Arial" w:cs="Arial"/>
          <w:sz w:val="24"/>
          <w:szCs w:val="24"/>
        </w:rPr>
        <w:t>ould</w:t>
      </w:r>
      <w:r w:rsidR="00D6014E" w:rsidRPr="00344296">
        <w:rPr>
          <w:rFonts w:ascii="Arial" w:hAnsi="Arial" w:cs="Arial"/>
          <w:sz w:val="24"/>
          <w:szCs w:val="24"/>
        </w:rPr>
        <w:t xml:space="preserve"> reasonably be expected to use. </w:t>
      </w:r>
      <w:r w:rsidR="003738C7" w:rsidRPr="00344296">
        <w:rPr>
          <w:rFonts w:ascii="Arial" w:hAnsi="Arial" w:cs="Arial"/>
          <w:sz w:val="24"/>
          <w:szCs w:val="24"/>
        </w:rPr>
        <w:t>O</w:t>
      </w:r>
      <w:r w:rsidR="00D6014E" w:rsidRPr="00344296">
        <w:rPr>
          <w:rFonts w:ascii="Arial" w:hAnsi="Arial" w:cs="Arial"/>
          <w:sz w:val="24"/>
          <w:szCs w:val="24"/>
        </w:rPr>
        <w:t>n 31</w:t>
      </w:r>
      <w:r w:rsidR="00D6014E" w:rsidRPr="00344296">
        <w:rPr>
          <w:rFonts w:ascii="Arial" w:hAnsi="Arial" w:cs="Arial"/>
          <w:sz w:val="24"/>
          <w:szCs w:val="24"/>
          <w:vertAlign w:val="superscript"/>
        </w:rPr>
        <w:t>st</w:t>
      </w:r>
      <w:r w:rsidR="00A22332" w:rsidRPr="00344296">
        <w:rPr>
          <w:rFonts w:ascii="Arial" w:hAnsi="Arial" w:cs="Arial"/>
          <w:sz w:val="24"/>
          <w:szCs w:val="24"/>
        </w:rPr>
        <w:t xml:space="preserve"> </w:t>
      </w:r>
      <w:r w:rsidR="00D6014E" w:rsidRPr="00344296">
        <w:rPr>
          <w:rFonts w:ascii="Arial" w:hAnsi="Arial" w:cs="Arial"/>
          <w:sz w:val="24"/>
          <w:szCs w:val="24"/>
        </w:rPr>
        <w:t>January 2019</w:t>
      </w:r>
      <w:r w:rsidR="00945935">
        <w:rPr>
          <w:rFonts w:ascii="Arial" w:hAnsi="Arial" w:cs="Arial"/>
          <w:sz w:val="24"/>
          <w:szCs w:val="24"/>
        </w:rPr>
        <w:t>,</w:t>
      </w:r>
      <w:r w:rsidR="00D6014E" w:rsidRPr="00344296">
        <w:rPr>
          <w:rFonts w:ascii="Arial" w:hAnsi="Arial" w:cs="Arial"/>
          <w:sz w:val="24"/>
          <w:szCs w:val="24"/>
        </w:rPr>
        <w:t xml:space="preserve"> the </w:t>
      </w:r>
      <w:r w:rsidRPr="00344296">
        <w:rPr>
          <w:rFonts w:ascii="Arial" w:hAnsi="Arial" w:cs="Arial"/>
          <w:sz w:val="24"/>
          <w:szCs w:val="24"/>
        </w:rPr>
        <w:t>res</w:t>
      </w:r>
      <w:r w:rsidR="00D6014E" w:rsidRPr="00344296">
        <w:rPr>
          <w:rFonts w:ascii="Arial" w:hAnsi="Arial" w:cs="Arial"/>
          <w:sz w:val="24"/>
          <w:szCs w:val="24"/>
        </w:rPr>
        <w:t xml:space="preserve">pondent electronically served the </w:t>
      </w:r>
      <w:r w:rsidRPr="00344296">
        <w:rPr>
          <w:rFonts w:ascii="Arial" w:hAnsi="Arial" w:cs="Arial"/>
          <w:sz w:val="24"/>
          <w:szCs w:val="24"/>
        </w:rPr>
        <w:t>applica</w:t>
      </w:r>
      <w:r w:rsidR="00D6014E" w:rsidRPr="00344296">
        <w:rPr>
          <w:rFonts w:ascii="Arial" w:hAnsi="Arial" w:cs="Arial"/>
          <w:sz w:val="24"/>
          <w:szCs w:val="24"/>
        </w:rPr>
        <w:t xml:space="preserve">nt the notice of the objection decision via its registered/known email address for tax purposes. The notice of objection decision was also uploaded to </w:t>
      </w:r>
      <w:r w:rsidR="00236A5F" w:rsidRPr="00344296">
        <w:rPr>
          <w:rFonts w:ascii="Arial" w:hAnsi="Arial" w:cs="Arial"/>
          <w:sz w:val="24"/>
          <w:szCs w:val="24"/>
        </w:rPr>
        <w:t>the ap</w:t>
      </w:r>
      <w:r w:rsidR="00D6014E" w:rsidRPr="00344296">
        <w:rPr>
          <w:rFonts w:ascii="Arial" w:hAnsi="Arial" w:cs="Arial"/>
          <w:sz w:val="24"/>
          <w:szCs w:val="24"/>
        </w:rPr>
        <w:t>plicant's URA Portal User account on the same day.</w:t>
      </w:r>
    </w:p>
    <w:p w14:paraId="4E8D84A9" w14:textId="3A0FD616" w:rsidR="00D6014E"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 </w:t>
      </w:r>
    </w:p>
    <w:p w14:paraId="49C196B8" w14:textId="4D593AAF" w:rsidR="000622DD" w:rsidRDefault="00196D4C" w:rsidP="007273FA">
      <w:pPr>
        <w:spacing w:after="0" w:line="360" w:lineRule="auto"/>
        <w:jc w:val="both"/>
        <w:rPr>
          <w:rFonts w:ascii="Arial" w:hAnsi="Arial" w:cs="Arial"/>
          <w:sz w:val="24"/>
          <w:szCs w:val="24"/>
        </w:rPr>
      </w:pPr>
      <w:r w:rsidRPr="00344296">
        <w:rPr>
          <w:rFonts w:ascii="Arial" w:hAnsi="Arial" w:cs="Arial"/>
          <w:sz w:val="24"/>
          <w:szCs w:val="24"/>
        </w:rPr>
        <w:t>The respondent</w:t>
      </w:r>
      <w:r w:rsidR="00A22332" w:rsidRPr="00344296">
        <w:rPr>
          <w:rFonts w:ascii="Arial" w:hAnsi="Arial" w:cs="Arial"/>
          <w:sz w:val="24"/>
          <w:szCs w:val="24"/>
        </w:rPr>
        <w:t xml:space="preserve"> submitted that </w:t>
      </w:r>
      <w:r w:rsidR="00D6014E" w:rsidRPr="00344296">
        <w:rPr>
          <w:rFonts w:ascii="Arial" w:hAnsi="Arial" w:cs="Arial"/>
          <w:sz w:val="24"/>
          <w:szCs w:val="24"/>
        </w:rPr>
        <w:t xml:space="preserve">the </w:t>
      </w:r>
      <w:r w:rsidR="00236A5F" w:rsidRPr="00344296">
        <w:rPr>
          <w:rFonts w:ascii="Arial" w:hAnsi="Arial" w:cs="Arial"/>
          <w:sz w:val="24"/>
          <w:szCs w:val="24"/>
        </w:rPr>
        <w:t>appli</w:t>
      </w:r>
      <w:r w:rsidR="00D6014E" w:rsidRPr="00344296">
        <w:rPr>
          <w:rFonts w:ascii="Arial" w:hAnsi="Arial" w:cs="Arial"/>
          <w:sz w:val="24"/>
          <w:szCs w:val="24"/>
        </w:rPr>
        <w:t>cant admit</w:t>
      </w:r>
      <w:r w:rsidR="00D528F8">
        <w:rPr>
          <w:rFonts w:ascii="Arial" w:hAnsi="Arial" w:cs="Arial"/>
          <w:sz w:val="24"/>
          <w:szCs w:val="24"/>
        </w:rPr>
        <w:t>ted</w:t>
      </w:r>
      <w:r w:rsidR="00D6014E" w:rsidRPr="00344296">
        <w:rPr>
          <w:rFonts w:ascii="Arial" w:hAnsi="Arial" w:cs="Arial"/>
          <w:sz w:val="24"/>
          <w:szCs w:val="24"/>
        </w:rPr>
        <w:t xml:space="preserve"> the electronic service of the objection decision. </w:t>
      </w:r>
      <w:r w:rsidR="00945935">
        <w:rPr>
          <w:rFonts w:ascii="Arial" w:hAnsi="Arial" w:cs="Arial"/>
          <w:sz w:val="24"/>
          <w:szCs w:val="24"/>
        </w:rPr>
        <w:t>However it</w:t>
      </w:r>
      <w:r w:rsidR="00D6014E" w:rsidRPr="00344296">
        <w:rPr>
          <w:rFonts w:ascii="Arial" w:hAnsi="Arial" w:cs="Arial"/>
          <w:sz w:val="24"/>
          <w:szCs w:val="24"/>
        </w:rPr>
        <w:t xml:space="preserve"> allege</w:t>
      </w:r>
      <w:r w:rsidR="00C46B09">
        <w:rPr>
          <w:rFonts w:ascii="Arial" w:hAnsi="Arial" w:cs="Arial"/>
          <w:sz w:val="24"/>
          <w:szCs w:val="24"/>
        </w:rPr>
        <w:t>d</w:t>
      </w:r>
      <w:r w:rsidR="00D6014E" w:rsidRPr="00344296">
        <w:rPr>
          <w:rFonts w:ascii="Arial" w:hAnsi="Arial" w:cs="Arial"/>
          <w:sz w:val="24"/>
          <w:szCs w:val="24"/>
        </w:rPr>
        <w:t xml:space="preserve"> that the </w:t>
      </w:r>
      <w:r w:rsidR="0081494E" w:rsidRPr="00344296">
        <w:rPr>
          <w:rFonts w:ascii="Arial" w:hAnsi="Arial" w:cs="Arial"/>
          <w:sz w:val="24"/>
          <w:szCs w:val="24"/>
        </w:rPr>
        <w:t>above-mentioned</w:t>
      </w:r>
      <w:r w:rsidR="00D6014E" w:rsidRPr="00344296">
        <w:rPr>
          <w:rFonts w:ascii="Arial" w:hAnsi="Arial" w:cs="Arial"/>
          <w:sz w:val="24"/>
          <w:szCs w:val="24"/>
        </w:rPr>
        <w:t xml:space="preserve"> email address does not belong to it but to its accountant who did not inform it of the objection decision until late</w:t>
      </w:r>
      <w:r w:rsidR="00945935">
        <w:rPr>
          <w:rFonts w:ascii="Arial" w:hAnsi="Arial" w:cs="Arial"/>
          <w:sz w:val="24"/>
          <w:szCs w:val="24"/>
        </w:rPr>
        <w:t>r</w:t>
      </w:r>
      <w:r w:rsidR="00D6014E" w:rsidRPr="00344296">
        <w:rPr>
          <w:rFonts w:ascii="Arial" w:hAnsi="Arial" w:cs="Arial"/>
          <w:sz w:val="24"/>
          <w:szCs w:val="24"/>
        </w:rPr>
        <w:t xml:space="preserve"> </w:t>
      </w:r>
      <w:r w:rsidR="0081494E" w:rsidRPr="00344296">
        <w:rPr>
          <w:rFonts w:ascii="Arial" w:hAnsi="Arial" w:cs="Arial"/>
          <w:sz w:val="24"/>
          <w:szCs w:val="24"/>
        </w:rPr>
        <w:t>The respondent submitted that t</w:t>
      </w:r>
      <w:r w:rsidR="00D6014E" w:rsidRPr="00344296">
        <w:rPr>
          <w:rFonts w:ascii="Arial" w:hAnsi="Arial" w:cs="Arial"/>
          <w:sz w:val="24"/>
          <w:szCs w:val="24"/>
        </w:rPr>
        <w:t xml:space="preserve">he email address, </w:t>
      </w:r>
      <w:hyperlink r:id="rId9" w:history="1">
        <w:r w:rsidR="00945935" w:rsidRPr="00E71733">
          <w:rPr>
            <w:rStyle w:val="Hyperlink"/>
            <w:rFonts w:ascii="Arial" w:hAnsi="Arial" w:cs="Arial"/>
            <w:sz w:val="24"/>
            <w:szCs w:val="24"/>
          </w:rPr>
          <w:t>manjiconsult@gmail.com</w:t>
        </w:r>
      </w:hyperlink>
      <w:r w:rsidR="00D6014E" w:rsidRPr="00344296">
        <w:rPr>
          <w:rFonts w:ascii="Arial" w:hAnsi="Arial" w:cs="Arial"/>
          <w:sz w:val="24"/>
          <w:szCs w:val="24"/>
        </w:rPr>
        <w:t xml:space="preserve"> and URA </w:t>
      </w:r>
      <w:r w:rsidR="00D6014E" w:rsidRPr="00344296">
        <w:rPr>
          <w:rFonts w:ascii="Arial" w:hAnsi="Arial" w:cs="Arial"/>
          <w:sz w:val="24"/>
          <w:szCs w:val="24"/>
        </w:rPr>
        <w:lastRenderedPageBreak/>
        <w:t xml:space="preserve">Portal User account have been used as effective modes of communication between the </w:t>
      </w:r>
      <w:r w:rsidR="00236A5F" w:rsidRPr="00344296">
        <w:rPr>
          <w:rFonts w:ascii="Arial" w:hAnsi="Arial" w:cs="Arial"/>
          <w:sz w:val="24"/>
          <w:szCs w:val="24"/>
        </w:rPr>
        <w:t>applicant and respondent</w:t>
      </w:r>
      <w:r w:rsidR="00D6014E" w:rsidRPr="00344296">
        <w:rPr>
          <w:rFonts w:ascii="Arial" w:hAnsi="Arial" w:cs="Arial"/>
          <w:sz w:val="24"/>
          <w:szCs w:val="24"/>
        </w:rPr>
        <w:t xml:space="preserve">. </w:t>
      </w:r>
      <w:r w:rsidR="00945935">
        <w:rPr>
          <w:rFonts w:ascii="Arial" w:hAnsi="Arial" w:cs="Arial"/>
          <w:sz w:val="24"/>
          <w:szCs w:val="24"/>
        </w:rPr>
        <w:t>T</w:t>
      </w:r>
      <w:r w:rsidR="00D6014E" w:rsidRPr="00344296">
        <w:rPr>
          <w:rFonts w:ascii="Arial" w:hAnsi="Arial" w:cs="Arial"/>
          <w:sz w:val="24"/>
          <w:szCs w:val="24"/>
        </w:rPr>
        <w:t xml:space="preserve">he </w:t>
      </w:r>
      <w:r w:rsidR="00236A5F" w:rsidRPr="00344296">
        <w:rPr>
          <w:rFonts w:ascii="Arial" w:hAnsi="Arial" w:cs="Arial"/>
          <w:sz w:val="24"/>
          <w:szCs w:val="24"/>
        </w:rPr>
        <w:t>applicant d</w:t>
      </w:r>
      <w:r w:rsidR="00945935">
        <w:rPr>
          <w:rFonts w:ascii="Arial" w:hAnsi="Arial" w:cs="Arial"/>
          <w:sz w:val="24"/>
          <w:szCs w:val="24"/>
        </w:rPr>
        <w:t>id</w:t>
      </w:r>
      <w:r w:rsidR="00D6014E" w:rsidRPr="00344296">
        <w:rPr>
          <w:rFonts w:ascii="Arial" w:hAnsi="Arial" w:cs="Arial"/>
          <w:sz w:val="24"/>
          <w:szCs w:val="24"/>
        </w:rPr>
        <w:t xml:space="preserve"> not dispute receipt and knowledge of prior tax communications sent to it vide these channels of communications including the impugned </w:t>
      </w:r>
      <w:r w:rsidR="00945935">
        <w:rPr>
          <w:rFonts w:ascii="Arial" w:hAnsi="Arial" w:cs="Arial"/>
          <w:sz w:val="24"/>
          <w:szCs w:val="24"/>
        </w:rPr>
        <w:t>i</w:t>
      </w:r>
      <w:r w:rsidR="00D6014E" w:rsidRPr="00344296">
        <w:rPr>
          <w:rFonts w:ascii="Arial" w:hAnsi="Arial" w:cs="Arial"/>
          <w:sz w:val="24"/>
          <w:szCs w:val="24"/>
        </w:rPr>
        <w:t xml:space="preserve">ncome </w:t>
      </w:r>
      <w:r w:rsidR="00945935">
        <w:rPr>
          <w:rFonts w:ascii="Arial" w:hAnsi="Arial" w:cs="Arial"/>
          <w:sz w:val="24"/>
          <w:szCs w:val="24"/>
        </w:rPr>
        <w:t>t</w:t>
      </w:r>
      <w:r w:rsidR="00D6014E" w:rsidRPr="00344296">
        <w:rPr>
          <w:rFonts w:ascii="Arial" w:hAnsi="Arial" w:cs="Arial"/>
          <w:sz w:val="24"/>
          <w:szCs w:val="24"/>
        </w:rPr>
        <w:t xml:space="preserve">ax </w:t>
      </w:r>
      <w:r w:rsidR="00945935">
        <w:rPr>
          <w:rFonts w:ascii="Arial" w:hAnsi="Arial" w:cs="Arial"/>
          <w:sz w:val="24"/>
          <w:szCs w:val="24"/>
        </w:rPr>
        <w:t>a</w:t>
      </w:r>
      <w:r w:rsidR="00D6014E" w:rsidRPr="00344296">
        <w:rPr>
          <w:rFonts w:ascii="Arial" w:hAnsi="Arial" w:cs="Arial"/>
          <w:sz w:val="24"/>
          <w:szCs w:val="24"/>
        </w:rPr>
        <w:t>ssessment</w:t>
      </w:r>
      <w:r w:rsidR="00945935">
        <w:rPr>
          <w:rFonts w:ascii="Arial" w:hAnsi="Arial" w:cs="Arial"/>
          <w:sz w:val="24"/>
          <w:szCs w:val="24"/>
        </w:rPr>
        <w:t>s</w:t>
      </w:r>
      <w:r w:rsidR="00D6014E" w:rsidRPr="00344296">
        <w:rPr>
          <w:rFonts w:ascii="Arial" w:hAnsi="Arial" w:cs="Arial"/>
          <w:sz w:val="24"/>
          <w:szCs w:val="24"/>
        </w:rPr>
        <w:t xml:space="preserve"> and </w:t>
      </w:r>
      <w:r w:rsidR="00945935">
        <w:rPr>
          <w:rFonts w:ascii="Arial" w:hAnsi="Arial" w:cs="Arial"/>
          <w:sz w:val="24"/>
          <w:szCs w:val="24"/>
        </w:rPr>
        <w:t>a</w:t>
      </w:r>
      <w:r w:rsidR="00D6014E" w:rsidRPr="00344296">
        <w:rPr>
          <w:rFonts w:ascii="Arial" w:hAnsi="Arial" w:cs="Arial"/>
          <w:sz w:val="24"/>
          <w:szCs w:val="24"/>
        </w:rPr>
        <w:t xml:space="preserve">cknowledgement of </w:t>
      </w:r>
      <w:r w:rsidR="00945935">
        <w:rPr>
          <w:rFonts w:ascii="Arial" w:hAnsi="Arial" w:cs="Arial"/>
          <w:sz w:val="24"/>
          <w:szCs w:val="24"/>
        </w:rPr>
        <w:t>r</w:t>
      </w:r>
      <w:r w:rsidR="00D6014E" w:rsidRPr="00344296">
        <w:rPr>
          <w:rFonts w:ascii="Arial" w:hAnsi="Arial" w:cs="Arial"/>
          <w:sz w:val="24"/>
          <w:szCs w:val="24"/>
        </w:rPr>
        <w:t>eceipt of its objection to the said assessment</w:t>
      </w:r>
      <w:r w:rsidR="00945935">
        <w:rPr>
          <w:rFonts w:ascii="Arial" w:hAnsi="Arial" w:cs="Arial"/>
          <w:sz w:val="24"/>
          <w:szCs w:val="24"/>
        </w:rPr>
        <w:t>s</w:t>
      </w:r>
      <w:r w:rsidR="00D6014E" w:rsidRPr="00344296">
        <w:rPr>
          <w:rFonts w:ascii="Arial" w:hAnsi="Arial" w:cs="Arial"/>
          <w:sz w:val="24"/>
          <w:szCs w:val="24"/>
        </w:rPr>
        <w:t>.</w:t>
      </w:r>
      <w:r w:rsidR="000622DD">
        <w:rPr>
          <w:rFonts w:ascii="Arial" w:hAnsi="Arial" w:cs="Arial"/>
          <w:sz w:val="24"/>
          <w:szCs w:val="24"/>
        </w:rPr>
        <w:t xml:space="preserve"> </w:t>
      </w:r>
      <w:r w:rsidR="00236A5F" w:rsidRPr="00344296">
        <w:rPr>
          <w:rFonts w:ascii="Arial" w:hAnsi="Arial" w:cs="Arial"/>
          <w:sz w:val="24"/>
          <w:szCs w:val="24"/>
        </w:rPr>
        <w:t xml:space="preserve">The respondent prayed that this </w:t>
      </w:r>
      <w:r w:rsidR="00D6014E" w:rsidRPr="00344296">
        <w:rPr>
          <w:rFonts w:ascii="Arial" w:hAnsi="Arial" w:cs="Arial"/>
          <w:sz w:val="24"/>
          <w:szCs w:val="24"/>
        </w:rPr>
        <w:t>Tribunal find</w:t>
      </w:r>
      <w:r w:rsidR="000622DD">
        <w:rPr>
          <w:rFonts w:ascii="Arial" w:hAnsi="Arial" w:cs="Arial"/>
          <w:sz w:val="24"/>
          <w:szCs w:val="24"/>
        </w:rPr>
        <w:t>s</w:t>
      </w:r>
      <w:r w:rsidR="00D6014E" w:rsidRPr="00344296">
        <w:rPr>
          <w:rFonts w:ascii="Arial" w:hAnsi="Arial" w:cs="Arial"/>
          <w:sz w:val="24"/>
          <w:szCs w:val="24"/>
        </w:rPr>
        <w:t xml:space="preserve"> that electronic service of the </w:t>
      </w:r>
      <w:r w:rsidR="00945935">
        <w:rPr>
          <w:rFonts w:ascii="Arial" w:hAnsi="Arial" w:cs="Arial"/>
          <w:sz w:val="24"/>
          <w:szCs w:val="24"/>
        </w:rPr>
        <w:t>ob</w:t>
      </w:r>
      <w:r w:rsidR="000622DD">
        <w:rPr>
          <w:rFonts w:ascii="Arial" w:hAnsi="Arial" w:cs="Arial"/>
          <w:sz w:val="24"/>
          <w:szCs w:val="24"/>
        </w:rPr>
        <w:t>jection</w:t>
      </w:r>
      <w:r w:rsidR="00D6014E" w:rsidRPr="00344296">
        <w:rPr>
          <w:rFonts w:ascii="Arial" w:hAnsi="Arial" w:cs="Arial"/>
          <w:sz w:val="24"/>
          <w:szCs w:val="24"/>
        </w:rPr>
        <w:t xml:space="preserve"> decision was sufficient service on the </w:t>
      </w:r>
      <w:r w:rsidR="00236A5F" w:rsidRPr="00344296">
        <w:rPr>
          <w:rFonts w:ascii="Arial" w:hAnsi="Arial" w:cs="Arial"/>
          <w:sz w:val="24"/>
          <w:szCs w:val="24"/>
        </w:rPr>
        <w:t xml:space="preserve">applicant.  </w:t>
      </w:r>
    </w:p>
    <w:p w14:paraId="3A330F5F" w14:textId="77777777" w:rsidR="000622DD" w:rsidRDefault="000622DD" w:rsidP="007273FA">
      <w:pPr>
        <w:spacing w:after="0" w:line="360" w:lineRule="auto"/>
        <w:jc w:val="both"/>
        <w:rPr>
          <w:rFonts w:ascii="Arial" w:hAnsi="Arial" w:cs="Arial"/>
          <w:sz w:val="24"/>
          <w:szCs w:val="24"/>
        </w:rPr>
      </w:pPr>
    </w:p>
    <w:p w14:paraId="0FC9710A" w14:textId="652151F9" w:rsidR="00D6014E" w:rsidRPr="00344296" w:rsidRDefault="000622DD" w:rsidP="007273FA">
      <w:pPr>
        <w:spacing w:after="0" w:line="360" w:lineRule="auto"/>
        <w:jc w:val="both"/>
        <w:rPr>
          <w:rFonts w:ascii="Arial" w:hAnsi="Arial" w:cs="Arial"/>
          <w:sz w:val="24"/>
          <w:szCs w:val="24"/>
        </w:rPr>
      </w:pPr>
      <w:r>
        <w:rPr>
          <w:rFonts w:ascii="Arial" w:hAnsi="Arial" w:cs="Arial"/>
          <w:sz w:val="24"/>
          <w:szCs w:val="24"/>
        </w:rPr>
        <w:t>The respondent also contended that s</w:t>
      </w:r>
      <w:r w:rsidR="00D6014E" w:rsidRPr="00344296">
        <w:rPr>
          <w:rFonts w:ascii="Arial" w:hAnsi="Arial" w:cs="Arial"/>
          <w:sz w:val="24"/>
          <w:szCs w:val="24"/>
        </w:rPr>
        <w:t xml:space="preserve">ervice on an agent is sufficient service. </w:t>
      </w:r>
      <w:r w:rsidR="00945935">
        <w:rPr>
          <w:rFonts w:ascii="Arial" w:hAnsi="Arial" w:cs="Arial"/>
          <w:sz w:val="24"/>
          <w:szCs w:val="24"/>
        </w:rPr>
        <w:t>It</w:t>
      </w:r>
      <w:r>
        <w:rPr>
          <w:rFonts w:ascii="Arial" w:hAnsi="Arial" w:cs="Arial"/>
          <w:sz w:val="24"/>
          <w:szCs w:val="24"/>
        </w:rPr>
        <w:t xml:space="preserve"> cited </w:t>
      </w:r>
      <w:r w:rsidR="00D6014E" w:rsidRPr="00344296">
        <w:rPr>
          <w:rFonts w:ascii="Arial" w:hAnsi="Arial" w:cs="Arial"/>
          <w:sz w:val="24"/>
          <w:szCs w:val="24"/>
        </w:rPr>
        <w:t>O</w:t>
      </w:r>
      <w:r w:rsidR="00413557">
        <w:rPr>
          <w:rFonts w:ascii="Arial" w:hAnsi="Arial" w:cs="Arial"/>
          <w:sz w:val="24"/>
          <w:szCs w:val="24"/>
        </w:rPr>
        <w:t>rder</w:t>
      </w:r>
      <w:r w:rsidR="00D6014E" w:rsidRPr="00344296">
        <w:rPr>
          <w:rFonts w:ascii="Arial" w:hAnsi="Arial" w:cs="Arial"/>
          <w:sz w:val="24"/>
          <w:szCs w:val="24"/>
        </w:rPr>
        <w:t xml:space="preserve"> 3 </w:t>
      </w:r>
      <w:r w:rsidR="00413557">
        <w:rPr>
          <w:rFonts w:ascii="Arial" w:hAnsi="Arial" w:cs="Arial"/>
          <w:sz w:val="24"/>
          <w:szCs w:val="24"/>
        </w:rPr>
        <w:t>Ru</w:t>
      </w:r>
      <w:r w:rsidR="00D6014E" w:rsidRPr="00344296">
        <w:rPr>
          <w:rFonts w:ascii="Arial" w:hAnsi="Arial" w:cs="Arial"/>
          <w:sz w:val="24"/>
          <w:szCs w:val="24"/>
        </w:rPr>
        <w:t xml:space="preserve">le 3(1) of the Civil Procedure Rules which are to the effect </w:t>
      </w:r>
      <w:r w:rsidR="00F851A5" w:rsidRPr="00344296">
        <w:rPr>
          <w:rFonts w:ascii="Arial" w:hAnsi="Arial" w:cs="Arial"/>
          <w:sz w:val="24"/>
          <w:szCs w:val="24"/>
        </w:rPr>
        <w:t>that.</w:t>
      </w:r>
      <w:r w:rsidR="00D6014E" w:rsidRPr="00344296">
        <w:rPr>
          <w:rFonts w:ascii="Arial" w:hAnsi="Arial" w:cs="Arial"/>
          <w:sz w:val="24"/>
          <w:szCs w:val="24"/>
        </w:rPr>
        <w:t xml:space="preserve"> </w:t>
      </w:r>
    </w:p>
    <w:p w14:paraId="1AEE3EA0" w14:textId="77777777" w:rsidR="00236A5F" w:rsidRPr="00C0512E" w:rsidRDefault="00D6014E" w:rsidP="00C0512E">
      <w:pPr>
        <w:spacing w:after="0" w:line="360" w:lineRule="auto"/>
        <w:ind w:left="720"/>
        <w:jc w:val="both"/>
        <w:rPr>
          <w:rFonts w:ascii="Arial" w:hAnsi="Arial" w:cs="Arial"/>
        </w:rPr>
      </w:pPr>
      <w:r w:rsidRPr="00C0512E">
        <w:rPr>
          <w:rFonts w:ascii="Arial" w:hAnsi="Arial" w:cs="Arial"/>
        </w:rPr>
        <w:t xml:space="preserve">"Processes served on the </w:t>
      </w:r>
      <w:r w:rsidR="00236A5F" w:rsidRPr="00C0512E">
        <w:rPr>
          <w:rFonts w:ascii="Arial" w:hAnsi="Arial" w:cs="Arial"/>
        </w:rPr>
        <w:t>recognized</w:t>
      </w:r>
      <w:r w:rsidRPr="00C0512E">
        <w:rPr>
          <w:rFonts w:ascii="Arial" w:hAnsi="Arial" w:cs="Arial"/>
        </w:rPr>
        <w:t xml:space="preserve"> agent of a party shall be as effectual as if they had been served on the party in person, unless the court otherwise directs." </w:t>
      </w:r>
    </w:p>
    <w:p w14:paraId="19A0211D" w14:textId="29EF2679" w:rsidR="00236A5F"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Furthermore, O</w:t>
      </w:r>
      <w:r w:rsidR="00413557">
        <w:rPr>
          <w:rFonts w:ascii="Arial" w:hAnsi="Arial" w:cs="Arial"/>
          <w:sz w:val="24"/>
          <w:szCs w:val="24"/>
        </w:rPr>
        <w:t>rder</w:t>
      </w:r>
      <w:r w:rsidRPr="00344296">
        <w:rPr>
          <w:rFonts w:ascii="Arial" w:hAnsi="Arial" w:cs="Arial"/>
          <w:sz w:val="24"/>
          <w:szCs w:val="24"/>
        </w:rPr>
        <w:t xml:space="preserve"> 5 R</w:t>
      </w:r>
      <w:r w:rsidR="00413557">
        <w:rPr>
          <w:rFonts w:ascii="Arial" w:hAnsi="Arial" w:cs="Arial"/>
          <w:sz w:val="24"/>
          <w:szCs w:val="24"/>
        </w:rPr>
        <w:t>ule</w:t>
      </w:r>
      <w:r w:rsidRPr="00344296">
        <w:rPr>
          <w:rFonts w:ascii="Arial" w:hAnsi="Arial" w:cs="Arial"/>
          <w:sz w:val="24"/>
          <w:szCs w:val="24"/>
        </w:rPr>
        <w:t xml:space="preserve"> 10 provides: </w:t>
      </w:r>
    </w:p>
    <w:p w14:paraId="3E02595C" w14:textId="15AFF03D" w:rsidR="00D6014E" w:rsidRPr="00C0512E" w:rsidRDefault="00D6014E" w:rsidP="00C0512E">
      <w:pPr>
        <w:spacing w:after="0" w:line="360" w:lineRule="auto"/>
        <w:ind w:left="720"/>
        <w:jc w:val="both"/>
        <w:rPr>
          <w:rFonts w:ascii="Arial" w:hAnsi="Arial" w:cs="Arial"/>
        </w:rPr>
      </w:pPr>
      <w:r w:rsidRPr="00344296">
        <w:rPr>
          <w:rFonts w:ascii="Arial" w:hAnsi="Arial" w:cs="Arial"/>
          <w:sz w:val="24"/>
          <w:szCs w:val="24"/>
        </w:rPr>
        <w:t>"</w:t>
      </w:r>
      <w:r w:rsidRPr="00C0512E">
        <w:rPr>
          <w:rFonts w:ascii="Arial" w:hAnsi="Arial" w:cs="Arial"/>
        </w:rPr>
        <w:t xml:space="preserve">Wherever it is practicable, service shall be made on the Defendant in person, unless he or she has an agent empowered to accept service, in which case service on the agent shall be sufficient." </w:t>
      </w:r>
    </w:p>
    <w:p w14:paraId="23004295" w14:textId="059DD440" w:rsidR="00C0512E" w:rsidRDefault="008578B6" w:rsidP="007273FA">
      <w:pPr>
        <w:spacing w:after="0" w:line="360" w:lineRule="auto"/>
        <w:jc w:val="both"/>
        <w:rPr>
          <w:rFonts w:ascii="Arial" w:hAnsi="Arial" w:cs="Arial"/>
          <w:sz w:val="24"/>
          <w:szCs w:val="24"/>
        </w:rPr>
      </w:pPr>
      <w:r w:rsidRPr="00344296">
        <w:rPr>
          <w:rFonts w:ascii="Arial" w:hAnsi="Arial" w:cs="Arial"/>
          <w:sz w:val="24"/>
          <w:szCs w:val="24"/>
        </w:rPr>
        <w:t>The respondent submitted that the ap</w:t>
      </w:r>
      <w:r w:rsidR="00236A5F" w:rsidRPr="00344296">
        <w:rPr>
          <w:rFonts w:ascii="Arial" w:hAnsi="Arial" w:cs="Arial"/>
          <w:sz w:val="24"/>
          <w:szCs w:val="24"/>
        </w:rPr>
        <w:t>pli</w:t>
      </w:r>
      <w:r w:rsidR="00D6014E" w:rsidRPr="00344296">
        <w:rPr>
          <w:rFonts w:ascii="Arial" w:hAnsi="Arial" w:cs="Arial"/>
          <w:sz w:val="24"/>
          <w:szCs w:val="24"/>
        </w:rPr>
        <w:t xml:space="preserve">cant presented the accountant as its </w:t>
      </w:r>
      <w:r w:rsidR="00236A5F" w:rsidRPr="00344296">
        <w:rPr>
          <w:rFonts w:ascii="Arial" w:hAnsi="Arial" w:cs="Arial"/>
          <w:sz w:val="24"/>
          <w:szCs w:val="24"/>
        </w:rPr>
        <w:t>recognized</w:t>
      </w:r>
      <w:r w:rsidR="00D6014E" w:rsidRPr="00344296">
        <w:rPr>
          <w:rFonts w:ascii="Arial" w:hAnsi="Arial" w:cs="Arial"/>
          <w:sz w:val="24"/>
          <w:szCs w:val="24"/>
        </w:rPr>
        <w:t xml:space="preserve"> agent for tax purposes when it listed their email address as its preferred email address for communications relating to tax. </w:t>
      </w:r>
      <w:r w:rsidR="001E2F2F" w:rsidRPr="00344296">
        <w:rPr>
          <w:rFonts w:ascii="Arial" w:hAnsi="Arial" w:cs="Arial"/>
          <w:sz w:val="24"/>
          <w:szCs w:val="24"/>
        </w:rPr>
        <w:t>The applica</w:t>
      </w:r>
      <w:r w:rsidR="00D6014E" w:rsidRPr="00344296">
        <w:rPr>
          <w:rFonts w:ascii="Arial" w:hAnsi="Arial" w:cs="Arial"/>
          <w:sz w:val="24"/>
          <w:szCs w:val="24"/>
        </w:rPr>
        <w:t>nt allege</w:t>
      </w:r>
      <w:r w:rsidR="00C0512E">
        <w:rPr>
          <w:rFonts w:ascii="Arial" w:hAnsi="Arial" w:cs="Arial"/>
          <w:sz w:val="24"/>
          <w:szCs w:val="24"/>
        </w:rPr>
        <w:t>d</w:t>
      </w:r>
      <w:r w:rsidR="00D6014E" w:rsidRPr="00344296">
        <w:rPr>
          <w:rFonts w:ascii="Arial" w:hAnsi="Arial" w:cs="Arial"/>
          <w:sz w:val="24"/>
          <w:szCs w:val="24"/>
        </w:rPr>
        <w:t xml:space="preserve"> that its accountant did not communicate the objection decision to it until 10</w:t>
      </w:r>
      <w:r w:rsidR="00D6014E" w:rsidRPr="00344296">
        <w:rPr>
          <w:rFonts w:ascii="Arial" w:hAnsi="Arial" w:cs="Arial"/>
          <w:sz w:val="24"/>
          <w:szCs w:val="24"/>
          <w:vertAlign w:val="superscript"/>
        </w:rPr>
        <w:t>th</w:t>
      </w:r>
      <w:r w:rsidR="001E2F2F" w:rsidRPr="00344296">
        <w:rPr>
          <w:rFonts w:ascii="Arial" w:hAnsi="Arial" w:cs="Arial"/>
          <w:sz w:val="24"/>
          <w:szCs w:val="24"/>
        </w:rPr>
        <w:t xml:space="preserve"> </w:t>
      </w:r>
      <w:r w:rsidR="00D6014E" w:rsidRPr="00344296">
        <w:rPr>
          <w:rFonts w:ascii="Arial" w:hAnsi="Arial" w:cs="Arial"/>
          <w:sz w:val="24"/>
          <w:szCs w:val="24"/>
        </w:rPr>
        <w:t xml:space="preserve">December 2022. </w:t>
      </w:r>
      <w:r w:rsidR="00C0512E">
        <w:rPr>
          <w:rFonts w:ascii="Arial" w:hAnsi="Arial" w:cs="Arial"/>
          <w:sz w:val="24"/>
          <w:szCs w:val="24"/>
        </w:rPr>
        <w:t xml:space="preserve"> </w:t>
      </w:r>
    </w:p>
    <w:p w14:paraId="17B7FC3D" w14:textId="77777777" w:rsidR="00C0512E" w:rsidRDefault="00C0512E" w:rsidP="007273FA">
      <w:pPr>
        <w:spacing w:after="0" w:line="360" w:lineRule="auto"/>
        <w:jc w:val="both"/>
        <w:rPr>
          <w:rFonts w:ascii="Arial" w:hAnsi="Arial" w:cs="Arial"/>
          <w:sz w:val="24"/>
          <w:szCs w:val="24"/>
        </w:rPr>
      </w:pPr>
    </w:p>
    <w:p w14:paraId="08CC6588" w14:textId="7B303E2B" w:rsidR="00D6014E" w:rsidRPr="00344296" w:rsidRDefault="001E2F2F" w:rsidP="007273FA">
      <w:pPr>
        <w:spacing w:after="0" w:line="360" w:lineRule="auto"/>
        <w:jc w:val="both"/>
        <w:rPr>
          <w:rFonts w:ascii="Arial" w:hAnsi="Arial" w:cs="Arial"/>
          <w:sz w:val="24"/>
          <w:szCs w:val="24"/>
        </w:rPr>
      </w:pPr>
      <w:r w:rsidRPr="00344296">
        <w:rPr>
          <w:rFonts w:ascii="Arial" w:hAnsi="Arial" w:cs="Arial"/>
          <w:sz w:val="24"/>
          <w:szCs w:val="24"/>
        </w:rPr>
        <w:t>The respondent submitted that</w:t>
      </w:r>
      <w:r w:rsidR="00D6014E" w:rsidRPr="00344296">
        <w:rPr>
          <w:rFonts w:ascii="Arial" w:hAnsi="Arial" w:cs="Arial"/>
          <w:sz w:val="24"/>
          <w:szCs w:val="24"/>
        </w:rPr>
        <w:t xml:space="preserve"> </w:t>
      </w:r>
      <w:r w:rsidR="00713A27">
        <w:rPr>
          <w:rFonts w:ascii="Arial" w:hAnsi="Arial" w:cs="Arial"/>
          <w:sz w:val="24"/>
          <w:szCs w:val="24"/>
        </w:rPr>
        <w:t>t</w:t>
      </w:r>
      <w:r w:rsidR="00D6014E" w:rsidRPr="00344296">
        <w:rPr>
          <w:rFonts w:ascii="Arial" w:hAnsi="Arial" w:cs="Arial"/>
          <w:sz w:val="24"/>
          <w:szCs w:val="24"/>
        </w:rPr>
        <w:t xml:space="preserve">he tax liability </w:t>
      </w:r>
      <w:r w:rsidR="00707C4E">
        <w:rPr>
          <w:rFonts w:ascii="Arial" w:hAnsi="Arial" w:cs="Arial"/>
          <w:sz w:val="24"/>
          <w:szCs w:val="24"/>
        </w:rPr>
        <w:t>in</w:t>
      </w:r>
      <w:r w:rsidR="00713A27">
        <w:rPr>
          <w:rFonts w:ascii="Arial" w:hAnsi="Arial" w:cs="Arial"/>
          <w:sz w:val="24"/>
          <w:szCs w:val="24"/>
        </w:rPr>
        <w:t xml:space="preserve"> t</w:t>
      </w:r>
      <w:r w:rsidR="00707C4E">
        <w:rPr>
          <w:rFonts w:ascii="Arial" w:hAnsi="Arial" w:cs="Arial"/>
          <w:sz w:val="24"/>
          <w:szCs w:val="24"/>
        </w:rPr>
        <w:t>h</w:t>
      </w:r>
      <w:r w:rsidR="00713A27">
        <w:rPr>
          <w:rFonts w:ascii="Arial" w:hAnsi="Arial" w:cs="Arial"/>
          <w:sz w:val="24"/>
          <w:szCs w:val="24"/>
        </w:rPr>
        <w:t>e</w:t>
      </w:r>
      <w:r w:rsidR="00D6014E" w:rsidRPr="00344296">
        <w:rPr>
          <w:rFonts w:ascii="Arial" w:hAnsi="Arial" w:cs="Arial"/>
          <w:sz w:val="24"/>
          <w:szCs w:val="24"/>
        </w:rPr>
        <w:t xml:space="preserve"> assessment</w:t>
      </w:r>
      <w:r w:rsidR="00413557">
        <w:rPr>
          <w:rFonts w:ascii="Arial" w:hAnsi="Arial" w:cs="Arial"/>
          <w:sz w:val="24"/>
          <w:szCs w:val="24"/>
        </w:rPr>
        <w:t>s</w:t>
      </w:r>
      <w:r w:rsidR="00D6014E" w:rsidRPr="00344296">
        <w:rPr>
          <w:rFonts w:ascii="Arial" w:hAnsi="Arial" w:cs="Arial"/>
          <w:sz w:val="24"/>
          <w:szCs w:val="24"/>
        </w:rPr>
        <w:t xml:space="preserve"> still appeared in </w:t>
      </w:r>
      <w:r w:rsidR="00707C4E">
        <w:rPr>
          <w:rFonts w:ascii="Arial" w:hAnsi="Arial" w:cs="Arial"/>
          <w:sz w:val="24"/>
          <w:szCs w:val="24"/>
        </w:rPr>
        <w:t xml:space="preserve">the applicant’s </w:t>
      </w:r>
      <w:r w:rsidR="00D6014E" w:rsidRPr="00344296">
        <w:rPr>
          <w:rFonts w:ascii="Arial" w:hAnsi="Arial" w:cs="Arial"/>
          <w:sz w:val="24"/>
          <w:szCs w:val="24"/>
        </w:rPr>
        <w:t xml:space="preserve">ledger. No evidence </w:t>
      </w:r>
      <w:r w:rsidR="00BA22DD">
        <w:rPr>
          <w:rFonts w:ascii="Arial" w:hAnsi="Arial" w:cs="Arial"/>
          <w:sz w:val="24"/>
          <w:szCs w:val="24"/>
        </w:rPr>
        <w:t>was</w:t>
      </w:r>
      <w:r w:rsidR="00D6014E" w:rsidRPr="00344296">
        <w:rPr>
          <w:rFonts w:ascii="Arial" w:hAnsi="Arial" w:cs="Arial"/>
          <w:sz w:val="24"/>
          <w:szCs w:val="24"/>
        </w:rPr>
        <w:t xml:space="preserve"> adduced o</w:t>
      </w:r>
      <w:r w:rsidR="00BA22DD">
        <w:rPr>
          <w:rFonts w:ascii="Arial" w:hAnsi="Arial" w:cs="Arial"/>
          <w:sz w:val="24"/>
          <w:szCs w:val="24"/>
        </w:rPr>
        <w:t>n</w:t>
      </w:r>
      <w:r w:rsidR="00D6014E" w:rsidRPr="00344296">
        <w:rPr>
          <w:rFonts w:ascii="Arial" w:hAnsi="Arial" w:cs="Arial"/>
          <w:sz w:val="24"/>
          <w:szCs w:val="24"/>
        </w:rPr>
        <w:t xml:space="preserve"> any follow-ups made </w:t>
      </w:r>
      <w:r w:rsidR="00BA22DD">
        <w:rPr>
          <w:rFonts w:ascii="Arial" w:hAnsi="Arial" w:cs="Arial"/>
          <w:sz w:val="24"/>
          <w:szCs w:val="24"/>
        </w:rPr>
        <w:t xml:space="preserve">by the applicant </w:t>
      </w:r>
      <w:r w:rsidR="00BA22DD" w:rsidRPr="00344296">
        <w:rPr>
          <w:rFonts w:ascii="Arial" w:hAnsi="Arial" w:cs="Arial"/>
          <w:sz w:val="24"/>
          <w:szCs w:val="24"/>
        </w:rPr>
        <w:t>or</w:t>
      </w:r>
      <w:r w:rsidR="00D6014E" w:rsidRPr="00344296">
        <w:rPr>
          <w:rFonts w:ascii="Arial" w:hAnsi="Arial" w:cs="Arial"/>
          <w:sz w:val="24"/>
          <w:szCs w:val="24"/>
        </w:rPr>
        <w:t xml:space="preserve"> </w:t>
      </w:r>
      <w:r w:rsidRPr="00344296">
        <w:rPr>
          <w:rFonts w:ascii="Arial" w:hAnsi="Arial" w:cs="Arial"/>
          <w:sz w:val="24"/>
          <w:szCs w:val="24"/>
        </w:rPr>
        <w:t>the res</w:t>
      </w:r>
      <w:r w:rsidR="00D6014E" w:rsidRPr="00344296">
        <w:rPr>
          <w:rFonts w:ascii="Arial" w:hAnsi="Arial" w:cs="Arial"/>
          <w:sz w:val="24"/>
          <w:szCs w:val="24"/>
        </w:rPr>
        <w:t>pondent. Th</w:t>
      </w:r>
      <w:r w:rsidR="00BA22DD">
        <w:rPr>
          <w:rFonts w:ascii="Arial" w:hAnsi="Arial" w:cs="Arial"/>
          <w:sz w:val="24"/>
          <w:szCs w:val="24"/>
        </w:rPr>
        <w:t>e respondent contended that this is</w:t>
      </w:r>
      <w:r w:rsidR="00D6014E" w:rsidRPr="00344296">
        <w:rPr>
          <w:rFonts w:ascii="Arial" w:hAnsi="Arial" w:cs="Arial"/>
          <w:sz w:val="24"/>
          <w:szCs w:val="24"/>
        </w:rPr>
        <w:t xml:space="preserve"> an indication of lack of prudence and disinterest </w:t>
      </w:r>
      <w:r w:rsidR="00BA22DD">
        <w:rPr>
          <w:rFonts w:ascii="Arial" w:hAnsi="Arial" w:cs="Arial"/>
          <w:sz w:val="24"/>
          <w:szCs w:val="24"/>
        </w:rPr>
        <w:t xml:space="preserve">by the applicant of </w:t>
      </w:r>
      <w:r w:rsidR="00D6014E" w:rsidRPr="00344296">
        <w:rPr>
          <w:rFonts w:ascii="Arial" w:hAnsi="Arial" w:cs="Arial"/>
          <w:sz w:val="24"/>
          <w:szCs w:val="24"/>
        </w:rPr>
        <w:t xml:space="preserve">its tax affairs. The </w:t>
      </w:r>
      <w:r w:rsidR="00413557">
        <w:rPr>
          <w:rFonts w:ascii="Arial" w:hAnsi="Arial" w:cs="Arial"/>
          <w:sz w:val="24"/>
          <w:szCs w:val="24"/>
        </w:rPr>
        <w:t xml:space="preserve">respondent argued that </w:t>
      </w:r>
      <w:r w:rsidRPr="00344296">
        <w:rPr>
          <w:rFonts w:ascii="Arial" w:hAnsi="Arial" w:cs="Arial"/>
          <w:sz w:val="24"/>
          <w:szCs w:val="24"/>
        </w:rPr>
        <w:t>applic</w:t>
      </w:r>
      <w:r w:rsidR="00D6014E" w:rsidRPr="00344296">
        <w:rPr>
          <w:rFonts w:ascii="Arial" w:hAnsi="Arial" w:cs="Arial"/>
          <w:sz w:val="24"/>
          <w:szCs w:val="24"/>
        </w:rPr>
        <w:t>ant can thus not be allowed to apportion blame on another entity. Th</w:t>
      </w:r>
      <w:r w:rsidR="00BA22DD">
        <w:rPr>
          <w:rFonts w:ascii="Arial" w:hAnsi="Arial" w:cs="Arial"/>
          <w:sz w:val="24"/>
          <w:szCs w:val="24"/>
        </w:rPr>
        <w:t xml:space="preserve">e respondent cited </w:t>
      </w:r>
      <w:r w:rsidR="00D6014E" w:rsidRPr="00BA22DD">
        <w:rPr>
          <w:rFonts w:ascii="Arial" w:hAnsi="Arial" w:cs="Arial"/>
          <w:sz w:val="24"/>
          <w:szCs w:val="24"/>
        </w:rPr>
        <w:t>Justice Wilson Masalu Musene in</w:t>
      </w:r>
      <w:r w:rsidR="00D6014E" w:rsidRPr="00344296">
        <w:rPr>
          <w:rFonts w:ascii="Arial" w:hAnsi="Arial" w:cs="Arial"/>
          <w:i/>
          <w:iCs/>
          <w:sz w:val="24"/>
          <w:szCs w:val="24"/>
        </w:rPr>
        <w:t xml:space="preserve"> Matovu Charles Kidimbo </w:t>
      </w:r>
      <w:r w:rsidR="00BA22DD">
        <w:rPr>
          <w:rFonts w:ascii="Arial" w:hAnsi="Arial" w:cs="Arial"/>
          <w:i/>
          <w:iCs/>
          <w:sz w:val="24"/>
          <w:szCs w:val="24"/>
        </w:rPr>
        <w:t>v</w:t>
      </w:r>
      <w:r w:rsidR="00D6014E" w:rsidRPr="00344296">
        <w:rPr>
          <w:rFonts w:ascii="Arial" w:hAnsi="Arial" w:cs="Arial"/>
          <w:i/>
          <w:iCs/>
          <w:sz w:val="24"/>
          <w:szCs w:val="24"/>
        </w:rPr>
        <w:t xml:space="preserve"> Lukwata Yusuf &amp; 3</w:t>
      </w:r>
      <w:r w:rsidR="009C0EC1">
        <w:rPr>
          <w:rFonts w:ascii="Arial" w:hAnsi="Arial" w:cs="Arial"/>
          <w:i/>
          <w:iCs/>
          <w:sz w:val="24"/>
          <w:szCs w:val="24"/>
        </w:rPr>
        <w:t xml:space="preserve"> others </w:t>
      </w:r>
      <w:r w:rsidR="00D6014E" w:rsidRPr="00344296">
        <w:rPr>
          <w:rFonts w:ascii="Arial" w:hAnsi="Arial" w:cs="Arial"/>
          <w:i/>
          <w:iCs/>
          <w:sz w:val="24"/>
          <w:szCs w:val="24"/>
        </w:rPr>
        <w:t>HCMA No. 40 OF 2017</w:t>
      </w:r>
      <w:r w:rsidR="00D6014E" w:rsidRPr="00344296">
        <w:rPr>
          <w:rFonts w:ascii="Arial" w:hAnsi="Arial" w:cs="Arial"/>
          <w:sz w:val="24"/>
          <w:szCs w:val="24"/>
        </w:rPr>
        <w:t xml:space="preserve"> where he stated as </w:t>
      </w:r>
      <w:r w:rsidR="00413557" w:rsidRPr="00344296">
        <w:rPr>
          <w:rFonts w:ascii="Arial" w:hAnsi="Arial" w:cs="Arial"/>
          <w:sz w:val="24"/>
          <w:szCs w:val="24"/>
        </w:rPr>
        <w:t>follows.</w:t>
      </w:r>
      <w:r w:rsidR="00D6014E" w:rsidRPr="00344296">
        <w:rPr>
          <w:rFonts w:ascii="Arial" w:hAnsi="Arial" w:cs="Arial"/>
          <w:sz w:val="24"/>
          <w:szCs w:val="24"/>
        </w:rPr>
        <w:t xml:space="preserve"> </w:t>
      </w:r>
    </w:p>
    <w:p w14:paraId="245FBDB8" w14:textId="541CE3E3" w:rsidR="00D6014E" w:rsidRPr="00BA22DD" w:rsidRDefault="00D6014E" w:rsidP="00BA22DD">
      <w:pPr>
        <w:spacing w:after="0" w:line="360" w:lineRule="auto"/>
        <w:ind w:left="720"/>
        <w:jc w:val="both"/>
        <w:rPr>
          <w:rFonts w:ascii="Arial" w:hAnsi="Arial" w:cs="Arial"/>
        </w:rPr>
      </w:pPr>
      <w:r w:rsidRPr="00BA22DD">
        <w:rPr>
          <w:rFonts w:ascii="Arial" w:hAnsi="Arial" w:cs="Arial"/>
        </w:rPr>
        <w:t xml:space="preserve">"Whereas it is true it has been held in a number of cases including Mutaba Barisa Kweterana LTD vs Bazirakye </w:t>
      </w:r>
      <w:r w:rsidR="000263F1">
        <w:rPr>
          <w:rFonts w:ascii="Arial" w:hAnsi="Arial" w:cs="Arial"/>
        </w:rPr>
        <w:t>Y</w:t>
      </w:r>
      <w:r w:rsidRPr="00BA22DD">
        <w:rPr>
          <w:rFonts w:ascii="Arial" w:hAnsi="Arial" w:cs="Arial"/>
        </w:rPr>
        <w:t>eremiya C.A.CA. NO. 158 of 2014, that mistake or negligence of an Advocate should not be visited on the litigant, the question is for how long should a litigant hold on the mistake of his/her Advocate</w:t>
      </w:r>
      <w:r w:rsidR="00BA22DD" w:rsidRPr="00BA22DD">
        <w:rPr>
          <w:rFonts w:ascii="Arial" w:hAnsi="Arial" w:cs="Arial"/>
        </w:rPr>
        <w:t>?</w:t>
      </w:r>
      <w:r w:rsidRPr="00BA22DD">
        <w:rPr>
          <w:rFonts w:ascii="Arial" w:hAnsi="Arial" w:cs="Arial"/>
        </w:rPr>
        <w:t xml:space="preserve"> Is it for one month, two months, six months or one year. In my humble view, there has to be a time limit within </w:t>
      </w:r>
      <w:r w:rsidRPr="00BA22DD">
        <w:rPr>
          <w:rFonts w:ascii="Arial" w:hAnsi="Arial" w:cs="Arial"/>
        </w:rPr>
        <w:lastRenderedPageBreak/>
        <w:t xml:space="preserve">which a litigant can be excused due to the mistake of his/her Advocate. It would be understandable if the delay was say between one month to six months, it would amount to abuse of court process if one is allowed extension of time after a delay of a whole year or two years as was apparent in the present Application. </w:t>
      </w:r>
      <w:r w:rsidR="00E4111A" w:rsidRPr="00BA22DD">
        <w:rPr>
          <w:rFonts w:ascii="Arial" w:hAnsi="Arial" w:cs="Arial"/>
        </w:rPr>
        <w:t>Timelines</w:t>
      </w:r>
      <w:r w:rsidRPr="00BA22DD">
        <w:rPr>
          <w:rFonts w:ascii="Arial" w:hAnsi="Arial" w:cs="Arial"/>
        </w:rPr>
        <w:t xml:space="preserve"> were set by the legislature with a purpose and not for fun." </w:t>
      </w:r>
    </w:p>
    <w:p w14:paraId="3AB3CB09" w14:textId="753F081F" w:rsidR="001E2F2F" w:rsidRPr="00344296" w:rsidRDefault="001F0214" w:rsidP="007273FA">
      <w:pPr>
        <w:spacing w:after="0" w:line="360" w:lineRule="auto"/>
        <w:jc w:val="both"/>
        <w:rPr>
          <w:rFonts w:ascii="Arial" w:hAnsi="Arial" w:cs="Arial"/>
          <w:sz w:val="24"/>
          <w:szCs w:val="24"/>
        </w:rPr>
      </w:pPr>
      <w:r>
        <w:rPr>
          <w:rFonts w:ascii="Arial" w:hAnsi="Arial" w:cs="Arial"/>
          <w:sz w:val="24"/>
          <w:szCs w:val="24"/>
        </w:rPr>
        <w:t xml:space="preserve">The respondent also cited </w:t>
      </w:r>
      <w:r w:rsidRPr="00344296">
        <w:rPr>
          <w:rFonts w:ascii="Arial" w:hAnsi="Arial" w:cs="Arial"/>
          <w:i/>
          <w:iCs/>
          <w:sz w:val="24"/>
          <w:szCs w:val="24"/>
        </w:rPr>
        <w:t>Erica</w:t>
      </w:r>
      <w:r w:rsidR="00D6014E" w:rsidRPr="00344296">
        <w:rPr>
          <w:rFonts w:ascii="Arial" w:hAnsi="Arial" w:cs="Arial"/>
          <w:i/>
          <w:iCs/>
          <w:sz w:val="24"/>
          <w:szCs w:val="24"/>
        </w:rPr>
        <w:t xml:space="preserve"> Jos Perino </w:t>
      </w:r>
      <w:r w:rsidR="000D5421">
        <w:rPr>
          <w:rFonts w:ascii="Arial" w:hAnsi="Arial" w:cs="Arial"/>
          <w:i/>
          <w:iCs/>
          <w:sz w:val="24"/>
          <w:szCs w:val="24"/>
        </w:rPr>
        <w:t>v</w:t>
      </w:r>
      <w:r w:rsidR="00D6014E" w:rsidRPr="00344296">
        <w:rPr>
          <w:rFonts w:ascii="Arial" w:hAnsi="Arial" w:cs="Arial"/>
          <w:i/>
          <w:iCs/>
          <w:sz w:val="24"/>
          <w:szCs w:val="24"/>
        </w:rPr>
        <w:t xml:space="preserve"> Vuzzi Azza Victor &amp; 2 others HCMA</w:t>
      </w:r>
      <w:r w:rsidR="00D6014E" w:rsidRPr="00344296">
        <w:rPr>
          <w:rFonts w:ascii="Arial" w:hAnsi="Arial" w:cs="Arial"/>
          <w:sz w:val="24"/>
          <w:szCs w:val="24"/>
        </w:rPr>
        <w:t xml:space="preserve"> 9 of 2017 </w:t>
      </w:r>
      <w:r>
        <w:rPr>
          <w:rFonts w:ascii="Arial" w:hAnsi="Arial" w:cs="Arial"/>
          <w:sz w:val="24"/>
          <w:szCs w:val="24"/>
        </w:rPr>
        <w:t xml:space="preserve">where </w:t>
      </w:r>
      <w:r w:rsidR="00D6014E" w:rsidRPr="00344296">
        <w:rPr>
          <w:rFonts w:ascii="Arial" w:hAnsi="Arial" w:cs="Arial"/>
          <w:sz w:val="24"/>
          <w:szCs w:val="24"/>
        </w:rPr>
        <w:t xml:space="preserve">Justice Stephen Mubiru </w:t>
      </w:r>
      <w:r>
        <w:rPr>
          <w:rFonts w:ascii="Arial" w:hAnsi="Arial" w:cs="Arial"/>
          <w:sz w:val="24"/>
          <w:szCs w:val="24"/>
        </w:rPr>
        <w:t>stated</w:t>
      </w:r>
      <w:r w:rsidR="00D6014E" w:rsidRPr="00344296">
        <w:rPr>
          <w:rFonts w:ascii="Arial" w:hAnsi="Arial" w:cs="Arial"/>
          <w:sz w:val="24"/>
          <w:szCs w:val="24"/>
        </w:rPr>
        <w:t xml:space="preserve"> </w:t>
      </w:r>
      <w:r w:rsidR="00437802" w:rsidRPr="00344296">
        <w:rPr>
          <w:rFonts w:ascii="Arial" w:hAnsi="Arial" w:cs="Arial"/>
          <w:sz w:val="24"/>
          <w:szCs w:val="24"/>
        </w:rPr>
        <w:t>that.</w:t>
      </w:r>
    </w:p>
    <w:p w14:paraId="07FDEEE0" w14:textId="4F1DEAAA" w:rsidR="00D6014E" w:rsidRPr="001F0214" w:rsidRDefault="001E2F2F" w:rsidP="001F0214">
      <w:pPr>
        <w:spacing w:after="0" w:line="360" w:lineRule="auto"/>
        <w:ind w:left="720"/>
        <w:jc w:val="both"/>
        <w:rPr>
          <w:rFonts w:ascii="Arial" w:hAnsi="Arial" w:cs="Arial"/>
        </w:rPr>
      </w:pPr>
      <w:r w:rsidRPr="001F0214">
        <w:rPr>
          <w:rFonts w:ascii="Arial" w:hAnsi="Arial" w:cs="Arial"/>
        </w:rPr>
        <w:t>“An</w:t>
      </w:r>
      <w:r w:rsidR="00D6014E" w:rsidRPr="001F0214">
        <w:rPr>
          <w:rFonts w:ascii="Arial" w:hAnsi="Arial" w:cs="Arial"/>
        </w:rPr>
        <w:t xml:space="preserve"> order for enlargement of time to file an appeal should ordinarily be allowed unless the </w:t>
      </w:r>
      <w:r w:rsidR="003738C7" w:rsidRPr="001F0214">
        <w:rPr>
          <w:rFonts w:ascii="Arial" w:hAnsi="Arial" w:cs="Arial"/>
        </w:rPr>
        <w:t xml:space="preserve">applicant </w:t>
      </w:r>
      <w:r w:rsidR="00D6014E" w:rsidRPr="001F0214">
        <w:rPr>
          <w:rFonts w:ascii="Arial" w:hAnsi="Arial" w:cs="Arial"/>
        </w:rPr>
        <w:t>is guilty of unexplained and inordinate delay in seeking the indulgence of court</w:t>
      </w:r>
      <w:r w:rsidRPr="001F0214">
        <w:rPr>
          <w:rFonts w:ascii="Arial" w:hAnsi="Arial" w:cs="Arial"/>
        </w:rPr>
        <w:t>”</w:t>
      </w:r>
      <w:r w:rsidR="00D6014E" w:rsidRPr="001F0214">
        <w:rPr>
          <w:rFonts w:ascii="Arial" w:hAnsi="Arial" w:cs="Arial"/>
        </w:rPr>
        <w:t xml:space="preserve">. </w:t>
      </w:r>
    </w:p>
    <w:p w14:paraId="6D69A26D" w14:textId="4311B61E" w:rsidR="00D6014E" w:rsidRDefault="001E2F2F" w:rsidP="007273FA">
      <w:pPr>
        <w:spacing w:after="0" w:line="360" w:lineRule="auto"/>
        <w:jc w:val="both"/>
        <w:rPr>
          <w:rFonts w:ascii="Arial" w:hAnsi="Arial" w:cs="Arial"/>
          <w:sz w:val="24"/>
          <w:szCs w:val="24"/>
        </w:rPr>
      </w:pPr>
      <w:r w:rsidRPr="00344296">
        <w:rPr>
          <w:rFonts w:ascii="Arial" w:hAnsi="Arial" w:cs="Arial"/>
          <w:sz w:val="24"/>
          <w:szCs w:val="24"/>
        </w:rPr>
        <w:t xml:space="preserve">The respondent submitted that </w:t>
      </w:r>
      <w:r w:rsidR="00D6014E" w:rsidRPr="00344296">
        <w:rPr>
          <w:rFonts w:ascii="Arial" w:hAnsi="Arial" w:cs="Arial"/>
          <w:sz w:val="24"/>
          <w:szCs w:val="24"/>
        </w:rPr>
        <w:t>t</w:t>
      </w:r>
      <w:r w:rsidR="00A375EA" w:rsidRPr="00344296">
        <w:rPr>
          <w:rFonts w:ascii="Arial" w:hAnsi="Arial" w:cs="Arial"/>
          <w:sz w:val="24"/>
          <w:szCs w:val="24"/>
        </w:rPr>
        <w:t xml:space="preserve">hat </w:t>
      </w:r>
      <w:r w:rsidR="001F0214">
        <w:rPr>
          <w:rFonts w:ascii="Arial" w:hAnsi="Arial" w:cs="Arial"/>
          <w:sz w:val="24"/>
          <w:szCs w:val="24"/>
        </w:rPr>
        <w:t xml:space="preserve">a </w:t>
      </w:r>
      <w:r w:rsidR="00D6014E" w:rsidRPr="00344296">
        <w:rPr>
          <w:rFonts w:ascii="Arial" w:hAnsi="Arial" w:cs="Arial"/>
          <w:sz w:val="24"/>
          <w:szCs w:val="24"/>
        </w:rPr>
        <w:t>long time has elapsed between 3</w:t>
      </w:r>
      <w:r w:rsidR="00743BA9" w:rsidRPr="00344296">
        <w:rPr>
          <w:rFonts w:ascii="Arial" w:hAnsi="Arial" w:cs="Arial"/>
          <w:sz w:val="24"/>
          <w:szCs w:val="24"/>
        </w:rPr>
        <w:t>1</w:t>
      </w:r>
      <w:r w:rsidR="00743BA9" w:rsidRPr="00344296">
        <w:rPr>
          <w:rFonts w:ascii="Arial" w:hAnsi="Arial" w:cs="Arial"/>
          <w:sz w:val="24"/>
          <w:szCs w:val="24"/>
          <w:vertAlign w:val="superscript"/>
        </w:rPr>
        <w:t>st</w:t>
      </w:r>
      <w:r w:rsidR="00D6014E" w:rsidRPr="00344296">
        <w:rPr>
          <w:rFonts w:ascii="Arial" w:hAnsi="Arial" w:cs="Arial"/>
          <w:sz w:val="24"/>
          <w:szCs w:val="24"/>
        </w:rPr>
        <w:t xml:space="preserve"> January 2019 when the objection decision was issued </w:t>
      </w:r>
      <w:r w:rsidR="00413557">
        <w:rPr>
          <w:rFonts w:ascii="Arial" w:hAnsi="Arial" w:cs="Arial"/>
          <w:sz w:val="24"/>
          <w:szCs w:val="24"/>
        </w:rPr>
        <w:t xml:space="preserve">and </w:t>
      </w:r>
      <w:r w:rsidR="00D6014E" w:rsidRPr="00344296">
        <w:rPr>
          <w:rFonts w:ascii="Arial" w:hAnsi="Arial" w:cs="Arial"/>
          <w:sz w:val="24"/>
          <w:szCs w:val="24"/>
        </w:rPr>
        <w:t xml:space="preserve">served and when the </w:t>
      </w:r>
      <w:r w:rsidR="00743BA9" w:rsidRPr="00344296">
        <w:rPr>
          <w:rFonts w:ascii="Arial" w:hAnsi="Arial" w:cs="Arial"/>
          <w:sz w:val="24"/>
          <w:szCs w:val="24"/>
        </w:rPr>
        <w:t>app</w:t>
      </w:r>
      <w:r w:rsidR="00D6014E" w:rsidRPr="00344296">
        <w:rPr>
          <w:rFonts w:ascii="Arial" w:hAnsi="Arial" w:cs="Arial"/>
          <w:sz w:val="24"/>
          <w:szCs w:val="24"/>
        </w:rPr>
        <w:t xml:space="preserve">lication for extension of time </w:t>
      </w:r>
      <w:r w:rsidR="001F0214">
        <w:rPr>
          <w:rFonts w:ascii="Arial" w:hAnsi="Arial" w:cs="Arial"/>
          <w:sz w:val="24"/>
          <w:szCs w:val="24"/>
        </w:rPr>
        <w:t xml:space="preserve">was filed. </w:t>
      </w:r>
      <w:r w:rsidR="00413557">
        <w:rPr>
          <w:rFonts w:ascii="Arial" w:hAnsi="Arial" w:cs="Arial"/>
          <w:sz w:val="24"/>
          <w:szCs w:val="24"/>
        </w:rPr>
        <w:t>The respondent contended that i</w:t>
      </w:r>
      <w:r w:rsidR="001F0214">
        <w:rPr>
          <w:rFonts w:ascii="Arial" w:hAnsi="Arial" w:cs="Arial"/>
          <w:sz w:val="24"/>
          <w:szCs w:val="24"/>
        </w:rPr>
        <w:t xml:space="preserve">t is </w:t>
      </w:r>
      <w:r w:rsidR="00D6014E" w:rsidRPr="00344296">
        <w:rPr>
          <w:rFonts w:ascii="Arial" w:hAnsi="Arial" w:cs="Arial"/>
          <w:sz w:val="24"/>
          <w:szCs w:val="24"/>
        </w:rPr>
        <w:t>undisputed that the notice of the objection decision was electronically served on 31</w:t>
      </w:r>
      <w:r w:rsidR="003C7878" w:rsidRPr="00344296">
        <w:rPr>
          <w:rFonts w:ascii="Arial" w:hAnsi="Arial" w:cs="Arial"/>
          <w:sz w:val="24"/>
          <w:szCs w:val="24"/>
          <w:vertAlign w:val="superscript"/>
        </w:rPr>
        <w:t>st</w:t>
      </w:r>
      <w:r w:rsidR="00D6014E" w:rsidRPr="00344296">
        <w:rPr>
          <w:rFonts w:ascii="Arial" w:hAnsi="Arial" w:cs="Arial"/>
          <w:sz w:val="24"/>
          <w:szCs w:val="24"/>
        </w:rPr>
        <w:t xml:space="preserve"> January 2019 by way of email sent to the </w:t>
      </w:r>
      <w:r w:rsidR="00743BA9" w:rsidRPr="00344296">
        <w:rPr>
          <w:rFonts w:ascii="Arial" w:hAnsi="Arial" w:cs="Arial"/>
          <w:sz w:val="24"/>
          <w:szCs w:val="24"/>
        </w:rPr>
        <w:t>appli</w:t>
      </w:r>
      <w:r w:rsidR="00D6014E" w:rsidRPr="00344296">
        <w:rPr>
          <w:rFonts w:ascii="Arial" w:hAnsi="Arial" w:cs="Arial"/>
          <w:sz w:val="24"/>
          <w:szCs w:val="24"/>
        </w:rPr>
        <w:t xml:space="preserve">cant's registered/known email address. </w:t>
      </w:r>
      <w:r w:rsidR="001F0214">
        <w:rPr>
          <w:rFonts w:ascii="Arial" w:hAnsi="Arial" w:cs="Arial"/>
          <w:sz w:val="24"/>
          <w:szCs w:val="24"/>
        </w:rPr>
        <w:t>T</w:t>
      </w:r>
      <w:r w:rsidR="003738C7" w:rsidRPr="00344296">
        <w:rPr>
          <w:rFonts w:ascii="Arial" w:hAnsi="Arial" w:cs="Arial"/>
          <w:sz w:val="24"/>
          <w:szCs w:val="24"/>
        </w:rPr>
        <w:t>he respondent submitted that th</w:t>
      </w:r>
      <w:r w:rsidR="00D6014E" w:rsidRPr="00344296">
        <w:rPr>
          <w:rFonts w:ascii="Arial" w:hAnsi="Arial" w:cs="Arial"/>
          <w:sz w:val="24"/>
          <w:szCs w:val="24"/>
        </w:rPr>
        <w:t xml:space="preserve">e </w:t>
      </w:r>
      <w:r w:rsidR="003C7878" w:rsidRPr="00344296">
        <w:rPr>
          <w:rFonts w:ascii="Arial" w:hAnsi="Arial" w:cs="Arial"/>
          <w:sz w:val="24"/>
          <w:szCs w:val="24"/>
        </w:rPr>
        <w:t>applican</w:t>
      </w:r>
      <w:r w:rsidR="00D6014E" w:rsidRPr="00344296">
        <w:rPr>
          <w:rFonts w:ascii="Arial" w:hAnsi="Arial" w:cs="Arial"/>
          <w:sz w:val="24"/>
          <w:szCs w:val="24"/>
        </w:rPr>
        <w:t xml:space="preserve">t was aware of the objection decision or should have been aware of </w:t>
      </w:r>
      <w:r w:rsidR="001F0214">
        <w:rPr>
          <w:rFonts w:ascii="Arial" w:hAnsi="Arial" w:cs="Arial"/>
          <w:sz w:val="24"/>
          <w:szCs w:val="24"/>
        </w:rPr>
        <w:t xml:space="preserve">it </w:t>
      </w:r>
      <w:r w:rsidR="00D6014E" w:rsidRPr="00344296">
        <w:rPr>
          <w:rFonts w:ascii="Arial" w:hAnsi="Arial" w:cs="Arial"/>
          <w:sz w:val="24"/>
          <w:szCs w:val="24"/>
        </w:rPr>
        <w:t xml:space="preserve">with the exercise of reasonable diligence. Instead, the </w:t>
      </w:r>
      <w:r w:rsidR="003C7878" w:rsidRPr="00344296">
        <w:rPr>
          <w:rFonts w:ascii="Arial" w:hAnsi="Arial" w:cs="Arial"/>
          <w:sz w:val="24"/>
          <w:szCs w:val="24"/>
        </w:rPr>
        <w:t>applica</w:t>
      </w:r>
      <w:r w:rsidR="00D6014E" w:rsidRPr="00344296">
        <w:rPr>
          <w:rFonts w:ascii="Arial" w:hAnsi="Arial" w:cs="Arial"/>
          <w:sz w:val="24"/>
          <w:szCs w:val="24"/>
        </w:rPr>
        <w:t xml:space="preserve">nt elected to sit on its rights for almost 4 years. The </w:t>
      </w:r>
      <w:r w:rsidR="003C7878" w:rsidRPr="00344296">
        <w:rPr>
          <w:rFonts w:ascii="Arial" w:hAnsi="Arial" w:cs="Arial"/>
          <w:sz w:val="24"/>
          <w:szCs w:val="24"/>
        </w:rPr>
        <w:t>applic</w:t>
      </w:r>
      <w:r w:rsidR="00D6014E" w:rsidRPr="00344296">
        <w:rPr>
          <w:rFonts w:ascii="Arial" w:hAnsi="Arial" w:cs="Arial"/>
          <w:sz w:val="24"/>
          <w:szCs w:val="24"/>
        </w:rPr>
        <w:t xml:space="preserve">ant is thus guilty of latches and/or unreasonable delay. </w:t>
      </w:r>
    </w:p>
    <w:p w14:paraId="60697C91" w14:textId="77777777" w:rsidR="00437802" w:rsidRPr="00344296" w:rsidRDefault="00437802" w:rsidP="007273FA">
      <w:pPr>
        <w:spacing w:after="0" w:line="360" w:lineRule="auto"/>
        <w:jc w:val="both"/>
        <w:rPr>
          <w:rFonts w:ascii="Arial" w:hAnsi="Arial" w:cs="Arial"/>
          <w:sz w:val="24"/>
          <w:szCs w:val="24"/>
        </w:rPr>
      </w:pPr>
    </w:p>
    <w:p w14:paraId="690ABF12" w14:textId="6FB8EB7A" w:rsidR="006E391B" w:rsidRPr="00344296" w:rsidRDefault="006E391B" w:rsidP="007273FA">
      <w:pPr>
        <w:spacing w:after="0" w:line="360" w:lineRule="auto"/>
        <w:jc w:val="both"/>
        <w:rPr>
          <w:rFonts w:ascii="Arial" w:hAnsi="Arial" w:cs="Arial"/>
          <w:sz w:val="24"/>
          <w:szCs w:val="24"/>
        </w:rPr>
      </w:pPr>
      <w:r w:rsidRPr="00344296">
        <w:rPr>
          <w:rFonts w:ascii="Arial" w:hAnsi="Arial" w:cs="Arial"/>
          <w:sz w:val="24"/>
          <w:szCs w:val="24"/>
        </w:rPr>
        <w:t>The respondent submitted that i</w:t>
      </w:r>
      <w:r w:rsidR="00D6014E" w:rsidRPr="00344296">
        <w:rPr>
          <w:rFonts w:ascii="Arial" w:hAnsi="Arial" w:cs="Arial"/>
          <w:sz w:val="24"/>
          <w:szCs w:val="24"/>
        </w:rPr>
        <w:t>t is trite that there should be an end to litigation and one of the tools used by the law to achieve this is placing timelines within which actions should be taken. Th</w:t>
      </w:r>
      <w:r w:rsidR="00437802">
        <w:rPr>
          <w:rFonts w:ascii="Arial" w:hAnsi="Arial" w:cs="Arial"/>
          <w:sz w:val="24"/>
          <w:szCs w:val="24"/>
        </w:rPr>
        <w:t xml:space="preserve">e respondent cited </w:t>
      </w:r>
      <w:r w:rsidR="00D6014E" w:rsidRPr="00344296">
        <w:rPr>
          <w:rFonts w:ascii="Arial" w:hAnsi="Arial" w:cs="Arial"/>
          <w:sz w:val="24"/>
          <w:szCs w:val="24"/>
        </w:rPr>
        <w:t xml:space="preserve">Justice Wilson Masalu Musene in </w:t>
      </w:r>
      <w:r w:rsidR="00D6014E" w:rsidRPr="000B61C8">
        <w:rPr>
          <w:rFonts w:ascii="Arial" w:hAnsi="Arial" w:cs="Arial"/>
          <w:i/>
          <w:iCs/>
          <w:sz w:val="24"/>
          <w:szCs w:val="24"/>
        </w:rPr>
        <w:t xml:space="preserve">Matovu Charles Kidimbo </w:t>
      </w:r>
      <w:r w:rsidR="00437802" w:rsidRPr="000B61C8">
        <w:rPr>
          <w:rFonts w:ascii="Arial" w:hAnsi="Arial" w:cs="Arial"/>
          <w:i/>
          <w:iCs/>
          <w:sz w:val="24"/>
          <w:szCs w:val="24"/>
        </w:rPr>
        <w:t>v</w:t>
      </w:r>
      <w:r w:rsidR="00D6014E" w:rsidRPr="000B61C8">
        <w:rPr>
          <w:rFonts w:ascii="Arial" w:hAnsi="Arial" w:cs="Arial"/>
          <w:i/>
          <w:iCs/>
          <w:sz w:val="24"/>
          <w:szCs w:val="24"/>
        </w:rPr>
        <w:t xml:space="preserve"> Lukwata Yusuf &amp; 3 </w:t>
      </w:r>
      <w:r w:rsidR="000B61C8">
        <w:rPr>
          <w:rFonts w:ascii="Arial" w:hAnsi="Arial" w:cs="Arial"/>
          <w:i/>
          <w:iCs/>
          <w:sz w:val="24"/>
          <w:szCs w:val="24"/>
        </w:rPr>
        <w:t>o</w:t>
      </w:r>
      <w:r w:rsidR="00437802" w:rsidRPr="000B61C8">
        <w:rPr>
          <w:rFonts w:ascii="Arial" w:hAnsi="Arial" w:cs="Arial"/>
          <w:i/>
          <w:iCs/>
          <w:sz w:val="24"/>
          <w:szCs w:val="24"/>
        </w:rPr>
        <w:t>ther</w:t>
      </w:r>
      <w:r w:rsidR="00D6014E" w:rsidRPr="000B61C8">
        <w:rPr>
          <w:rFonts w:ascii="Arial" w:hAnsi="Arial" w:cs="Arial"/>
          <w:i/>
          <w:iCs/>
          <w:sz w:val="24"/>
          <w:szCs w:val="24"/>
        </w:rPr>
        <w:t xml:space="preserve">s </w:t>
      </w:r>
      <w:r w:rsidR="00D6014E" w:rsidRPr="00344296">
        <w:rPr>
          <w:rFonts w:ascii="Arial" w:hAnsi="Arial" w:cs="Arial"/>
          <w:sz w:val="24"/>
          <w:szCs w:val="24"/>
        </w:rPr>
        <w:t xml:space="preserve">HCMA 40 </w:t>
      </w:r>
      <w:r w:rsidR="00437802">
        <w:rPr>
          <w:rFonts w:ascii="Arial" w:hAnsi="Arial" w:cs="Arial"/>
          <w:sz w:val="24"/>
          <w:szCs w:val="24"/>
        </w:rPr>
        <w:t>of</w:t>
      </w:r>
      <w:r w:rsidR="00D6014E" w:rsidRPr="00344296">
        <w:rPr>
          <w:rFonts w:ascii="Arial" w:hAnsi="Arial" w:cs="Arial"/>
          <w:sz w:val="24"/>
          <w:szCs w:val="24"/>
        </w:rPr>
        <w:t xml:space="preserve"> 2017 where he held </w:t>
      </w:r>
      <w:r w:rsidR="00870CD7" w:rsidRPr="00344296">
        <w:rPr>
          <w:rFonts w:ascii="Arial" w:hAnsi="Arial" w:cs="Arial"/>
          <w:sz w:val="24"/>
          <w:szCs w:val="24"/>
        </w:rPr>
        <w:t>that.</w:t>
      </w:r>
      <w:r w:rsidR="00D6014E" w:rsidRPr="00344296">
        <w:rPr>
          <w:rFonts w:ascii="Arial" w:hAnsi="Arial" w:cs="Arial"/>
          <w:sz w:val="24"/>
          <w:szCs w:val="24"/>
        </w:rPr>
        <w:t xml:space="preserve"> </w:t>
      </w:r>
    </w:p>
    <w:p w14:paraId="60FFDFD2" w14:textId="77777777" w:rsidR="00437802" w:rsidRPr="00437802" w:rsidRDefault="00D6014E" w:rsidP="00437802">
      <w:pPr>
        <w:spacing w:after="0" w:line="360" w:lineRule="auto"/>
        <w:ind w:left="720"/>
        <w:jc w:val="both"/>
        <w:rPr>
          <w:rFonts w:ascii="Arial" w:hAnsi="Arial" w:cs="Arial"/>
        </w:rPr>
      </w:pPr>
      <w:r w:rsidRPr="00437802">
        <w:rPr>
          <w:rFonts w:ascii="Arial" w:hAnsi="Arial" w:cs="Arial"/>
        </w:rPr>
        <w:t>"Timelines were set by the legislature with a purpose and not for fun. One of the purposes is in my view that there has to be an end to court process. Court process including travelling to and from, expenses must all be curtailed. And it would be unfair for one to be subjected to Court attendance and processes indefinitely</w:t>
      </w:r>
      <w:r w:rsidR="006E391B" w:rsidRPr="00437802">
        <w:rPr>
          <w:rFonts w:ascii="Arial" w:hAnsi="Arial" w:cs="Arial"/>
        </w:rPr>
        <w:t>”</w:t>
      </w:r>
      <w:r w:rsidRPr="00437802">
        <w:rPr>
          <w:rFonts w:ascii="Arial" w:hAnsi="Arial" w:cs="Arial"/>
        </w:rPr>
        <w:t xml:space="preserve">. </w:t>
      </w:r>
    </w:p>
    <w:p w14:paraId="49F098AC" w14:textId="44D959C4" w:rsidR="006C4CD8" w:rsidRPr="00344296" w:rsidRDefault="00D6014E" w:rsidP="007273FA">
      <w:pPr>
        <w:spacing w:after="0" w:line="360" w:lineRule="auto"/>
        <w:jc w:val="both"/>
        <w:rPr>
          <w:rFonts w:ascii="Arial" w:hAnsi="Arial" w:cs="Arial"/>
          <w:sz w:val="24"/>
          <w:szCs w:val="24"/>
        </w:rPr>
      </w:pPr>
      <w:r w:rsidRPr="00344296">
        <w:rPr>
          <w:rFonts w:ascii="Arial" w:hAnsi="Arial" w:cs="Arial"/>
          <w:sz w:val="24"/>
          <w:szCs w:val="24"/>
        </w:rPr>
        <w:t xml:space="preserve">The respondent prayed that </w:t>
      </w:r>
      <w:r w:rsidR="00AD7882" w:rsidRPr="00344296">
        <w:rPr>
          <w:rFonts w:ascii="Arial" w:hAnsi="Arial" w:cs="Arial"/>
          <w:sz w:val="24"/>
          <w:szCs w:val="24"/>
        </w:rPr>
        <w:t xml:space="preserve">the tribunal finds </w:t>
      </w:r>
      <w:r w:rsidR="00437802">
        <w:rPr>
          <w:rFonts w:ascii="Arial" w:hAnsi="Arial" w:cs="Arial"/>
          <w:sz w:val="24"/>
          <w:szCs w:val="24"/>
        </w:rPr>
        <w:t xml:space="preserve">the application </w:t>
      </w:r>
      <w:r w:rsidR="00AD7882" w:rsidRPr="00344296">
        <w:rPr>
          <w:rFonts w:ascii="Arial" w:hAnsi="Arial" w:cs="Arial"/>
          <w:sz w:val="24"/>
          <w:szCs w:val="24"/>
        </w:rPr>
        <w:t>time barred and</w:t>
      </w:r>
      <w:r w:rsidRPr="00344296">
        <w:rPr>
          <w:rFonts w:ascii="Arial" w:hAnsi="Arial" w:cs="Arial"/>
          <w:sz w:val="24"/>
          <w:szCs w:val="24"/>
        </w:rPr>
        <w:t xml:space="preserve"> dismiss</w:t>
      </w:r>
      <w:r w:rsidR="00437802">
        <w:rPr>
          <w:rFonts w:ascii="Arial" w:hAnsi="Arial" w:cs="Arial"/>
          <w:sz w:val="24"/>
          <w:szCs w:val="24"/>
        </w:rPr>
        <w:t>es</w:t>
      </w:r>
      <w:r w:rsidR="00AD7882" w:rsidRPr="00344296">
        <w:rPr>
          <w:rFonts w:ascii="Arial" w:hAnsi="Arial" w:cs="Arial"/>
          <w:sz w:val="24"/>
          <w:szCs w:val="24"/>
        </w:rPr>
        <w:t xml:space="preserve"> it</w:t>
      </w:r>
      <w:r w:rsidRPr="00344296">
        <w:rPr>
          <w:rFonts w:ascii="Arial" w:hAnsi="Arial" w:cs="Arial"/>
          <w:sz w:val="24"/>
          <w:szCs w:val="24"/>
        </w:rPr>
        <w:t xml:space="preserve"> with costs.</w:t>
      </w:r>
    </w:p>
    <w:p w14:paraId="277C8D19" w14:textId="519EDC38" w:rsidR="00437802" w:rsidRDefault="00437802" w:rsidP="007273FA">
      <w:pPr>
        <w:spacing w:after="0" w:line="360" w:lineRule="auto"/>
        <w:jc w:val="both"/>
        <w:rPr>
          <w:rFonts w:ascii="Arial" w:hAnsi="Arial" w:cs="Arial"/>
          <w:b/>
          <w:bCs/>
          <w:sz w:val="24"/>
          <w:szCs w:val="24"/>
        </w:rPr>
      </w:pPr>
    </w:p>
    <w:p w14:paraId="619660FC" w14:textId="1B78FE08" w:rsidR="000D5421" w:rsidRDefault="00437802" w:rsidP="007273FA">
      <w:pPr>
        <w:spacing w:after="0" w:line="360" w:lineRule="auto"/>
        <w:jc w:val="both"/>
        <w:rPr>
          <w:rFonts w:ascii="Arial" w:hAnsi="Arial" w:cs="Arial"/>
          <w:sz w:val="24"/>
          <w:szCs w:val="24"/>
        </w:rPr>
      </w:pPr>
      <w:r w:rsidRPr="00437802">
        <w:rPr>
          <w:rFonts w:ascii="Arial" w:hAnsi="Arial" w:cs="Arial"/>
          <w:sz w:val="24"/>
          <w:szCs w:val="24"/>
        </w:rPr>
        <w:t xml:space="preserve">In rejoinder, the applicant </w:t>
      </w:r>
      <w:r w:rsidR="000B61C8">
        <w:rPr>
          <w:rFonts w:ascii="Arial" w:hAnsi="Arial" w:cs="Arial"/>
          <w:sz w:val="24"/>
          <w:szCs w:val="24"/>
        </w:rPr>
        <w:t xml:space="preserve">stated that it was not served. </w:t>
      </w:r>
      <w:r w:rsidR="00896413">
        <w:rPr>
          <w:rFonts w:ascii="Arial" w:hAnsi="Arial" w:cs="Arial"/>
          <w:sz w:val="24"/>
          <w:szCs w:val="24"/>
        </w:rPr>
        <w:t xml:space="preserve">The applicant contended that if the respondent served </w:t>
      </w:r>
      <w:r w:rsidR="00EF74F7">
        <w:rPr>
          <w:rFonts w:ascii="Arial" w:hAnsi="Arial" w:cs="Arial"/>
          <w:sz w:val="24"/>
          <w:szCs w:val="24"/>
        </w:rPr>
        <w:t xml:space="preserve">the </w:t>
      </w:r>
      <w:r w:rsidR="000263F1">
        <w:rPr>
          <w:rFonts w:ascii="Arial" w:hAnsi="Arial" w:cs="Arial"/>
          <w:sz w:val="24"/>
          <w:szCs w:val="24"/>
        </w:rPr>
        <w:t>former, it</w:t>
      </w:r>
      <w:r w:rsidR="00896413">
        <w:rPr>
          <w:rFonts w:ascii="Arial" w:hAnsi="Arial" w:cs="Arial"/>
          <w:sz w:val="24"/>
          <w:szCs w:val="24"/>
        </w:rPr>
        <w:t xml:space="preserve"> should inform the Tribunal who served the applicant, who identified the applicant </w:t>
      </w:r>
      <w:r w:rsidR="00FB5D1F">
        <w:rPr>
          <w:rFonts w:ascii="Arial" w:hAnsi="Arial" w:cs="Arial"/>
          <w:sz w:val="24"/>
          <w:szCs w:val="24"/>
        </w:rPr>
        <w:t xml:space="preserve">and </w:t>
      </w:r>
      <w:r w:rsidR="00896413">
        <w:rPr>
          <w:rFonts w:ascii="Arial" w:hAnsi="Arial" w:cs="Arial"/>
          <w:sz w:val="24"/>
          <w:szCs w:val="24"/>
        </w:rPr>
        <w:t xml:space="preserve">who exactly received the objection. A proper service </w:t>
      </w:r>
      <w:r w:rsidR="00896413">
        <w:rPr>
          <w:rFonts w:ascii="Arial" w:hAnsi="Arial" w:cs="Arial"/>
          <w:sz w:val="24"/>
          <w:szCs w:val="24"/>
        </w:rPr>
        <w:lastRenderedPageBreak/>
        <w:t>should be followed by a</w:t>
      </w:r>
      <w:r w:rsidR="00870CD7">
        <w:rPr>
          <w:rFonts w:ascii="Arial" w:hAnsi="Arial" w:cs="Arial"/>
          <w:sz w:val="24"/>
          <w:szCs w:val="24"/>
        </w:rPr>
        <w:t xml:space="preserve">n affidavit of service. The applicant </w:t>
      </w:r>
      <w:r w:rsidR="00870CD7" w:rsidRPr="004B2871">
        <w:rPr>
          <w:rFonts w:ascii="Arial" w:hAnsi="Arial" w:cs="Arial"/>
          <w:i/>
          <w:iCs/>
          <w:sz w:val="24"/>
          <w:szCs w:val="24"/>
        </w:rPr>
        <w:t>cited L</w:t>
      </w:r>
      <w:r w:rsidR="001364DB" w:rsidRPr="004B2871">
        <w:rPr>
          <w:rFonts w:ascii="Arial" w:hAnsi="Arial" w:cs="Arial"/>
          <w:i/>
          <w:iCs/>
          <w:sz w:val="24"/>
          <w:szCs w:val="24"/>
        </w:rPr>
        <w:t>alji v Devji</w:t>
      </w:r>
      <w:r w:rsidR="001364DB">
        <w:rPr>
          <w:rFonts w:ascii="Arial" w:hAnsi="Arial" w:cs="Arial"/>
          <w:sz w:val="24"/>
          <w:szCs w:val="24"/>
        </w:rPr>
        <w:t xml:space="preserve"> [1962[</w:t>
      </w:r>
      <w:r w:rsidR="004B2871">
        <w:rPr>
          <w:rFonts w:ascii="Arial" w:hAnsi="Arial" w:cs="Arial"/>
          <w:sz w:val="24"/>
          <w:szCs w:val="24"/>
        </w:rPr>
        <w:t xml:space="preserve"> EA </w:t>
      </w:r>
      <w:r w:rsidR="00E4111A">
        <w:rPr>
          <w:rFonts w:ascii="Arial" w:hAnsi="Arial" w:cs="Arial"/>
          <w:sz w:val="24"/>
          <w:szCs w:val="24"/>
        </w:rPr>
        <w:t>306 where</w:t>
      </w:r>
      <w:r w:rsidR="001364DB">
        <w:rPr>
          <w:rFonts w:ascii="Arial" w:hAnsi="Arial" w:cs="Arial"/>
          <w:sz w:val="24"/>
          <w:szCs w:val="24"/>
        </w:rPr>
        <w:t xml:space="preserve"> it was held that for service to be proper there must be proof of service by a serving officer or process server. The applicant cited </w:t>
      </w:r>
      <w:r w:rsidR="004B2871">
        <w:rPr>
          <w:rFonts w:ascii="Arial" w:hAnsi="Arial" w:cs="Arial"/>
          <w:sz w:val="24"/>
          <w:szCs w:val="24"/>
        </w:rPr>
        <w:t xml:space="preserve">Order </w:t>
      </w:r>
      <w:r w:rsidR="00E4111A">
        <w:rPr>
          <w:rFonts w:ascii="Arial" w:hAnsi="Arial" w:cs="Arial"/>
          <w:sz w:val="24"/>
          <w:szCs w:val="24"/>
        </w:rPr>
        <w:t>5</w:t>
      </w:r>
      <w:r w:rsidR="004B2871">
        <w:rPr>
          <w:rFonts w:ascii="Arial" w:hAnsi="Arial" w:cs="Arial"/>
          <w:sz w:val="24"/>
          <w:szCs w:val="24"/>
        </w:rPr>
        <w:t xml:space="preserve"> Rule 16 of the Civil Procedure</w:t>
      </w:r>
      <w:r w:rsidR="00E4111A">
        <w:rPr>
          <w:rFonts w:ascii="Arial" w:hAnsi="Arial" w:cs="Arial"/>
          <w:sz w:val="24"/>
          <w:szCs w:val="24"/>
        </w:rPr>
        <w:t xml:space="preserve"> Rules which provides</w:t>
      </w:r>
      <w:r w:rsidR="004B2871">
        <w:rPr>
          <w:rFonts w:ascii="Arial" w:hAnsi="Arial" w:cs="Arial"/>
          <w:sz w:val="24"/>
          <w:szCs w:val="24"/>
        </w:rPr>
        <w:t xml:space="preserve"> </w:t>
      </w:r>
      <w:r w:rsidR="0026778C">
        <w:rPr>
          <w:rFonts w:ascii="Arial" w:hAnsi="Arial" w:cs="Arial"/>
          <w:sz w:val="24"/>
          <w:szCs w:val="24"/>
        </w:rPr>
        <w:t xml:space="preserve">that the serving officer shall </w:t>
      </w:r>
      <w:r w:rsidR="00EF74F7">
        <w:rPr>
          <w:rFonts w:ascii="Arial" w:hAnsi="Arial" w:cs="Arial"/>
          <w:sz w:val="24"/>
          <w:szCs w:val="24"/>
        </w:rPr>
        <w:t>cause</w:t>
      </w:r>
      <w:r w:rsidR="0026778C">
        <w:rPr>
          <w:rFonts w:ascii="Arial" w:hAnsi="Arial" w:cs="Arial"/>
          <w:sz w:val="24"/>
          <w:szCs w:val="24"/>
        </w:rPr>
        <w:t xml:space="preserve"> to be </w:t>
      </w:r>
      <w:r w:rsidR="00EF74F7">
        <w:rPr>
          <w:rFonts w:ascii="Arial" w:hAnsi="Arial" w:cs="Arial"/>
          <w:sz w:val="24"/>
          <w:szCs w:val="24"/>
        </w:rPr>
        <w:t>annexed</w:t>
      </w:r>
      <w:r w:rsidR="0026778C">
        <w:rPr>
          <w:rFonts w:ascii="Arial" w:hAnsi="Arial" w:cs="Arial"/>
          <w:sz w:val="24"/>
          <w:szCs w:val="24"/>
        </w:rPr>
        <w:t xml:space="preserve"> an affidavit of </w:t>
      </w:r>
      <w:r w:rsidR="00EF74F7">
        <w:rPr>
          <w:rFonts w:ascii="Arial" w:hAnsi="Arial" w:cs="Arial"/>
          <w:sz w:val="24"/>
          <w:szCs w:val="24"/>
        </w:rPr>
        <w:t>service</w:t>
      </w:r>
      <w:r w:rsidR="0026778C">
        <w:rPr>
          <w:rFonts w:ascii="Arial" w:hAnsi="Arial" w:cs="Arial"/>
          <w:sz w:val="24"/>
          <w:szCs w:val="24"/>
        </w:rPr>
        <w:t xml:space="preserve"> stating the time when and manner in which summons was served, the name and address of the person if any identifying the person served.</w:t>
      </w:r>
      <w:r w:rsidR="00EF74F7" w:rsidRPr="00EF74F7">
        <w:rPr>
          <w:rFonts w:ascii="Arial" w:hAnsi="Arial" w:cs="Arial"/>
          <w:sz w:val="24"/>
          <w:szCs w:val="24"/>
        </w:rPr>
        <w:t xml:space="preserve"> </w:t>
      </w:r>
      <w:r w:rsidR="00EF74F7">
        <w:rPr>
          <w:rFonts w:ascii="Arial" w:hAnsi="Arial" w:cs="Arial"/>
          <w:sz w:val="24"/>
          <w:szCs w:val="24"/>
        </w:rPr>
        <w:t xml:space="preserve">The applicant contended that the respondent’s witness is not a court process server. The applicant cited </w:t>
      </w:r>
      <w:r w:rsidR="00EF74F7" w:rsidRPr="004B2871">
        <w:rPr>
          <w:rFonts w:ascii="Arial" w:hAnsi="Arial" w:cs="Arial"/>
          <w:i/>
          <w:iCs/>
          <w:sz w:val="24"/>
          <w:szCs w:val="24"/>
        </w:rPr>
        <w:t>Abwayo Constance v Uganda Revenue Authority</w:t>
      </w:r>
      <w:r w:rsidR="00EF74F7">
        <w:rPr>
          <w:rFonts w:ascii="Arial" w:hAnsi="Arial" w:cs="Arial"/>
          <w:sz w:val="24"/>
          <w:szCs w:val="24"/>
        </w:rPr>
        <w:t xml:space="preserve"> MA 2 of 2022 where the Tribunal noted that the respondent’s deponent Mr. Sam Kwerit is not a process server.</w:t>
      </w:r>
      <w:r w:rsidR="00870CD7">
        <w:rPr>
          <w:rFonts w:ascii="Arial" w:hAnsi="Arial" w:cs="Arial"/>
          <w:sz w:val="24"/>
          <w:szCs w:val="24"/>
        </w:rPr>
        <w:t xml:space="preserve"> </w:t>
      </w:r>
    </w:p>
    <w:p w14:paraId="75CFFEF1" w14:textId="77777777" w:rsidR="000D5421" w:rsidRDefault="000D5421" w:rsidP="007273FA">
      <w:pPr>
        <w:spacing w:after="0" w:line="360" w:lineRule="auto"/>
        <w:jc w:val="both"/>
        <w:rPr>
          <w:rFonts w:ascii="Arial" w:hAnsi="Arial" w:cs="Arial"/>
          <w:sz w:val="24"/>
          <w:szCs w:val="24"/>
        </w:rPr>
      </w:pPr>
    </w:p>
    <w:p w14:paraId="735A8B3A" w14:textId="551F314F" w:rsidR="000D5421" w:rsidRDefault="000D5421" w:rsidP="007273FA">
      <w:pPr>
        <w:spacing w:after="0" w:line="360" w:lineRule="auto"/>
        <w:jc w:val="both"/>
        <w:rPr>
          <w:rFonts w:ascii="Arial" w:hAnsi="Arial" w:cs="Arial"/>
          <w:sz w:val="24"/>
          <w:szCs w:val="24"/>
        </w:rPr>
      </w:pPr>
      <w:r>
        <w:rPr>
          <w:rFonts w:ascii="Arial" w:hAnsi="Arial" w:cs="Arial"/>
          <w:sz w:val="24"/>
          <w:szCs w:val="24"/>
        </w:rPr>
        <w:t xml:space="preserve">The applicant also cited Order 5 Rule 10 of the Civil Procedure Rules which states </w:t>
      </w:r>
      <w:r w:rsidR="00AB6ABD">
        <w:rPr>
          <w:rFonts w:ascii="Arial" w:hAnsi="Arial" w:cs="Arial"/>
          <w:sz w:val="24"/>
          <w:szCs w:val="24"/>
        </w:rPr>
        <w:t>that service</w:t>
      </w:r>
      <w:r>
        <w:rPr>
          <w:rFonts w:ascii="Arial" w:hAnsi="Arial" w:cs="Arial"/>
          <w:sz w:val="24"/>
          <w:szCs w:val="24"/>
        </w:rPr>
        <w:t xml:space="preserve"> shall be made on the defendant in person unless he or she has an agent empowered to accept service.  The applicant submitted that it has never empowered its accountant to receive service on its behalf. It cited</w:t>
      </w:r>
      <w:r w:rsidRPr="00AB6ABD">
        <w:rPr>
          <w:rFonts w:ascii="Arial" w:hAnsi="Arial" w:cs="Arial"/>
          <w:i/>
          <w:iCs/>
          <w:sz w:val="24"/>
          <w:szCs w:val="24"/>
        </w:rPr>
        <w:t xml:space="preserve"> E</w:t>
      </w:r>
      <w:r w:rsidR="00AB6ABD" w:rsidRPr="00AB6ABD">
        <w:rPr>
          <w:rFonts w:ascii="Arial" w:hAnsi="Arial" w:cs="Arial"/>
          <w:i/>
          <w:iCs/>
          <w:sz w:val="24"/>
          <w:szCs w:val="24"/>
        </w:rPr>
        <w:t>r</w:t>
      </w:r>
      <w:r w:rsidRPr="00AB6ABD">
        <w:rPr>
          <w:rFonts w:ascii="Arial" w:hAnsi="Arial" w:cs="Arial"/>
          <w:i/>
          <w:iCs/>
          <w:sz w:val="24"/>
          <w:szCs w:val="24"/>
        </w:rPr>
        <w:t>ukana Omuchilo v Ayub Mudiwa</w:t>
      </w:r>
      <w:r>
        <w:rPr>
          <w:rFonts w:ascii="Arial" w:hAnsi="Arial" w:cs="Arial"/>
          <w:sz w:val="24"/>
          <w:szCs w:val="24"/>
        </w:rPr>
        <w:t xml:space="preserve"> [1966] EA 229 where the Court held </w:t>
      </w:r>
      <w:r w:rsidR="004453CD">
        <w:rPr>
          <w:rFonts w:ascii="Arial" w:hAnsi="Arial" w:cs="Arial"/>
          <w:sz w:val="24"/>
          <w:szCs w:val="24"/>
        </w:rPr>
        <w:t>that.</w:t>
      </w:r>
    </w:p>
    <w:p w14:paraId="388CE967" w14:textId="3E6318C8" w:rsidR="007567B4" w:rsidRPr="00E42D37" w:rsidRDefault="007567B4" w:rsidP="007567B4">
      <w:pPr>
        <w:spacing w:after="0" w:line="360" w:lineRule="auto"/>
        <w:ind w:left="720"/>
        <w:jc w:val="both"/>
        <w:rPr>
          <w:rFonts w:ascii="Arial" w:hAnsi="Arial" w:cs="Arial"/>
        </w:rPr>
      </w:pPr>
      <w:r w:rsidRPr="00E42D37">
        <w:rPr>
          <w:rFonts w:ascii="Arial" w:hAnsi="Arial" w:cs="Arial"/>
        </w:rPr>
        <w:t xml:space="preserve">“Service of the defendant’s agent is effective service only if the agent is empowered to accept service. It is </w:t>
      </w:r>
      <w:r w:rsidR="001E6470" w:rsidRPr="00E42D37">
        <w:rPr>
          <w:rFonts w:ascii="Arial" w:hAnsi="Arial" w:cs="Arial"/>
        </w:rPr>
        <w:t>also the settled position that proper effort must be made to effect personal service but if its not possible, service maybe made to an agent or an advocate.”</w:t>
      </w:r>
    </w:p>
    <w:p w14:paraId="7ABA8253" w14:textId="16D4E737" w:rsidR="001E6470" w:rsidRDefault="001E6470" w:rsidP="001E6470">
      <w:pPr>
        <w:spacing w:after="0" w:line="360" w:lineRule="auto"/>
        <w:jc w:val="both"/>
        <w:rPr>
          <w:rFonts w:ascii="Arial" w:hAnsi="Arial" w:cs="Arial"/>
          <w:sz w:val="24"/>
          <w:szCs w:val="24"/>
        </w:rPr>
      </w:pPr>
      <w:r>
        <w:rPr>
          <w:rFonts w:ascii="Arial" w:hAnsi="Arial" w:cs="Arial"/>
          <w:sz w:val="24"/>
          <w:szCs w:val="24"/>
        </w:rPr>
        <w:t>The applicant contended that it has a physical address known to the respondent. The respondent should have made efforts to serve it in person.</w:t>
      </w:r>
    </w:p>
    <w:p w14:paraId="00B6EC7F" w14:textId="049B6A81" w:rsidR="001E6470" w:rsidRDefault="001E6470" w:rsidP="001E6470">
      <w:pPr>
        <w:spacing w:after="0" w:line="360" w:lineRule="auto"/>
        <w:jc w:val="both"/>
        <w:rPr>
          <w:rFonts w:ascii="Arial" w:hAnsi="Arial" w:cs="Arial"/>
          <w:sz w:val="24"/>
          <w:szCs w:val="24"/>
        </w:rPr>
      </w:pPr>
    </w:p>
    <w:p w14:paraId="59518A57" w14:textId="69D6BA7C" w:rsidR="001E6470" w:rsidRDefault="001E6470" w:rsidP="001E6470">
      <w:pPr>
        <w:spacing w:after="0" w:line="360" w:lineRule="auto"/>
        <w:jc w:val="both"/>
        <w:rPr>
          <w:rFonts w:ascii="Arial" w:hAnsi="Arial" w:cs="Arial"/>
          <w:sz w:val="24"/>
          <w:szCs w:val="24"/>
        </w:rPr>
      </w:pPr>
      <w:r>
        <w:rPr>
          <w:rFonts w:ascii="Arial" w:hAnsi="Arial" w:cs="Arial"/>
          <w:sz w:val="24"/>
          <w:szCs w:val="24"/>
        </w:rPr>
        <w:t xml:space="preserve">The applicant argued that the mistake of an accountant should not be visited on the </w:t>
      </w:r>
      <w:r w:rsidR="00413557">
        <w:rPr>
          <w:rFonts w:ascii="Arial" w:hAnsi="Arial" w:cs="Arial"/>
          <w:sz w:val="24"/>
          <w:szCs w:val="24"/>
        </w:rPr>
        <w:t>it</w:t>
      </w:r>
      <w:r>
        <w:rPr>
          <w:rFonts w:ascii="Arial" w:hAnsi="Arial" w:cs="Arial"/>
          <w:sz w:val="24"/>
          <w:szCs w:val="24"/>
        </w:rPr>
        <w:t xml:space="preserve">. It </w:t>
      </w:r>
      <w:r w:rsidRPr="00FB5D1F">
        <w:rPr>
          <w:rFonts w:ascii="Arial" w:hAnsi="Arial" w:cs="Arial"/>
          <w:i/>
          <w:iCs/>
          <w:sz w:val="24"/>
          <w:szCs w:val="24"/>
        </w:rPr>
        <w:t>cited Banco Arab Espanol v Bank of Uganda</w:t>
      </w:r>
      <w:r>
        <w:rPr>
          <w:rFonts w:ascii="Arial" w:hAnsi="Arial" w:cs="Arial"/>
          <w:sz w:val="24"/>
          <w:szCs w:val="24"/>
        </w:rPr>
        <w:t xml:space="preserve"> SCCA 8 of 1998 where it was held </w:t>
      </w:r>
      <w:r w:rsidR="00FB5D1F">
        <w:rPr>
          <w:rFonts w:ascii="Arial" w:hAnsi="Arial" w:cs="Arial"/>
          <w:sz w:val="24"/>
          <w:szCs w:val="24"/>
        </w:rPr>
        <w:t>that.</w:t>
      </w:r>
    </w:p>
    <w:p w14:paraId="6D10588E" w14:textId="166A600D" w:rsidR="001E6470" w:rsidRPr="00E42D37" w:rsidRDefault="001E6470" w:rsidP="00E42D37">
      <w:pPr>
        <w:spacing w:after="0" w:line="360" w:lineRule="auto"/>
        <w:ind w:left="720"/>
        <w:jc w:val="both"/>
        <w:rPr>
          <w:rFonts w:ascii="Arial" w:hAnsi="Arial" w:cs="Arial"/>
        </w:rPr>
      </w:pPr>
      <w:r>
        <w:rPr>
          <w:rFonts w:ascii="Arial" w:hAnsi="Arial" w:cs="Arial"/>
          <w:sz w:val="24"/>
          <w:szCs w:val="24"/>
        </w:rPr>
        <w:t>“</w:t>
      </w:r>
      <w:r w:rsidRPr="00E42D37">
        <w:rPr>
          <w:rFonts w:ascii="Arial" w:hAnsi="Arial" w:cs="Arial"/>
        </w:rPr>
        <w:t xml:space="preserve">A mistake, negligence, oversight or error on the part of the counsel should not be visited on the litigant. Such mistake </w:t>
      </w:r>
      <w:r w:rsidR="00E42D37" w:rsidRPr="00E42D37">
        <w:rPr>
          <w:rFonts w:ascii="Arial" w:hAnsi="Arial" w:cs="Arial"/>
        </w:rPr>
        <w:t>or as the case may be, constitutes just cause entitling the trial judge to use his discretion so that the matter is considered on its merits.”</w:t>
      </w:r>
    </w:p>
    <w:p w14:paraId="3C6C00E0" w14:textId="1445B7AB" w:rsidR="00E42D37" w:rsidRDefault="00E1320D" w:rsidP="001E6470">
      <w:pPr>
        <w:spacing w:after="0" w:line="360" w:lineRule="auto"/>
        <w:jc w:val="both"/>
        <w:rPr>
          <w:rFonts w:ascii="Arial" w:hAnsi="Arial" w:cs="Arial"/>
          <w:sz w:val="24"/>
          <w:szCs w:val="24"/>
        </w:rPr>
      </w:pPr>
      <w:r>
        <w:rPr>
          <w:rFonts w:ascii="Arial" w:hAnsi="Arial" w:cs="Arial"/>
          <w:sz w:val="24"/>
          <w:szCs w:val="24"/>
        </w:rPr>
        <w:t xml:space="preserve">The applicant </w:t>
      </w:r>
      <w:r w:rsidR="002B1DAD">
        <w:rPr>
          <w:rFonts w:ascii="Arial" w:hAnsi="Arial" w:cs="Arial"/>
          <w:sz w:val="24"/>
          <w:szCs w:val="24"/>
        </w:rPr>
        <w:t xml:space="preserve">submitted </w:t>
      </w:r>
      <w:r>
        <w:rPr>
          <w:rFonts w:ascii="Arial" w:hAnsi="Arial" w:cs="Arial"/>
          <w:sz w:val="24"/>
          <w:szCs w:val="24"/>
        </w:rPr>
        <w:t xml:space="preserve">that it should not be punished for the mistake or negligence of its accountant. </w:t>
      </w:r>
    </w:p>
    <w:p w14:paraId="69BD572E" w14:textId="1FC65FFF" w:rsidR="00E1320D" w:rsidRDefault="00E1320D" w:rsidP="001E6470">
      <w:pPr>
        <w:spacing w:after="0" w:line="360" w:lineRule="auto"/>
        <w:jc w:val="both"/>
        <w:rPr>
          <w:rFonts w:ascii="Arial" w:hAnsi="Arial" w:cs="Arial"/>
          <w:sz w:val="24"/>
          <w:szCs w:val="24"/>
        </w:rPr>
      </w:pPr>
    </w:p>
    <w:p w14:paraId="567320F7" w14:textId="6456543E" w:rsidR="00437802" w:rsidRPr="00437802" w:rsidRDefault="00E1320D" w:rsidP="007273FA">
      <w:pPr>
        <w:spacing w:after="0" w:line="360" w:lineRule="auto"/>
        <w:jc w:val="both"/>
        <w:rPr>
          <w:rFonts w:ascii="Arial" w:hAnsi="Arial" w:cs="Arial"/>
          <w:sz w:val="24"/>
          <w:szCs w:val="24"/>
        </w:rPr>
      </w:pPr>
      <w:r>
        <w:rPr>
          <w:rFonts w:ascii="Arial" w:hAnsi="Arial" w:cs="Arial"/>
          <w:sz w:val="24"/>
          <w:szCs w:val="24"/>
        </w:rPr>
        <w:t xml:space="preserve">The </w:t>
      </w:r>
      <w:r w:rsidR="004453CD">
        <w:rPr>
          <w:rFonts w:ascii="Arial" w:hAnsi="Arial" w:cs="Arial"/>
          <w:sz w:val="24"/>
          <w:szCs w:val="24"/>
        </w:rPr>
        <w:t>applicant cited</w:t>
      </w:r>
      <w:r>
        <w:rPr>
          <w:rFonts w:ascii="Arial" w:hAnsi="Arial" w:cs="Arial"/>
          <w:sz w:val="24"/>
          <w:szCs w:val="24"/>
        </w:rPr>
        <w:t xml:space="preserve"> </w:t>
      </w:r>
      <w:r w:rsidRPr="00E1320D">
        <w:rPr>
          <w:rFonts w:ascii="Arial" w:hAnsi="Arial" w:cs="Arial"/>
          <w:i/>
          <w:iCs/>
          <w:sz w:val="24"/>
          <w:szCs w:val="24"/>
        </w:rPr>
        <w:t>Mulindwa George William v Kisubikka Joseph</w:t>
      </w:r>
      <w:r>
        <w:rPr>
          <w:rFonts w:ascii="Arial" w:hAnsi="Arial" w:cs="Arial"/>
          <w:sz w:val="24"/>
          <w:szCs w:val="24"/>
        </w:rPr>
        <w:t xml:space="preserve"> Civil Appeal 12 where it was stated that sufficient cause should include the reason for the delay, the possibility or chances of success and degree of prejudice to the other party.  The applicant </w:t>
      </w:r>
      <w:r>
        <w:rPr>
          <w:rFonts w:ascii="Arial" w:hAnsi="Arial" w:cs="Arial"/>
          <w:sz w:val="24"/>
          <w:szCs w:val="24"/>
        </w:rPr>
        <w:lastRenderedPageBreak/>
        <w:t>contended that</w:t>
      </w:r>
      <w:r w:rsidR="00B01780">
        <w:rPr>
          <w:rFonts w:ascii="Arial" w:hAnsi="Arial" w:cs="Arial"/>
          <w:sz w:val="24"/>
          <w:szCs w:val="24"/>
        </w:rPr>
        <w:t xml:space="preserve"> a</w:t>
      </w:r>
      <w:r w:rsidR="000B61C8">
        <w:rPr>
          <w:rFonts w:ascii="Arial" w:hAnsi="Arial" w:cs="Arial"/>
          <w:sz w:val="24"/>
          <w:szCs w:val="24"/>
        </w:rPr>
        <w:t xml:space="preserve">s soon as it became aware of the objection decision it filed this application. </w:t>
      </w:r>
      <w:r w:rsidR="00B01780">
        <w:rPr>
          <w:rFonts w:ascii="Arial" w:hAnsi="Arial" w:cs="Arial"/>
          <w:sz w:val="24"/>
          <w:szCs w:val="24"/>
        </w:rPr>
        <w:t xml:space="preserve"> The applicant’s case has a high likelihood of success. The respondent will not be prejudiced by the grant of the application. The applicant contended that Article 126(2) of the Constitution requires that justice is administered without due regard to technicalities. It also cited </w:t>
      </w:r>
      <w:r w:rsidR="00B01780" w:rsidRPr="00B01780">
        <w:rPr>
          <w:rFonts w:ascii="Arial" w:hAnsi="Arial" w:cs="Arial"/>
          <w:i/>
          <w:iCs/>
          <w:sz w:val="24"/>
          <w:szCs w:val="24"/>
        </w:rPr>
        <w:t>Sipiriya Kyaturesire v Justine Bakachulike</w:t>
      </w:r>
      <w:r w:rsidR="00B01780">
        <w:rPr>
          <w:rFonts w:ascii="Arial" w:hAnsi="Arial" w:cs="Arial"/>
          <w:sz w:val="24"/>
          <w:szCs w:val="24"/>
        </w:rPr>
        <w:t xml:space="preserve"> CA 20 1995 where it was stated that the administration of justice normally requires that the substance of all disputes should be investigated and decided on merits. </w:t>
      </w:r>
    </w:p>
    <w:p w14:paraId="0972788C" w14:textId="63BFD6C3" w:rsidR="00437802" w:rsidRDefault="00437802" w:rsidP="007273FA">
      <w:pPr>
        <w:spacing w:after="0" w:line="360" w:lineRule="auto"/>
        <w:jc w:val="both"/>
        <w:rPr>
          <w:rFonts w:ascii="Arial" w:hAnsi="Arial" w:cs="Arial"/>
          <w:b/>
          <w:bCs/>
          <w:sz w:val="24"/>
          <w:szCs w:val="24"/>
        </w:rPr>
      </w:pPr>
    </w:p>
    <w:p w14:paraId="7DC86CAD" w14:textId="460EB5E1" w:rsidR="00B619EA" w:rsidRDefault="00D6014E" w:rsidP="007273FA">
      <w:pPr>
        <w:spacing w:after="0" w:line="360" w:lineRule="auto"/>
        <w:jc w:val="both"/>
        <w:rPr>
          <w:rFonts w:ascii="Arial" w:hAnsi="Arial" w:cs="Arial"/>
          <w:sz w:val="24"/>
          <w:szCs w:val="24"/>
        </w:rPr>
      </w:pPr>
      <w:r w:rsidRPr="00CC64AE">
        <w:rPr>
          <w:rFonts w:ascii="Arial" w:hAnsi="Arial" w:cs="Arial"/>
          <w:sz w:val="24"/>
          <w:szCs w:val="24"/>
        </w:rPr>
        <w:t xml:space="preserve">Having </w:t>
      </w:r>
      <w:r w:rsidR="00CC64AE">
        <w:rPr>
          <w:rFonts w:ascii="Arial" w:hAnsi="Arial" w:cs="Arial"/>
          <w:sz w:val="24"/>
          <w:szCs w:val="24"/>
        </w:rPr>
        <w:t>read the application and the submissions of the parties</w:t>
      </w:r>
      <w:r w:rsidRPr="00CC64AE">
        <w:rPr>
          <w:rFonts w:ascii="Arial" w:hAnsi="Arial" w:cs="Arial"/>
          <w:sz w:val="24"/>
          <w:szCs w:val="24"/>
        </w:rPr>
        <w:t xml:space="preserve"> this is the ruling of the </w:t>
      </w:r>
      <w:r w:rsidR="009C0EC1" w:rsidRPr="00CC64AE">
        <w:rPr>
          <w:rFonts w:ascii="Arial" w:hAnsi="Arial" w:cs="Arial"/>
          <w:sz w:val="24"/>
          <w:szCs w:val="24"/>
        </w:rPr>
        <w:t>tribunal.</w:t>
      </w:r>
    </w:p>
    <w:p w14:paraId="163394B6" w14:textId="77777777" w:rsidR="00CC64AE" w:rsidRPr="00CC64AE" w:rsidRDefault="00CC64AE" w:rsidP="007273FA">
      <w:pPr>
        <w:spacing w:after="0" w:line="360" w:lineRule="auto"/>
        <w:jc w:val="both"/>
        <w:rPr>
          <w:rFonts w:ascii="Arial" w:hAnsi="Arial" w:cs="Arial"/>
          <w:sz w:val="24"/>
          <w:szCs w:val="24"/>
        </w:rPr>
      </w:pPr>
    </w:p>
    <w:p w14:paraId="330332E1" w14:textId="7044A882" w:rsidR="009C5A19" w:rsidRPr="00344296" w:rsidRDefault="00CC64AE" w:rsidP="007273FA">
      <w:pPr>
        <w:spacing w:after="0" w:line="360" w:lineRule="auto"/>
        <w:jc w:val="both"/>
        <w:rPr>
          <w:rFonts w:ascii="Arial" w:hAnsi="Arial" w:cs="Arial"/>
          <w:sz w:val="24"/>
          <w:szCs w:val="24"/>
        </w:rPr>
      </w:pPr>
      <w:r>
        <w:rPr>
          <w:rFonts w:ascii="Arial" w:hAnsi="Arial" w:cs="Arial"/>
          <w:sz w:val="24"/>
          <w:szCs w:val="24"/>
        </w:rPr>
        <w:t>On 8</w:t>
      </w:r>
      <w:r w:rsidRPr="00CC64AE">
        <w:rPr>
          <w:rFonts w:ascii="Arial" w:hAnsi="Arial" w:cs="Arial"/>
          <w:sz w:val="24"/>
          <w:szCs w:val="24"/>
          <w:vertAlign w:val="superscript"/>
        </w:rPr>
        <w:t>th</w:t>
      </w:r>
      <w:r>
        <w:rPr>
          <w:rFonts w:ascii="Arial" w:hAnsi="Arial" w:cs="Arial"/>
          <w:sz w:val="24"/>
          <w:szCs w:val="24"/>
        </w:rPr>
        <w:t xml:space="preserve"> November 2018, the</w:t>
      </w:r>
      <w:r w:rsidR="009C5A19" w:rsidRPr="00344296">
        <w:rPr>
          <w:rFonts w:ascii="Arial" w:hAnsi="Arial" w:cs="Arial"/>
          <w:sz w:val="24"/>
          <w:szCs w:val="24"/>
        </w:rPr>
        <w:t xml:space="preserve"> respondent issued the applicant with tax assessment</w:t>
      </w:r>
      <w:r>
        <w:rPr>
          <w:rFonts w:ascii="Arial" w:hAnsi="Arial" w:cs="Arial"/>
          <w:sz w:val="24"/>
          <w:szCs w:val="24"/>
        </w:rPr>
        <w:t>s totaling to</w:t>
      </w:r>
      <w:r w:rsidR="009C5A19" w:rsidRPr="00344296">
        <w:rPr>
          <w:rFonts w:ascii="Arial" w:hAnsi="Arial" w:cs="Arial"/>
          <w:sz w:val="24"/>
          <w:szCs w:val="24"/>
        </w:rPr>
        <w:t xml:space="preserve"> Shs.128,588,111</w:t>
      </w:r>
      <w:r>
        <w:rPr>
          <w:rFonts w:ascii="Arial" w:hAnsi="Arial" w:cs="Arial"/>
          <w:sz w:val="24"/>
          <w:szCs w:val="24"/>
        </w:rPr>
        <w:t>. On 14</w:t>
      </w:r>
      <w:r w:rsidRPr="00CC64AE">
        <w:rPr>
          <w:rFonts w:ascii="Arial" w:hAnsi="Arial" w:cs="Arial"/>
          <w:sz w:val="24"/>
          <w:szCs w:val="24"/>
          <w:vertAlign w:val="superscript"/>
        </w:rPr>
        <w:t>th</w:t>
      </w:r>
      <w:r>
        <w:rPr>
          <w:rFonts w:ascii="Arial" w:hAnsi="Arial" w:cs="Arial"/>
          <w:sz w:val="24"/>
          <w:szCs w:val="24"/>
        </w:rPr>
        <w:t xml:space="preserve"> November 2018</w:t>
      </w:r>
      <w:r w:rsidR="00096D11">
        <w:rPr>
          <w:rFonts w:ascii="Arial" w:hAnsi="Arial" w:cs="Arial"/>
          <w:sz w:val="24"/>
          <w:szCs w:val="24"/>
        </w:rPr>
        <w:t>,</w:t>
      </w:r>
      <w:r>
        <w:rPr>
          <w:rFonts w:ascii="Arial" w:hAnsi="Arial" w:cs="Arial"/>
          <w:sz w:val="24"/>
          <w:szCs w:val="24"/>
        </w:rPr>
        <w:t xml:space="preserve"> the applicant objected to the assessments on the ground that they were excessive. O</w:t>
      </w:r>
      <w:r w:rsidR="009C5A19" w:rsidRPr="00344296">
        <w:rPr>
          <w:rFonts w:ascii="Arial" w:hAnsi="Arial" w:cs="Arial"/>
          <w:sz w:val="24"/>
          <w:szCs w:val="24"/>
        </w:rPr>
        <w:t>n 31</w:t>
      </w:r>
      <w:r w:rsidR="009C5A19" w:rsidRPr="00344296">
        <w:rPr>
          <w:rFonts w:ascii="Arial" w:hAnsi="Arial" w:cs="Arial"/>
          <w:sz w:val="24"/>
          <w:szCs w:val="24"/>
          <w:vertAlign w:val="superscript"/>
        </w:rPr>
        <w:t>st</w:t>
      </w:r>
      <w:r w:rsidR="009C5A19" w:rsidRPr="00344296">
        <w:rPr>
          <w:rFonts w:ascii="Arial" w:hAnsi="Arial" w:cs="Arial"/>
          <w:sz w:val="24"/>
          <w:szCs w:val="24"/>
        </w:rPr>
        <w:t xml:space="preserve"> </w:t>
      </w:r>
      <w:r>
        <w:rPr>
          <w:rFonts w:ascii="Arial" w:hAnsi="Arial" w:cs="Arial"/>
          <w:sz w:val="24"/>
          <w:szCs w:val="24"/>
        </w:rPr>
        <w:t>J</w:t>
      </w:r>
      <w:r w:rsidR="009C5A19" w:rsidRPr="00344296">
        <w:rPr>
          <w:rFonts w:ascii="Arial" w:hAnsi="Arial" w:cs="Arial"/>
          <w:sz w:val="24"/>
          <w:szCs w:val="24"/>
        </w:rPr>
        <w:t>anuary 2019</w:t>
      </w:r>
      <w:r w:rsidR="00096D11">
        <w:rPr>
          <w:rFonts w:ascii="Arial" w:hAnsi="Arial" w:cs="Arial"/>
          <w:sz w:val="24"/>
          <w:szCs w:val="24"/>
        </w:rPr>
        <w:t>,</w:t>
      </w:r>
      <w:r w:rsidR="009C5A19" w:rsidRPr="00344296">
        <w:rPr>
          <w:rFonts w:ascii="Arial" w:hAnsi="Arial" w:cs="Arial"/>
          <w:sz w:val="24"/>
          <w:szCs w:val="24"/>
        </w:rPr>
        <w:t xml:space="preserve"> the respondent </w:t>
      </w:r>
      <w:r>
        <w:rPr>
          <w:rFonts w:ascii="Arial" w:hAnsi="Arial" w:cs="Arial"/>
          <w:sz w:val="24"/>
          <w:szCs w:val="24"/>
        </w:rPr>
        <w:t xml:space="preserve">purportedly </w:t>
      </w:r>
      <w:r w:rsidR="009C5A19" w:rsidRPr="00344296">
        <w:rPr>
          <w:rFonts w:ascii="Arial" w:hAnsi="Arial" w:cs="Arial"/>
          <w:sz w:val="24"/>
          <w:szCs w:val="24"/>
        </w:rPr>
        <w:t xml:space="preserve">issued its objection decision. </w:t>
      </w:r>
      <w:r>
        <w:rPr>
          <w:rFonts w:ascii="Arial" w:hAnsi="Arial" w:cs="Arial"/>
          <w:sz w:val="24"/>
          <w:szCs w:val="24"/>
        </w:rPr>
        <w:t xml:space="preserve">The applicant contends that it was never served the objection decision. </w:t>
      </w:r>
      <w:r w:rsidR="009C5A19" w:rsidRPr="00344296">
        <w:rPr>
          <w:rFonts w:ascii="Arial" w:hAnsi="Arial" w:cs="Arial"/>
          <w:sz w:val="24"/>
          <w:szCs w:val="24"/>
        </w:rPr>
        <w:t>On 22</w:t>
      </w:r>
      <w:r w:rsidR="009C5A19" w:rsidRPr="00344296">
        <w:rPr>
          <w:rFonts w:ascii="Arial" w:hAnsi="Arial" w:cs="Arial"/>
          <w:sz w:val="24"/>
          <w:szCs w:val="24"/>
          <w:vertAlign w:val="superscript"/>
        </w:rPr>
        <w:t>nd</w:t>
      </w:r>
      <w:r w:rsidR="009C5A19" w:rsidRPr="00344296">
        <w:rPr>
          <w:rFonts w:ascii="Arial" w:hAnsi="Arial" w:cs="Arial"/>
          <w:sz w:val="24"/>
          <w:szCs w:val="24"/>
        </w:rPr>
        <w:t xml:space="preserve"> </w:t>
      </w:r>
      <w:r>
        <w:rPr>
          <w:rFonts w:ascii="Arial" w:hAnsi="Arial" w:cs="Arial"/>
          <w:sz w:val="24"/>
          <w:szCs w:val="24"/>
        </w:rPr>
        <w:t>D</w:t>
      </w:r>
      <w:r w:rsidR="009C5A19" w:rsidRPr="00344296">
        <w:rPr>
          <w:rFonts w:ascii="Arial" w:hAnsi="Arial" w:cs="Arial"/>
          <w:sz w:val="24"/>
          <w:szCs w:val="24"/>
        </w:rPr>
        <w:t>ecember 2022, the applicant lodged this application for extension of time</w:t>
      </w:r>
      <w:r w:rsidR="00E550A0">
        <w:rPr>
          <w:rFonts w:ascii="Arial" w:hAnsi="Arial" w:cs="Arial"/>
          <w:sz w:val="24"/>
          <w:szCs w:val="24"/>
        </w:rPr>
        <w:t xml:space="preserve"> </w:t>
      </w:r>
      <w:r w:rsidR="009C5A19" w:rsidRPr="00344296">
        <w:rPr>
          <w:rFonts w:ascii="Arial" w:hAnsi="Arial" w:cs="Arial"/>
          <w:sz w:val="24"/>
          <w:szCs w:val="24"/>
        </w:rPr>
        <w:t>within which to file an application before the tribunal.</w:t>
      </w:r>
    </w:p>
    <w:p w14:paraId="3E025BFB" w14:textId="77777777" w:rsidR="00E550A0" w:rsidRDefault="00E550A0" w:rsidP="007273FA">
      <w:pPr>
        <w:spacing w:after="0" w:line="360" w:lineRule="auto"/>
        <w:jc w:val="both"/>
        <w:rPr>
          <w:rFonts w:ascii="Arial" w:eastAsia="Times New Roman" w:hAnsi="Arial" w:cs="Arial"/>
          <w:bCs/>
          <w:sz w:val="24"/>
          <w:szCs w:val="24"/>
        </w:rPr>
      </w:pPr>
    </w:p>
    <w:p w14:paraId="3C564888" w14:textId="1E07A68E" w:rsidR="00252720" w:rsidRDefault="00E550A0" w:rsidP="007273FA">
      <w:pPr>
        <w:spacing w:after="0" w:line="360" w:lineRule="auto"/>
        <w:jc w:val="both"/>
        <w:rPr>
          <w:rFonts w:ascii="Arial" w:hAnsi="Arial" w:cs="Arial"/>
          <w:sz w:val="24"/>
          <w:szCs w:val="24"/>
        </w:rPr>
      </w:pPr>
      <w:r>
        <w:rPr>
          <w:rFonts w:ascii="Arial" w:eastAsia="Times New Roman" w:hAnsi="Arial" w:cs="Arial"/>
          <w:bCs/>
          <w:sz w:val="24"/>
          <w:szCs w:val="24"/>
        </w:rPr>
        <w:t xml:space="preserve">The time for filing an application is provided for under </w:t>
      </w:r>
      <w:r w:rsidR="00252720" w:rsidRPr="00344296">
        <w:rPr>
          <w:rFonts w:ascii="Arial" w:eastAsia="Times New Roman" w:hAnsi="Arial" w:cs="Arial"/>
          <w:bCs/>
          <w:sz w:val="24"/>
          <w:szCs w:val="24"/>
        </w:rPr>
        <w:t>S. 16</w:t>
      </w:r>
      <w:r>
        <w:rPr>
          <w:rFonts w:ascii="Arial" w:eastAsia="Times New Roman" w:hAnsi="Arial" w:cs="Arial"/>
          <w:bCs/>
          <w:sz w:val="24"/>
          <w:szCs w:val="24"/>
        </w:rPr>
        <w:t>(1)(c)</w:t>
      </w:r>
      <w:r w:rsidR="00252720" w:rsidRPr="00344296">
        <w:rPr>
          <w:rFonts w:ascii="Arial" w:eastAsia="Times New Roman" w:hAnsi="Arial" w:cs="Arial"/>
          <w:bCs/>
          <w:sz w:val="24"/>
          <w:szCs w:val="24"/>
        </w:rPr>
        <w:t xml:space="preserve"> </w:t>
      </w:r>
      <w:r w:rsidR="00252720" w:rsidRPr="00344296">
        <w:rPr>
          <w:rFonts w:ascii="Arial" w:eastAsia="Times New Roman" w:hAnsi="Arial" w:cs="Arial"/>
          <w:sz w:val="24"/>
          <w:szCs w:val="24"/>
        </w:rPr>
        <w:t>of the T</w:t>
      </w:r>
      <w:r>
        <w:rPr>
          <w:rFonts w:ascii="Arial" w:eastAsia="Times New Roman" w:hAnsi="Arial" w:cs="Arial"/>
          <w:sz w:val="24"/>
          <w:szCs w:val="24"/>
        </w:rPr>
        <w:t xml:space="preserve">ax Appeals Tribunal </w:t>
      </w:r>
      <w:r w:rsidR="00252720" w:rsidRPr="00344296">
        <w:rPr>
          <w:rFonts w:ascii="Arial" w:eastAsia="Times New Roman" w:hAnsi="Arial" w:cs="Arial"/>
          <w:sz w:val="24"/>
          <w:szCs w:val="24"/>
        </w:rPr>
        <w:t>Act</w:t>
      </w:r>
      <w:r>
        <w:rPr>
          <w:rFonts w:ascii="Arial" w:eastAsia="Times New Roman" w:hAnsi="Arial" w:cs="Arial"/>
          <w:sz w:val="24"/>
          <w:szCs w:val="24"/>
        </w:rPr>
        <w:t xml:space="preserve"> which </w:t>
      </w:r>
      <w:r w:rsidR="00252720" w:rsidRPr="00344296">
        <w:rPr>
          <w:rFonts w:ascii="Arial" w:eastAsia="Times New Roman" w:hAnsi="Arial" w:cs="Arial"/>
          <w:sz w:val="24"/>
          <w:szCs w:val="24"/>
        </w:rPr>
        <w:t>provides that</w:t>
      </w:r>
      <w:r>
        <w:rPr>
          <w:rFonts w:ascii="Arial" w:eastAsia="Times New Roman" w:hAnsi="Arial" w:cs="Arial"/>
          <w:sz w:val="24"/>
          <w:szCs w:val="24"/>
        </w:rPr>
        <w:t xml:space="preserve"> a</w:t>
      </w:r>
      <w:r w:rsidR="00252720" w:rsidRPr="00344296">
        <w:rPr>
          <w:rFonts w:ascii="Arial" w:eastAsia="Times New Roman" w:hAnsi="Arial" w:cs="Arial"/>
          <w:sz w:val="24"/>
          <w:szCs w:val="24"/>
        </w:rPr>
        <w:t>n application to a tribunal for review of a taxation decision</w:t>
      </w:r>
      <w:r>
        <w:rPr>
          <w:rFonts w:ascii="Arial" w:eastAsia="Times New Roman" w:hAnsi="Arial" w:cs="Arial"/>
          <w:sz w:val="24"/>
          <w:szCs w:val="24"/>
        </w:rPr>
        <w:t xml:space="preserve"> </w:t>
      </w:r>
      <w:r w:rsidR="00252720" w:rsidRPr="00344296">
        <w:rPr>
          <w:rFonts w:ascii="Arial" w:eastAsia="Times New Roman" w:hAnsi="Arial" w:cs="Arial"/>
          <w:sz w:val="24"/>
          <w:szCs w:val="24"/>
        </w:rPr>
        <w:t>shall</w:t>
      </w:r>
      <w:r>
        <w:rPr>
          <w:rFonts w:ascii="Arial" w:eastAsia="Times New Roman" w:hAnsi="Arial" w:cs="Arial"/>
          <w:sz w:val="24"/>
          <w:szCs w:val="24"/>
        </w:rPr>
        <w:t xml:space="preserve"> </w:t>
      </w:r>
      <w:r w:rsidR="00252720" w:rsidRPr="00344296">
        <w:rPr>
          <w:rFonts w:ascii="Arial" w:eastAsia="Times New Roman" w:hAnsi="Arial" w:cs="Arial"/>
          <w:sz w:val="24"/>
          <w:szCs w:val="24"/>
        </w:rPr>
        <w:t>be lodged with the tribunal within thirty (30) days after the person making the application has been served with notice of the decision.</w:t>
      </w:r>
      <w:r w:rsidR="003016C6">
        <w:rPr>
          <w:rFonts w:ascii="Arial" w:eastAsia="Times New Roman" w:hAnsi="Arial" w:cs="Arial"/>
          <w:sz w:val="24"/>
          <w:szCs w:val="24"/>
        </w:rPr>
        <w:t xml:space="preserve"> </w:t>
      </w:r>
      <w:r w:rsidR="00252720" w:rsidRPr="00344296">
        <w:rPr>
          <w:rFonts w:ascii="Arial" w:hAnsi="Arial" w:cs="Arial"/>
          <w:sz w:val="24"/>
          <w:szCs w:val="24"/>
        </w:rPr>
        <w:t>S. 25(1) of the Tax Procedures Code Act</w:t>
      </w:r>
      <w:r w:rsidR="003016C6">
        <w:rPr>
          <w:rFonts w:ascii="Arial" w:hAnsi="Arial" w:cs="Arial"/>
          <w:sz w:val="24"/>
          <w:szCs w:val="24"/>
        </w:rPr>
        <w:t xml:space="preserve"> </w:t>
      </w:r>
      <w:r w:rsidR="00B15D56">
        <w:rPr>
          <w:rFonts w:ascii="Arial" w:hAnsi="Arial" w:cs="Arial"/>
          <w:sz w:val="24"/>
          <w:szCs w:val="24"/>
        </w:rPr>
        <w:t xml:space="preserve">also </w:t>
      </w:r>
      <w:r w:rsidR="00B15D56" w:rsidRPr="00344296">
        <w:rPr>
          <w:rFonts w:ascii="Arial" w:hAnsi="Arial" w:cs="Arial"/>
          <w:sz w:val="24"/>
          <w:szCs w:val="24"/>
        </w:rPr>
        <w:t>provides</w:t>
      </w:r>
      <w:r w:rsidR="00252720" w:rsidRPr="00344296">
        <w:rPr>
          <w:rFonts w:ascii="Arial" w:hAnsi="Arial" w:cs="Arial"/>
          <w:sz w:val="24"/>
          <w:szCs w:val="24"/>
        </w:rPr>
        <w:t xml:space="preserve"> that;</w:t>
      </w:r>
      <w:r w:rsidR="003016C6">
        <w:rPr>
          <w:rFonts w:ascii="Arial" w:hAnsi="Arial" w:cs="Arial"/>
          <w:sz w:val="24"/>
          <w:szCs w:val="24"/>
        </w:rPr>
        <w:t xml:space="preserve"> </w:t>
      </w:r>
      <w:r w:rsidR="00252720" w:rsidRPr="00344296">
        <w:rPr>
          <w:rFonts w:ascii="Arial" w:hAnsi="Arial" w:cs="Arial"/>
          <w:sz w:val="24"/>
          <w:szCs w:val="24"/>
        </w:rPr>
        <w:t>“a person dissatisfied with an objection decision may, within 30 days after being served with a notice of the objection decision</w:t>
      </w:r>
      <w:r w:rsidR="003016C6">
        <w:rPr>
          <w:rFonts w:ascii="Arial" w:hAnsi="Arial" w:cs="Arial"/>
          <w:sz w:val="24"/>
          <w:szCs w:val="24"/>
        </w:rPr>
        <w:t xml:space="preserve"> lodge an application to the Tribunal.</w:t>
      </w:r>
      <w:r w:rsidR="00054CA5">
        <w:rPr>
          <w:rFonts w:ascii="Arial" w:hAnsi="Arial" w:cs="Arial"/>
          <w:sz w:val="24"/>
          <w:szCs w:val="24"/>
        </w:rPr>
        <w:t>”</w:t>
      </w:r>
    </w:p>
    <w:p w14:paraId="0A8163EF" w14:textId="77777777" w:rsidR="003016C6" w:rsidRPr="00344296" w:rsidRDefault="003016C6" w:rsidP="007273FA">
      <w:pPr>
        <w:spacing w:after="0" w:line="360" w:lineRule="auto"/>
        <w:jc w:val="both"/>
        <w:rPr>
          <w:rFonts w:ascii="Arial" w:hAnsi="Arial" w:cs="Arial"/>
          <w:sz w:val="24"/>
          <w:szCs w:val="24"/>
        </w:rPr>
      </w:pPr>
    </w:p>
    <w:p w14:paraId="2A14FF8F" w14:textId="25CCF8E8" w:rsidR="000152E8" w:rsidRPr="00344296" w:rsidRDefault="003016C6" w:rsidP="007273FA">
      <w:pPr>
        <w:spacing w:after="0" w:line="360" w:lineRule="auto"/>
        <w:jc w:val="both"/>
        <w:rPr>
          <w:rFonts w:ascii="Arial" w:hAnsi="Arial" w:cs="Arial"/>
          <w:color w:val="000000" w:themeColor="text1"/>
          <w:sz w:val="24"/>
          <w:szCs w:val="24"/>
        </w:rPr>
      </w:pPr>
      <w:r>
        <w:rPr>
          <w:rFonts w:ascii="Arial" w:hAnsi="Arial" w:cs="Arial"/>
          <w:sz w:val="24"/>
          <w:szCs w:val="24"/>
        </w:rPr>
        <w:t xml:space="preserve">Applications </w:t>
      </w:r>
      <w:r w:rsidR="00F91CD1" w:rsidRPr="00344296">
        <w:rPr>
          <w:rFonts w:ascii="Arial" w:hAnsi="Arial" w:cs="Arial"/>
          <w:sz w:val="24"/>
          <w:szCs w:val="24"/>
        </w:rPr>
        <w:t xml:space="preserve">before the tribunal should be filed before the lapse of 30 days. In cases </w:t>
      </w:r>
      <w:r>
        <w:rPr>
          <w:rFonts w:ascii="Arial" w:hAnsi="Arial" w:cs="Arial"/>
          <w:sz w:val="24"/>
          <w:szCs w:val="24"/>
        </w:rPr>
        <w:t xml:space="preserve">where the applicant has failed to lodge an application within the required time and </w:t>
      </w:r>
      <w:r w:rsidR="00096D11">
        <w:rPr>
          <w:rFonts w:ascii="Arial" w:hAnsi="Arial" w:cs="Arial"/>
          <w:sz w:val="24"/>
          <w:szCs w:val="24"/>
        </w:rPr>
        <w:t>it</w:t>
      </w:r>
      <w:r w:rsidR="00F91CD1" w:rsidRPr="00344296">
        <w:rPr>
          <w:rFonts w:ascii="Arial" w:hAnsi="Arial" w:cs="Arial"/>
          <w:sz w:val="24"/>
          <w:szCs w:val="24"/>
        </w:rPr>
        <w:t xml:space="preserve"> has reasonable cause, </w:t>
      </w:r>
      <w:r w:rsidR="00096D11">
        <w:rPr>
          <w:rFonts w:ascii="Arial" w:hAnsi="Arial" w:cs="Arial"/>
          <w:sz w:val="24"/>
          <w:szCs w:val="24"/>
        </w:rPr>
        <w:t>it</w:t>
      </w:r>
      <w:r w:rsidR="00F91CD1" w:rsidRPr="00344296">
        <w:rPr>
          <w:rFonts w:ascii="Arial" w:hAnsi="Arial" w:cs="Arial"/>
          <w:sz w:val="24"/>
          <w:szCs w:val="24"/>
        </w:rPr>
        <w:t xml:space="preserve"> may apply for extension of time to file an application before the tribunal.</w:t>
      </w:r>
      <w:r w:rsidR="00DB3B80" w:rsidRPr="00344296">
        <w:rPr>
          <w:rFonts w:ascii="Arial" w:hAnsi="Arial" w:cs="Arial"/>
          <w:sz w:val="24"/>
          <w:szCs w:val="24"/>
        </w:rPr>
        <w:t xml:space="preserve"> </w:t>
      </w:r>
      <w:r>
        <w:rPr>
          <w:rFonts w:ascii="Arial" w:hAnsi="Arial" w:cs="Arial"/>
          <w:sz w:val="24"/>
          <w:szCs w:val="24"/>
        </w:rPr>
        <w:t>I</w:t>
      </w:r>
      <w:r w:rsidR="00F91CD1" w:rsidRPr="00344296">
        <w:rPr>
          <w:rFonts w:ascii="Arial" w:hAnsi="Arial" w:cs="Arial"/>
          <w:bCs/>
          <w:sz w:val="24"/>
          <w:szCs w:val="24"/>
        </w:rPr>
        <w:t xml:space="preserve">n </w:t>
      </w:r>
      <w:r w:rsidR="00F91CD1" w:rsidRPr="00344296">
        <w:rPr>
          <w:rFonts w:ascii="Arial" w:hAnsi="Arial" w:cs="Arial"/>
          <w:bCs/>
          <w:i/>
          <w:iCs/>
          <w:sz w:val="24"/>
          <w:szCs w:val="24"/>
        </w:rPr>
        <w:t xml:space="preserve">Mulindwa George William </w:t>
      </w:r>
      <w:r>
        <w:rPr>
          <w:rFonts w:ascii="Arial" w:hAnsi="Arial" w:cs="Arial"/>
          <w:bCs/>
          <w:i/>
          <w:iCs/>
          <w:sz w:val="24"/>
          <w:szCs w:val="24"/>
        </w:rPr>
        <w:t>v</w:t>
      </w:r>
      <w:r w:rsidR="00F91CD1" w:rsidRPr="00344296">
        <w:rPr>
          <w:rFonts w:ascii="Arial" w:hAnsi="Arial" w:cs="Arial"/>
          <w:bCs/>
          <w:i/>
          <w:iCs/>
          <w:sz w:val="24"/>
          <w:szCs w:val="24"/>
        </w:rPr>
        <w:t xml:space="preserve"> Kisubika Joseph </w:t>
      </w:r>
      <w:r w:rsidR="00F91CD1" w:rsidRPr="003016C6">
        <w:rPr>
          <w:rFonts w:ascii="Arial" w:hAnsi="Arial" w:cs="Arial"/>
          <w:bCs/>
          <w:sz w:val="24"/>
          <w:szCs w:val="24"/>
        </w:rPr>
        <w:t xml:space="preserve">Civil </w:t>
      </w:r>
      <w:r w:rsidR="00F91CD1" w:rsidRPr="003016C6">
        <w:rPr>
          <w:rFonts w:ascii="Arial" w:hAnsi="Arial" w:cs="Arial"/>
          <w:bCs/>
          <w:color w:val="000000" w:themeColor="text1"/>
          <w:sz w:val="24"/>
          <w:szCs w:val="24"/>
        </w:rPr>
        <w:t>Appeal</w:t>
      </w:r>
      <w:r w:rsidR="00F91CD1" w:rsidRPr="00344296">
        <w:rPr>
          <w:rFonts w:ascii="Arial" w:hAnsi="Arial" w:cs="Arial"/>
          <w:bCs/>
          <w:i/>
          <w:iCs/>
          <w:color w:val="000000" w:themeColor="text1"/>
          <w:sz w:val="24"/>
          <w:szCs w:val="24"/>
        </w:rPr>
        <w:t xml:space="preserve"> </w:t>
      </w:r>
      <w:r w:rsidR="00F91CD1" w:rsidRPr="003016C6">
        <w:rPr>
          <w:rFonts w:ascii="Arial" w:hAnsi="Arial" w:cs="Arial"/>
          <w:bCs/>
          <w:color w:val="000000" w:themeColor="text1"/>
          <w:sz w:val="24"/>
          <w:szCs w:val="24"/>
        </w:rPr>
        <w:t>12 of 2014</w:t>
      </w:r>
      <w:r w:rsidR="00F91CD1" w:rsidRPr="00344296">
        <w:rPr>
          <w:rFonts w:ascii="Arial" w:hAnsi="Arial" w:cs="Arial"/>
          <w:bCs/>
          <w:color w:val="000000" w:themeColor="text1"/>
          <w:sz w:val="24"/>
          <w:szCs w:val="24"/>
        </w:rPr>
        <w:t>,</w:t>
      </w:r>
      <w:r w:rsidR="00F91CD1" w:rsidRPr="00344296">
        <w:rPr>
          <w:rFonts w:ascii="Arial" w:hAnsi="Arial" w:cs="Arial"/>
          <w:color w:val="000000" w:themeColor="text1"/>
          <w:sz w:val="24"/>
          <w:szCs w:val="24"/>
        </w:rPr>
        <w:t xml:space="preserve"> </w:t>
      </w:r>
      <w:r w:rsidR="00945B97" w:rsidRPr="00344296">
        <w:rPr>
          <w:rFonts w:ascii="Arial" w:hAnsi="Arial" w:cs="Arial"/>
          <w:color w:val="000000" w:themeColor="text1"/>
          <w:sz w:val="24"/>
          <w:szCs w:val="24"/>
        </w:rPr>
        <w:t>the</w:t>
      </w:r>
      <w:r w:rsidR="00F91CD1" w:rsidRPr="00344296">
        <w:rPr>
          <w:rFonts w:ascii="Arial" w:hAnsi="Arial" w:cs="Arial"/>
          <w:color w:val="000000" w:themeColor="text1"/>
          <w:sz w:val="24"/>
          <w:szCs w:val="24"/>
        </w:rPr>
        <w:t xml:space="preserve"> Supreme Court of Uganda </w:t>
      </w:r>
      <w:r w:rsidR="000152E8" w:rsidRPr="00344296">
        <w:rPr>
          <w:rFonts w:ascii="Arial" w:hAnsi="Arial" w:cs="Arial"/>
          <w:color w:val="000000" w:themeColor="text1"/>
          <w:sz w:val="24"/>
          <w:szCs w:val="24"/>
        </w:rPr>
        <w:t>stated that;</w:t>
      </w:r>
    </w:p>
    <w:p w14:paraId="7CB1FD8A" w14:textId="7F2811E7" w:rsidR="000152E8" w:rsidRPr="003016C6" w:rsidRDefault="000152E8" w:rsidP="003016C6">
      <w:pPr>
        <w:shd w:val="clear" w:color="auto" w:fill="FFFFFF"/>
        <w:spacing w:after="0" w:line="360" w:lineRule="auto"/>
        <w:ind w:left="360"/>
        <w:jc w:val="both"/>
        <w:rPr>
          <w:rFonts w:ascii="Arial" w:eastAsia="Times New Roman" w:hAnsi="Arial" w:cs="Arial"/>
          <w:color w:val="000000" w:themeColor="text1"/>
        </w:rPr>
      </w:pPr>
      <w:r w:rsidRPr="003016C6">
        <w:rPr>
          <w:rFonts w:ascii="Arial" w:eastAsia="Times New Roman" w:hAnsi="Arial" w:cs="Arial"/>
          <w:color w:val="000000" w:themeColor="text1"/>
        </w:rPr>
        <w:lastRenderedPageBreak/>
        <w:t>“… it is important to bear in mind that time limits are there to be observed, and justice may be defeated if there is laxity. Factors to be considered in an application for extension of time are</w:t>
      </w:r>
      <w:r w:rsidR="009203EC" w:rsidRPr="003016C6">
        <w:rPr>
          <w:rFonts w:ascii="Arial" w:eastAsia="Times New Roman" w:hAnsi="Arial" w:cs="Arial"/>
          <w:color w:val="000000" w:themeColor="text1"/>
        </w:rPr>
        <w:t>;</w:t>
      </w:r>
    </w:p>
    <w:p w14:paraId="5358850D" w14:textId="1493DE1D" w:rsidR="000152E8" w:rsidRPr="003016C6" w:rsidRDefault="000152E8" w:rsidP="007273FA">
      <w:pPr>
        <w:numPr>
          <w:ilvl w:val="0"/>
          <w:numId w:val="2"/>
        </w:numPr>
        <w:shd w:val="clear" w:color="auto" w:fill="FFFFFF"/>
        <w:spacing w:after="0" w:line="360" w:lineRule="auto"/>
        <w:jc w:val="both"/>
        <w:rPr>
          <w:rFonts w:ascii="Arial" w:eastAsia="Times New Roman" w:hAnsi="Arial" w:cs="Arial"/>
          <w:color w:val="000000" w:themeColor="text1"/>
        </w:rPr>
      </w:pPr>
      <w:r w:rsidRPr="003016C6">
        <w:rPr>
          <w:rFonts w:ascii="Arial" w:eastAsia="Times New Roman" w:hAnsi="Arial" w:cs="Arial"/>
          <w:color w:val="000000" w:themeColor="text1"/>
        </w:rPr>
        <w:t xml:space="preserve">The length of </w:t>
      </w:r>
      <w:r w:rsidR="009C0EC1" w:rsidRPr="003016C6">
        <w:rPr>
          <w:rFonts w:ascii="Arial" w:eastAsia="Times New Roman" w:hAnsi="Arial" w:cs="Arial"/>
          <w:color w:val="000000" w:themeColor="text1"/>
        </w:rPr>
        <w:t>delay.</w:t>
      </w:r>
    </w:p>
    <w:p w14:paraId="05F52F8C" w14:textId="6D566B23" w:rsidR="000152E8" w:rsidRPr="003016C6" w:rsidRDefault="000152E8" w:rsidP="007273FA">
      <w:pPr>
        <w:numPr>
          <w:ilvl w:val="0"/>
          <w:numId w:val="2"/>
        </w:numPr>
        <w:shd w:val="clear" w:color="auto" w:fill="FFFFFF"/>
        <w:spacing w:after="0" w:line="360" w:lineRule="auto"/>
        <w:jc w:val="both"/>
        <w:rPr>
          <w:rFonts w:ascii="Arial" w:eastAsia="Times New Roman" w:hAnsi="Arial" w:cs="Arial"/>
          <w:color w:val="000000" w:themeColor="text1"/>
        </w:rPr>
      </w:pPr>
      <w:r w:rsidRPr="003016C6">
        <w:rPr>
          <w:rFonts w:ascii="Arial" w:eastAsia="Times New Roman" w:hAnsi="Arial" w:cs="Arial"/>
          <w:color w:val="000000" w:themeColor="text1"/>
        </w:rPr>
        <w:t xml:space="preserve">The reason for </w:t>
      </w:r>
      <w:r w:rsidR="009C0EC1" w:rsidRPr="003016C6">
        <w:rPr>
          <w:rFonts w:ascii="Arial" w:eastAsia="Times New Roman" w:hAnsi="Arial" w:cs="Arial"/>
          <w:color w:val="000000" w:themeColor="text1"/>
        </w:rPr>
        <w:t>delay.</w:t>
      </w:r>
    </w:p>
    <w:p w14:paraId="2A2DCFF3" w14:textId="20C0D36A" w:rsidR="000152E8" w:rsidRPr="003016C6" w:rsidRDefault="000152E8" w:rsidP="007273FA">
      <w:pPr>
        <w:numPr>
          <w:ilvl w:val="0"/>
          <w:numId w:val="2"/>
        </w:numPr>
        <w:shd w:val="clear" w:color="auto" w:fill="FFFFFF"/>
        <w:spacing w:after="0" w:line="360" w:lineRule="auto"/>
        <w:jc w:val="both"/>
        <w:rPr>
          <w:rFonts w:ascii="Arial" w:eastAsia="Times New Roman" w:hAnsi="Arial" w:cs="Arial"/>
          <w:color w:val="000000" w:themeColor="text1"/>
        </w:rPr>
      </w:pPr>
      <w:r w:rsidRPr="003016C6">
        <w:rPr>
          <w:rFonts w:ascii="Arial" w:eastAsia="Times New Roman" w:hAnsi="Arial" w:cs="Arial"/>
          <w:color w:val="000000" w:themeColor="text1"/>
        </w:rPr>
        <w:t xml:space="preserve">The possibility or chances of </w:t>
      </w:r>
      <w:r w:rsidR="009C0EC1" w:rsidRPr="003016C6">
        <w:rPr>
          <w:rFonts w:ascii="Arial" w:eastAsia="Times New Roman" w:hAnsi="Arial" w:cs="Arial"/>
          <w:color w:val="000000" w:themeColor="text1"/>
        </w:rPr>
        <w:t>success.</w:t>
      </w:r>
    </w:p>
    <w:p w14:paraId="284A8014" w14:textId="2FA63543" w:rsidR="000152E8" w:rsidRPr="003016C6" w:rsidRDefault="000152E8" w:rsidP="007273FA">
      <w:pPr>
        <w:numPr>
          <w:ilvl w:val="0"/>
          <w:numId w:val="2"/>
        </w:numPr>
        <w:shd w:val="clear" w:color="auto" w:fill="FFFFFF"/>
        <w:spacing w:after="0" w:line="360" w:lineRule="auto"/>
        <w:jc w:val="both"/>
        <w:rPr>
          <w:rFonts w:ascii="Arial" w:eastAsia="Times New Roman" w:hAnsi="Arial" w:cs="Arial"/>
          <w:color w:val="000000" w:themeColor="text1"/>
        </w:rPr>
      </w:pPr>
      <w:r w:rsidRPr="003016C6">
        <w:rPr>
          <w:rFonts w:ascii="Arial" w:eastAsia="Times New Roman" w:hAnsi="Arial" w:cs="Arial"/>
          <w:color w:val="000000" w:themeColor="text1"/>
        </w:rPr>
        <w:t>The degree of prejudice to the other party.</w:t>
      </w:r>
      <w:r w:rsidR="009203EC" w:rsidRPr="003016C6">
        <w:rPr>
          <w:rFonts w:ascii="Arial" w:eastAsia="Times New Roman" w:hAnsi="Arial" w:cs="Arial"/>
          <w:color w:val="000000" w:themeColor="text1"/>
        </w:rPr>
        <w:t xml:space="preserve"> </w:t>
      </w:r>
      <w:r w:rsidRPr="003016C6">
        <w:rPr>
          <w:rFonts w:ascii="Arial" w:eastAsia="Times New Roman" w:hAnsi="Arial" w:cs="Arial"/>
          <w:color w:val="000000" w:themeColor="text1"/>
        </w:rPr>
        <w:t>Once a delay is not accounted for, it does not matter the length of delay. There must always be an explanation for the period of delay”.</w:t>
      </w:r>
    </w:p>
    <w:p w14:paraId="2E16153D" w14:textId="4D5913F6" w:rsidR="00305CA9" w:rsidRPr="00344296" w:rsidRDefault="006736B2" w:rsidP="007273FA">
      <w:pPr>
        <w:spacing w:after="0" w:line="360" w:lineRule="auto"/>
        <w:jc w:val="both"/>
        <w:rPr>
          <w:rFonts w:ascii="Arial" w:hAnsi="Arial" w:cs="Arial"/>
          <w:sz w:val="24"/>
          <w:szCs w:val="24"/>
        </w:rPr>
      </w:pPr>
      <w:r w:rsidRPr="00344296">
        <w:rPr>
          <w:rFonts w:ascii="Arial" w:hAnsi="Arial" w:cs="Arial"/>
          <w:sz w:val="24"/>
          <w:szCs w:val="24"/>
        </w:rPr>
        <w:t xml:space="preserve">The applicant must show that it has reasonable cause </w:t>
      </w:r>
      <w:r w:rsidR="000152E8" w:rsidRPr="00344296">
        <w:rPr>
          <w:rFonts w:ascii="Arial" w:hAnsi="Arial" w:cs="Arial"/>
          <w:sz w:val="24"/>
          <w:szCs w:val="24"/>
        </w:rPr>
        <w:t xml:space="preserve">or an explanation </w:t>
      </w:r>
      <w:r w:rsidRPr="00344296">
        <w:rPr>
          <w:rFonts w:ascii="Arial" w:hAnsi="Arial" w:cs="Arial"/>
          <w:sz w:val="24"/>
          <w:szCs w:val="24"/>
        </w:rPr>
        <w:t xml:space="preserve">as to why the application was not filed in time. In </w:t>
      </w:r>
      <w:r w:rsidRPr="00344296">
        <w:rPr>
          <w:rFonts w:ascii="Arial" w:hAnsi="Arial" w:cs="Arial"/>
          <w:bCs/>
          <w:i/>
          <w:iCs/>
          <w:sz w:val="24"/>
          <w:szCs w:val="24"/>
        </w:rPr>
        <w:t xml:space="preserve">Tight Security Limited </w:t>
      </w:r>
      <w:r w:rsidR="003016C6">
        <w:rPr>
          <w:rFonts w:ascii="Arial" w:hAnsi="Arial" w:cs="Arial"/>
          <w:bCs/>
          <w:i/>
          <w:iCs/>
          <w:sz w:val="24"/>
          <w:szCs w:val="24"/>
        </w:rPr>
        <w:t xml:space="preserve">v </w:t>
      </w:r>
      <w:r w:rsidRPr="00344296">
        <w:rPr>
          <w:rFonts w:ascii="Arial" w:hAnsi="Arial" w:cs="Arial"/>
          <w:bCs/>
          <w:i/>
          <w:iCs/>
          <w:sz w:val="24"/>
          <w:szCs w:val="24"/>
        </w:rPr>
        <w:t xml:space="preserve">Chartis Uganda Insurance Co. Limited </w:t>
      </w:r>
      <w:r w:rsidRPr="003016C6">
        <w:rPr>
          <w:rFonts w:ascii="Arial" w:hAnsi="Arial" w:cs="Arial"/>
          <w:bCs/>
          <w:sz w:val="24"/>
          <w:szCs w:val="24"/>
        </w:rPr>
        <w:t>Misc. Application</w:t>
      </w:r>
      <w:r w:rsidR="00B15D56">
        <w:rPr>
          <w:rFonts w:ascii="Arial" w:hAnsi="Arial" w:cs="Arial"/>
          <w:bCs/>
          <w:sz w:val="24"/>
          <w:szCs w:val="24"/>
        </w:rPr>
        <w:t xml:space="preserve"> 8</w:t>
      </w:r>
      <w:r w:rsidRPr="003016C6">
        <w:rPr>
          <w:rFonts w:ascii="Arial" w:hAnsi="Arial" w:cs="Arial"/>
          <w:bCs/>
          <w:sz w:val="24"/>
          <w:szCs w:val="24"/>
        </w:rPr>
        <w:t xml:space="preserve"> of 2014</w:t>
      </w:r>
      <w:r w:rsidRPr="00344296">
        <w:rPr>
          <w:rFonts w:ascii="Arial" w:hAnsi="Arial" w:cs="Arial"/>
          <w:bCs/>
          <w:i/>
          <w:iCs/>
          <w:sz w:val="24"/>
          <w:szCs w:val="24"/>
        </w:rPr>
        <w:t xml:space="preserve">, </w:t>
      </w:r>
      <w:r w:rsidRPr="00344296">
        <w:rPr>
          <w:rFonts w:ascii="Arial" w:hAnsi="Arial" w:cs="Arial"/>
          <w:sz w:val="24"/>
          <w:szCs w:val="24"/>
        </w:rPr>
        <w:t xml:space="preserve">the court held </w:t>
      </w:r>
      <w:r w:rsidR="002B1DAD" w:rsidRPr="00344296">
        <w:rPr>
          <w:rFonts w:ascii="Arial" w:hAnsi="Arial" w:cs="Arial"/>
          <w:sz w:val="24"/>
          <w:szCs w:val="24"/>
        </w:rPr>
        <w:t>that.</w:t>
      </w:r>
    </w:p>
    <w:p w14:paraId="635774D9" w14:textId="2D2A9B79" w:rsidR="00F85967" w:rsidRPr="003016C6" w:rsidRDefault="006736B2" w:rsidP="003016C6">
      <w:pPr>
        <w:spacing w:after="0" w:line="360" w:lineRule="auto"/>
        <w:ind w:left="720"/>
        <w:jc w:val="both"/>
        <w:rPr>
          <w:rFonts w:ascii="Arial" w:hAnsi="Arial" w:cs="Arial"/>
        </w:rPr>
      </w:pPr>
      <w:r w:rsidRPr="003016C6">
        <w:rPr>
          <w:rFonts w:ascii="Arial" w:hAnsi="Arial" w:cs="Arial"/>
        </w:rPr>
        <w:t xml:space="preserve">“Good Cause relate to and include the factors which caused inability to file within the prescribed period of 30 days. The Phase ‘good cause’ is however wider and includes other causes other than causes of delay such as the </w:t>
      </w:r>
      <w:r w:rsidR="001A1946" w:rsidRPr="003016C6">
        <w:rPr>
          <w:rFonts w:ascii="Arial" w:hAnsi="Arial" w:cs="Arial"/>
        </w:rPr>
        <w:t>public</w:t>
      </w:r>
      <w:r w:rsidRPr="003016C6">
        <w:rPr>
          <w:rFonts w:ascii="Arial" w:hAnsi="Arial" w:cs="Arial"/>
        </w:rPr>
        <w:t xml:space="preserve"> importance of an appeal and the court should not restrict the meaning of good cause. It should depend on the facts and circumstances of each case and prior precedents of appellate courts on extension of time”.</w:t>
      </w:r>
    </w:p>
    <w:p w14:paraId="7AD91D06" w14:textId="77777777" w:rsidR="00494972" w:rsidRPr="00344296" w:rsidRDefault="00494972" w:rsidP="007273FA">
      <w:pPr>
        <w:spacing w:after="0" w:line="360" w:lineRule="auto"/>
        <w:jc w:val="both"/>
        <w:rPr>
          <w:rFonts w:ascii="Arial" w:hAnsi="Arial" w:cs="Arial"/>
          <w:sz w:val="24"/>
          <w:szCs w:val="24"/>
        </w:rPr>
      </w:pPr>
    </w:p>
    <w:p w14:paraId="538D6D5D" w14:textId="7BFE7627" w:rsidR="00096D11" w:rsidRPr="00096D11" w:rsidRDefault="003016C6" w:rsidP="005B41AA">
      <w:pPr>
        <w:pStyle w:val="NormalWeb"/>
        <w:shd w:val="clear" w:color="auto" w:fill="FFFFFF"/>
        <w:spacing w:before="0" w:beforeAutospacing="0" w:after="0" w:afterAutospacing="0" w:line="360" w:lineRule="auto"/>
        <w:jc w:val="both"/>
        <w:rPr>
          <w:rFonts w:ascii="Arial" w:hAnsi="Arial" w:cs="Arial"/>
          <w:color w:val="4A4A4A"/>
        </w:rPr>
      </w:pPr>
      <w:r w:rsidRPr="00096D11">
        <w:rPr>
          <w:rFonts w:ascii="Arial" w:hAnsi="Arial" w:cs="Arial"/>
          <w:iCs/>
        </w:rPr>
        <w:t xml:space="preserve">In </w:t>
      </w:r>
      <w:r w:rsidR="00252720" w:rsidRPr="00096D11">
        <w:rPr>
          <w:rFonts w:ascii="Arial" w:hAnsi="Arial" w:cs="Arial"/>
          <w:i/>
        </w:rPr>
        <w:t xml:space="preserve">Uganda Revenue Authority v Uganda Consolidated </w:t>
      </w:r>
      <w:r w:rsidR="005B41AA">
        <w:rPr>
          <w:rFonts w:ascii="Arial" w:hAnsi="Arial" w:cs="Arial"/>
          <w:i/>
          <w:lang w:val="en-GB"/>
        </w:rPr>
        <w:t>P</w:t>
      </w:r>
      <w:r w:rsidR="00252720" w:rsidRPr="00096D11">
        <w:rPr>
          <w:rFonts w:ascii="Arial" w:hAnsi="Arial" w:cs="Arial"/>
          <w:i/>
        </w:rPr>
        <w:t xml:space="preserve">roperties </w:t>
      </w:r>
      <w:r w:rsidR="005B41AA">
        <w:rPr>
          <w:rFonts w:ascii="Arial" w:hAnsi="Arial" w:cs="Arial"/>
          <w:i/>
          <w:lang w:val="en-GB"/>
        </w:rPr>
        <w:t>Limited</w:t>
      </w:r>
      <w:r w:rsidR="00252720" w:rsidRPr="00096D11">
        <w:rPr>
          <w:rFonts w:ascii="Arial" w:hAnsi="Arial" w:cs="Arial"/>
          <w:i/>
        </w:rPr>
        <w:t xml:space="preserve">, </w:t>
      </w:r>
      <w:r w:rsidR="00252720" w:rsidRPr="00B15D56">
        <w:rPr>
          <w:rFonts w:ascii="Arial" w:hAnsi="Arial" w:cs="Arial"/>
          <w:iCs/>
        </w:rPr>
        <w:t xml:space="preserve">Court of Appeal Civil  </w:t>
      </w:r>
      <w:r w:rsidR="005B41AA">
        <w:rPr>
          <w:rFonts w:ascii="Arial" w:hAnsi="Arial" w:cs="Arial"/>
          <w:iCs/>
          <w:lang w:val="en-GB"/>
        </w:rPr>
        <w:t xml:space="preserve">Appeal 31 of 2000 </w:t>
      </w:r>
      <w:r w:rsidR="00252720" w:rsidRPr="00096D11">
        <w:rPr>
          <w:rFonts w:ascii="Arial" w:hAnsi="Arial" w:cs="Arial"/>
        </w:rPr>
        <w:t>it was held that “Timelines set by statutes are matters of substantive law and not mere technicalities and must be strictly complied with”.</w:t>
      </w:r>
      <w:r w:rsidRPr="00096D11">
        <w:rPr>
          <w:rFonts w:ascii="Arial" w:hAnsi="Arial" w:cs="Arial"/>
        </w:rPr>
        <w:t xml:space="preserve"> </w:t>
      </w:r>
      <w:r w:rsidR="00096D11" w:rsidRPr="00096D11">
        <w:rPr>
          <w:rFonts w:ascii="Arial" w:hAnsi="Arial" w:cs="Arial"/>
        </w:rPr>
        <w:t xml:space="preserve">The applicant cited Article </w:t>
      </w:r>
      <w:r w:rsidR="005B41AA">
        <w:rPr>
          <w:rFonts w:ascii="Arial" w:hAnsi="Arial" w:cs="Arial"/>
          <w:lang w:val="en-GB"/>
        </w:rPr>
        <w:t>1</w:t>
      </w:r>
      <w:r w:rsidR="00096D11" w:rsidRPr="00096D11">
        <w:rPr>
          <w:rFonts w:ascii="Arial" w:hAnsi="Arial" w:cs="Arial"/>
        </w:rPr>
        <w:t>26 of the Constitution. Article 126 of the Constitution is not a magic wand that can be used to wave away the requirement to comply with time limits. Rules of Procedure are hand maidens of justice.</w:t>
      </w:r>
      <w:r w:rsidR="00096D11" w:rsidRPr="00096D11">
        <w:rPr>
          <w:rFonts w:ascii="Arial" w:hAnsi="Arial" w:cs="Arial"/>
          <w:color w:val="4A4A4A"/>
        </w:rPr>
        <w:t xml:space="preserve"> </w:t>
      </w:r>
      <w:r w:rsidR="005B41AA">
        <w:rPr>
          <w:rFonts w:ascii="Arial" w:hAnsi="Arial" w:cs="Arial"/>
          <w:color w:val="4A4A4A"/>
          <w:lang w:val="en-GB"/>
        </w:rPr>
        <w:t xml:space="preserve">In </w:t>
      </w:r>
      <w:r w:rsidR="00096D11" w:rsidRPr="005B41AA">
        <w:rPr>
          <w:rFonts w:ascii="Arial" w:hAnsi="Arial" w:cs="Arial"/>
          <w:i/>
          <w:iCs/>
          <w:color w:val="4A4A4A"/>
        </w:rPr>
        <w:t xml:space="preserve">Horizon Coaches v Edward Rurangaranga and Mbarara Municipal Council </w:t>
      </w:r>
      <w:r w:rsidR="00096D11" w:rsidRPr="00096D11">
        <w:rPr>
          <w:rFonts w:ascii="Arial" w:hAnsi="Arial" w:cs="Arial"/>
          <w:color w:val="4A4A4A"/>
        </w:rPr>
        <w:t>SCCA No. 18/2009 (unreported), Katureebe JSC, as he then was, held as follows:</w:t>
      </w:r>
    </w:p>
    <w:p w14:paraId="73A9664B" w14:textId="7E88B8BA" w:rsidR="00096D11" w:rsidRPr="005B41AA" w:rsidRDefault="00096D11" w:rsidP="00096D11">
      <w:pPr>
        <w:pStyle w:val="NormalWeb"/>
        <w:shd w:val="clear" w:color="auto" w:fill="FFFFFF"/>
        <w:spacing w:before="0" w:beforeAutospacing="0" w:after="0" w:afterAutospacing="0" w:line="360" w:lineRule="auto"/>
        <w:ind w:left="720"/>
        <w:jc w:val="both"/>
        <w:rPr>
          <w:rFonts w:ascii="Arial" w:hAnsi="Arial" w:cs="Arial"/>
          <w:color w:val="4A4A4A"/>
          <w:sz w:val="22"/>
          <w:szCs w:val="22"/>
          <w:lang w:val="en-GB"/>
        </w:rPr>
      </w:pPr>
      <w:r w:rsidRPr="005B41AA">
        <w:rPr>
          <w:rFonts w:ascii="Arial" w:hAnsi="Arial" w:cs="Arial"/>
          <w:color w:val="4A4A4A"/>
          <w:sz w:val="22"/>
          <w:szCs w:val="22"/>
        </w:rPr>
        <w:t>“Article 126 (2) (e) of the Constitution enjoins Courts to do substantive justice without undue regard to technicalities. This does not mean that courts should not have regard to technicalities. But where the effect of adherence to technicalities may have the effect of denying a party substantive justice, the Court should endeavor to invoke that provision of the Constitution.</w:t>
      </w:r>
      <w:r w:rsidR="005B41AA">
        <w:rPr>
          <w:rFonts w:ascii="Arial" w:hAnsi="Arial" w:cs="Arial"/>
          <w:color w:val="4A4A4A"/>
          <w:sz w:val="22"/>
          <w:szCs w:val="22"/>
          <w:lang w:val="en-GB"/>
        </w:rPr>
        <w:t>”</w:t>
      </w:r>
    </w:p>
    <w:p w14:paraId="2CC63C9B" w14:textId="4459C523" w:rsidR="00252720" w:rsidRPr="00096D11" w:rsidRDefault="00096D11" w:rsidP="00096D11">
      <w:pPr>
        <w:spacing w:after="0" w:line="360" w:lineRule="auto"/>
        <w:jc w:val="both"/>
        <w:rPr>
          <w:rFonts w:ascii="Arial" w:hAnsi="Arial" w:cs="Arial"/>
          <w:sz w:val="24"/>
          <w:szCs w:val="24"/>
        </w:rPr>
      </w:pPr>
      <w:r>
        <w:rPr>
          <w:rFonts w:ascii="Arial" w:hAnsi="Arial" w:cs="Arial"/>
          <w:sz w:val="24"/>
          <w:szCs w:val="24"/>
        </w:rPr>
        <w:t>This was cited also in</w:t>
      </w:r>
      <w:r w:rsidRPr="00096D11">
        <w:rPr>
          <w:rFonts w:ascii="Arial" w:hAnsi="Arial" w:cs="Arial"/>
          <w:bCs/>
          <w:i/>
          <w:iCs/>
          <w:sz w:val="24"/>
          <w:szCs w:val="24"/>
        </w:rPr>
        <w:t xml:space="preserve"> </w:t>
      </w:r>
      <w:r w:rsidRPr="00344296">
        <w:rPr>
          <w:rFonts w:ascii="Arial" w:hAnsi="Arial" w:cs="Arial"/>
          <w:bCs/>
          <w:i/>
          <w:iCs/>
          <w:sz w:val="24"/>
          <w:szCs w:val="24"/>
        </w:rPr>
        <w:t xml:space="preserve">Mulindwa George William </w:t>
      </w:r>
      <w:r>
        <w:rPr>
          <w:rFonts w:ascii="Arial" w:hAnsi="Arial" w:cs="Arial"/>
          <w:bCs/>
          <w:i/>
          <w:iCs/>
          <w:sz w:val="24"/>
          <w:szCs w:val="24"/>
        </w:rPr>
        <w:t>v</w:t>
      </w:r>
      <w:r w:rsidRPr="00344296">
        <w:rPr>
          <w:rFonts w:ascii="Arial" w:hAnsi="Arial" w:cs="Arial"/>
          <w:bCs/>
          <w:i/>
          <w:iCs/>
          <w:sz w:val="24"/>
          <w:szCs w:val="24"/>
        </w:rPr>
        <w:t xml:space="preserve"> Kisubika Joseph</w:t>
      </w:r>
      <w:r>
        <w:rPr>
          <w:rFonts w:ascii="Arial" w:hAnsi="Arial" w:cs="Arial"/>
          <w:bCs/>
          <w:i/>
          <w:iCs/>
          <w:sz w:val="24"/>
          <w:szCs w:val="24"/>
        </w:rPr>
        <w:t xml:space="preserve"> </w:t>
      </w:r>
      <w:r>
        <w:rPr>
          <w:rFonts w:ascii="Arial" w:hAnsi="Arial" w:cs="Arial"/>
          <w:bCs/>
          <w:sz w:val="24"/>
          <w:szCs w:val="24"/>
        </w:rPr>
        <w:t>(supra).</w:t>
      </w:r>
      <w:r>
        <w:rPr>
          <w:rFonts w:ascii="Arial" w:hAnsi="Arial" w:cs="Arial"/>
          <w:sz w:val="24"/>
          <w:szCs w:val="24"/>
        </w:rPr>
        <w:t xml:space="preserve"> </w:t>
      </w:r>
      <w:r w:rsidRPr="00096D11">
        <w:rPr>
          <w:rFonts w:ascii="Arial" w:hAnsi="Arial" w:cs="Arial"/>
          <w:sz w:val="24"/>
          <w:szCs w:val="24"/>
        </w:rPr>
        <w:t>Therefore,</w:t>
      </w:r>
      <w:r w:rsidR="003016C6" w:rsidRPr="00096D11">
        <w:rPr>
          <w:rFonts w:ascii="Arial" w:hAnsi="Arial" w:cs="Arial"/>
          <w:sz w:val="24"/>
          <w:szCs w:val="24"/>
        </w:rPr>
        <w:t xml:space="preserve"> a taxpayer who is not diligent enough to respect time limits maybe denied a chance to have its matter heard on merits.</w:t>
      </w:r>
    </w:p>
    <w:p w14:paraId="5E8996DD" w14:textId="5F6D7380" w:rsidR="003016C6" w:rsidRDefault="003016C6" w:rsidP="007273FA">
      <w:pPr>
        <w:spacing w:after="0" w:line="360" w:lineRule="auto"/>
        <w:jc w:val="both"/>
        <w:rPr>
          <w:rFonts w:ascii="Arial" w:hAnsi="Arial" w:cs="Arial"/>
          <w:sz w:val="24"/>
          <w:szCs w:val="24"/>
        </w:rPr>
      </w:pPr>
    </w:p>
    <w:p w14:paraId="3DEA4BA0" w14:textId="08CCE9D8" w:rsidR="000263F1" w:rsidRDefault="003016C6" w:rsidP="007273FA">
      <w:pPr>
        <w:spacing w:after="0" w:line="360" w:lineRule="auto"/>
        <w:jc w:val="both"/>
        <w:rPr>
          <w:rFonts w:ascii="Arial" w:hAnsi="Arial" w:cs="Arial"/>
          <w:sz w:val="24"/>
          <w:szCs w:val="24"/>
        </w:rPr>
      </w:pPr>
      <w:r>
        <w:rPr>
          <w:rFonts w:ascii="Arial" w:hAnsi="Arial" w:cs="Arial"/>
          <w:sz w:val="24"/>
          <w:szCs w:val="24"/>
        </w:rPr>
        <w:t xml:space="preserve">In this case the applicant denies that it was served. It contended that </w:t>
      </w:r>
      <w:r w:rsidR="000263F1">
        <w:rPr>
          <w:rFonts w:ascii="Arial" w:hAnsi="Arial" w:cs="Arial"/>
          <w:sz w:val="24"/>
          <w:szCs w:val="24"/>
        </w:rPr>
        <w:t xml:space="preserve">the respondent served the objection decision on its accountant and should have served it personally. There was no affidavit of service. The applicant also contends that the respondent did not serve in accordance with the Civil Procedure Rules. The questions the Tribunal </w:t>
      </w:r>
      <w:r w:rsidR="004453CD">
        <w:rPr>
          <w:rFonts w:ascii="Arial" w:hAnsi="Arial" w:cs="Arial"/>
          <w:sz w:val="24"/>
          <w:szCs w:val="24"/>
        </w:rPr>
        <w:t>must</w:t>
      </w:r>
      <w:r w:rsidR="000263F1">
        <w:rPr>
          <w:rFonts w:ascii="Arial" w:hAnsi="Arial" w:cs="Arial"/>
          <w:sz w:val="24"/>
          <w:szCs w:val="24"/>
        </w:rPr>
        <w:t xml:space="preserve"> ask itself are whether the accountant was a proper person to receive an objection decision. Secondly</w:t>
      </w:r>
      <w:r w:rsidR="005B41AA">
        <w:rPr>
          <w:rFonts w:ascii="Arial" w:hAnsi="Arial" w:cs="Arial"/>
          <w:sz w:val="24"/>
          <w:szCs w:val="24"/>
        </w:rPr>
        <w:t>,</w:t>
      </w:r>
      <w:r w:rsidR="000263F1">
        <w:rPr>
          <w:rFonts w:ascii="Arial" w:hAnsi="Arial" w:cs="Arial"/>
          <w:sz w:val="24"/>
          <w:szCs w:val="24"/>
        </w:rPr>
        <w:t xml:space="preserve"> whether the respondent did not comply with the Civil Procedure Rules.</w:t>
      </w:r>
    </w:p>
    <w:p w14:paraId="7724C2D6" w14:textId="77777777" w:rsidR="000263F1" w:rsidRDefault="000263F1" w:rsidP="007273FA">
      <w:pPr>
        <w:spacing w:after="0" w:line="360" w:lineRule="auto"/>
        <w:jc w:val="both"/>
        <w:rPr>
          <w:rFonts w:ascii="Arial" w:hAnsi="Arial" w:cs="Arial"/>
          <w:sz w:val="24"/>
          <w:szCs w:val="24"/>
        </w:rPr>
      </w:pPr>
    </w:p>
    <w:p w14:paraId="04F4DFD4" w14:textId="7B611411" w:rsidR="003016C6" w:rsidRPr="00515EC9" w:rsidRDefault="000263F1" w:rsidP="007273FA">
      <w:pPr>
        <w:spacing w:after="0" w:line="360" w:lineRule="auto"/>
        <w:jc w:val="both"/>
        <w:rPr>
          <w:rFonts w:ascii="Arial" w:hAnsi="Arial" w:cs="Arial"/>
          <w:sz w:val="24"/>
          <w:szCs w:val="24"/>
        </w:rPr>
      </w:pPr>
      <w:r w:rsidRPr="00515EC9">
        <w:rPr>
          <w:rFonts w:ascii="Arial" w:hAnsi="Arial" w:cs="Arial"/>
          <w:sz w:val="24"/>
          <w:szCs w:val="24"/>
        </w:rPr>
        <w:t>A company is not a physical entity. Companies act through</w:t>
      </w:r>
      <w:r w:rsidR="00AC294F">
        <w:rPr>
          <w:rFonts w:ascii="Arial" w:hAnsi="Arial" w:cs="Arial"/>
          <w:sz w:val="24"/>
          <w:szCs w:val="24"/>
        </w:rPr>
        <w:t xml:space="preserve"> their </w:t>
      </w:r>
      <w:r w:rsidRPr="00515EC9">
        <w:rPr>
          <w:rFonts w:ascii="Arial" w:hAnsi="Arial" w:cs="Arial"/>
          <w:sz w:val="24"/>
          <w:szCs w:val="24"/>
        </w:rPr>
        <w:t>employees and directors. It cannot be served physically. Service can only be effected through its officials. These officials include management and senior staff of the company. The applicant cited</w:t>
      </w:r>
      <w:r w:rsidR="00FB5D1F" w:rsidRPr="00FB5D1F">
        <w:rPr>
          <w:rFonts w:ascii="Arial" w:hAnsi="Arial" w:cs="Arial"/>
          <w:i/>
          <w:iCs/>
          <w:sz w:val="24"/>
          <w:szCs w:val="24"/>
        </w:rPr>
        <w:t xml:space="preserve"> Banco Arab Espanol v Bank of Uganda</w:t>
      </w:r>
      <w:r w:rsidR="00FB5D1F">
        <w:rPr>
          <w:rFonts w:ascii="Arial" w:hAnsi="Arial" w:cs="Arial"/>
          <w:i/>
          <w:iCs/>
          <w:sz w:val="24"/>
          <w:szCs w:val="24"/>
        </w:rPr>
        <w:t xml:space="preserve"> </w:t>
      </w:r>
      <w:r w:rsidR="00FB5D1F">
        <w:rPr>
          <w:rFonts w:ascii="Arial" w:hAnsi="Arial" w:cs="Arial"/>
          <w:sz w:val="24"/>
          <w:szCs w:val="24"/>
        </w:rPr>
        <w:t>(supra)</w:t>
      </w:r>
      <w:r w:rsidRPr="00515EC9">
        <w:rPr>
          <w:rFonts w:ascii="Arial" w:hAnsi="Arial" w:cs="Arial"/>
          <w:sz w:val="24"/>
          <w:szCs w:val="24"/>
        </w:rPr>
        <w:t xml:space="preserve"> where it was stated that mistake or negligence of an advocate should not be visited on the litigant. An advocate is not an employee of </w:t>
      </w:r>
      <w:r w:rsidR="005B41AA">
        <w:rPr>
          <w:rFonts w:ascii="Arial" w:hAnsi="Arial" w:cs="Arial"/>
          <w:sz w:val="24"/>
          <w:szCs w:val="24"/>
        </w:rPr>
        <w:t>his</w:t>
      </w:r>
      <w:r w:rsidR="00AC294F">
        <w:rPr>
          <w:rFonts w:ascii="Arial" w:hAnsi="Arial" w:cs="Arial"/>
          <w:sz w:val="24"/>
          <w:szCs w:val="24"/>
        </w:rPr>
        <w:t xml:space="preserve"> or her</w:t>
      </w:r>
      <w:r w:rsidRPr="00515EC9">
        <w:rPr>
          <w:rFonts w:ascii="Arial" w:hAnsi="Arial" w:cs="Arial"/>
          <w:sz w:val="24"/>
          <w:szCs w:val="24"/>
        </w:rPr>
        <w:t xml:space="preserve"> clients. He or she is a service provider unlike an accountant who is an employee. The applicant does not deny that the accountant was its employee. The Tribunal does not see any reason why the respondent could not serve him.</w:t>
      </w:r>
    </w:p>
    <w:p w14:paraId="6ED3A453" w14:textId="4853F49F" w:rsidR="000263F1" w:rsidRPr="00515EC9" w:rsidRDefault="000263F1" w:rsidP="007273FA">
      <w:pPr>
        <w:spacing w:after="0" w:line="360" w:lineRule="auto"/>
        <w:jc w:val="both"/>
        <w:rPr>
          <w:rFonts w:ascii="Arial" w:hAnsi="Arial" w:cs="Arial"/>
          <w:sz w:val="24"/>
          <w:szCs w:val="24"/>
        </w:rPr>
      </w:pPr>
    </w:p>
    <w:p w14:paraId="6BCE5699" w14:textId="4E983D98" w:rsidR="00303B22" w:rsidRDefault="000263F1" w:rsidP="007273FA">
      <w:pPr>
        <w:spacing w:after="0" w:line="360" w:lineRule="auto"/>
        <w:jc w:val="both"/>
        <w:rPr>
          <w:rFonts w:ascii="Arial" w:hAnsi="Arial" w:cs="Arial"/>
          <w:sz w:val="24"/>
          <w:szCs w:val="24"/>
        </w:rPr>
      </w:pPr>
      <w:r w:rsidRPr="00515EC9">
        <w:rPr>
          <w:rFonts w:ascii="Arial" w:hAnsi="Arial" w:cs="Arial"/>
          <w:sz w:val="24"/>
          <w:szCs w:val="24"/>
        </w:rPr>
        <w:t xml:space="preserve">The applicant also contended that </w:t>
      </w:r>
      <w:r w:rsidR="00515EC9" w:rsidRPr="00515EC9">
        <w:rPr>
          <w:rFonts w:ascii="Arial" w:hAnsi="Arial" w:cs="Arial"/>
          <w:sz w:val="24"/>
          <w:szCs w:val="24"/>
        </w:rPr>
        <w:t xml:space="preserve">the respondent did not comply with the Civil Procedure Rules when it purportedly served </w:t>
      </w:r>
      <w:r w:rsidR="00AC294F">
        <w:rPr>
          <w:rFonts w:ascii="Arial" w:hAnsi="Arial" w:cs="Arial"/>
          <w:sz w:val="24"/>
          <w:szCs w:val="24"/>
        </w:rPr>
        <w:t>it</w:t>
      </w:r>
      <w:r w:rsidR="00515EC9" w:rsidRPr="00515EC9">
        <w:rPr>
          <w:rFonts w:ascii="Arial" w:hAnsi="Arial" w:cs="Arial"/>
          <w:sz w:val="24"/>
          <w:szCs w:val="24"/>
        </w:rPr>
        <w:t xml:space="preserve"> with an objection decision. An objection decision is not</w:t>
      </w:r>
      <w:r w:rsidR="006B197F">
        <w:rPr>
          <w:rFonts w:ascii="Arial" w:hAnsi="Arial" w:cs="Arial"/>
          <w:sz w:val="24"/>
          <w:szCs w:val="24"/>
        </w:rPr>
        <w:t xml:space="preserve"> a</w:t>
      </w:r>
      <w:r w:rsidR="00515EC9" w:rsidRPr="00515EC9">
        <w:rPr>
          <w:rFonts w:ascii="Arial" w:hAnsi="Arial" w:cs="Arial"/>
          <w:sz w:val="24"/>
          <w:szCs w:val="24"/>
        </w:rPr>
        <w:t xml:space="preserve"> court process or pleading. There is no requirement that it should be served under the Civil Procedure Rules. There is no requirement that the respondent should file an affidavit of service. An objection decision should be served under the taxing laws that provide for it. </w:t>
      </w:r>
      <w:r w:rsidR="00303B22">
        <w:rPr>
          <w:rFonts w:ascii="Arial" w:hAnsi="Arial" w:cs="Arial"/>
          <w:sz w:val="24"/>
          <w:szCs w:val="24"/>
        </w:rPr>
        <w:t xml:space="preserve">S. 72(2) of the Tax Procedure Code Act provides that a notice or other document required to be served by the Commissioner on a person for the purposes of a tax law is treated as sufficiently served on the person </w:t>
      </w:r>
      <w:r w:rsidR="009C0EC1">
        <w:rPr>
          <w:rFonts w:ascii="Arial" w:hAnsi="Arial" w:cs="Arial"/>
          <w:sz w:val="24"/>
          <w:szCs w:val="24"/>
        </w:rPr>
        <w:t>if.</w:t>
      </w:r>
      <w:r w:rsidR="00303B22">
        <w:rPr>
          <w:rFonts w:ascii="Arial" w:hAnsi="Arial" w:cs="Arial"/>
          <w:sz w:val="24"/>
          <w:szCs w:val="24"/>
        </w:rPr>
        <w:t xml:space="preserve"> </w:t>
      </w:r>
    </w:p>
    <w:p w14:paraId="71418BA0" w14:textId="54991035" w:rsidR="00303B22" w:rsidRPr="002A0E54" w:rsidRDefault="00303B22" w:rsidP="007273FA">
      <w:pPr>
        <w:spacing w:after="0" w:line="360" w:lineRule="auto"/>
        <w:jc w:val="both"/>
        <w:rPr>
          <w:rFonts w:ascii="Arial" w:hAnsi="Arial" w:cs="Arial"/>
        </w:rPr>
      </w:pPr>
      <w:r>
        <w:rPr>
          <w:rFonts w:ascii="Arial" w:hAnsi="Arial" w:cs="Arial"/>
          <w:sz w:val="24"/>
          <w:szCs w:val="24"/>
        </w:rPr>
        <w:tab/>
      </w:r>
      <w:r w:rsidRPr="002A0E54">
        <w:rPr>
          <w:rFonts w:ascii="Arial" w:hAnsi="Arial" w:cs="Arial"/>
        </w:rPr>
        <w:t>“(a) personally served on the person.</w:t>
      </w:r>
    </w:p>
    <w:p w14:paraId="79179BE7" w14:textId="5D327681" w:rsidR="00303B22" w:rsidRPr="002A0E54" w:rsidRDefault="002A0E54" w:rsidP="00303B22">
      <w:pPr>
        <w:spacing w:after="0" w:line="360" w:lineRule="auto"/>
        <w:ind w:left="993" w:hanging="273"/>
        <w:jc w:val="both"/>
        <w:rPr>
          <w:rFonts w:ascii="Arial" w:hAnsi="Arial" w:cs="Arial"/>
        </w:rPr>
      </w:pPr>
      <w:r w:rsidRPr="002A0E54">
        <w:rPr>
          <w:rFonts w:ascii="Arial" w:hAnsi="Arial" w:cs="Arial"/>
        </w:rPr>
        <w:t xml:space="preserve"> </w:t>
      </w:r>
      <w:r w:rsidR="00303B22" w:rsidRPr="002A0E54">
        <w:rPr>
          <w:rFonts w:ascii="Arial" w:hAnsi="Arial" w:cs="Arial"/>
        </w:rPr>
        <w:t xml:space="preserve">(b) left at the person’s registered office, place of business, or last known address as stated in any communication with the Commissioner.  </w:t>
      </w:r>
    </w:p>
    <w:p w14:paraId="1DAA8F4F" w14:textId="1B1D1AF4" w:rsidR="00AE5900" w:rsidRPr="002A0E54" w:rsidRDefault="005B41AA" w:rsidP="00303B22">
      <w:pPr>
        <w:spacing w:after="0" w:line="360" w:lineRule="auto"/>
        <w:ind w:left="993" w:hanging="273"/>
        <w:jc w:val="both"/>
        <w:rPr>
          <w:rFonts w:ascii="Arial" w:hAnsi="Arial" w:cs="Arial"/>
        </w:rPr>
      </w:pPr>
      <w:r>
        <w:rPr>
          <w:rFonts w:ascii="Arial" w:hAnsi="Arial" w:cs="Arial"/>
        </w:rPr>
        <w:t xml:space="preserve"> </w:t>
      </w:r>
      <w:r w:rsidR="00AE5900" w:rsidRPr="002A0E54">
        <w:rPr>
          <w:rFonts w:ascii="Arial" w:hAnsi="Arial" w:cs="Arial"/>
        </w:rPr>
        <w:t>(c)</w:t>
      </w:r>
      <w:r w:rsidR="002A0E54" w:rsidRPr="002A0E54">
        <w:rPr>
          <w:rFonts w:ascii="Arial" w:hAnsi="Arial" w:cs="Arial"/>
        </w:rPr>
        <w:t xml:space="preserve"> </w:t>
      </w:r>
      <w:r w:rsidR="00AE5900" w:rsidRPr="002A0E54">
        <w:rPr>
          <w:rFonts w:ascii="Arial" w:hAnsi="Arial" w:cs="Arial"/>
        </w:rPr>
        <w:t>Sent by registered post to the person’s registered office, place of business, or last known address as stated in any communication with the Commissioner; or</w:t>
      </w:r>
    </w:p>
    <w:p w14:paraId="271BB24E" w14:textId="612F13D3" w:rsidR="002A0E54" w:rsidRPr="002A0E54" w:rsidRDefault="005B41AA" w:rsidP="002A0E54">
      <w:pPr>
        <w:spacing w:after="0" w:line="360" w:lineRule="auto"/>
        <w:ind w:left="1134" w:hanging="414"/>
        <w:jc w:val="both"/>
        <w:rPr>
          <w:rFonts w:ascii="Arial" w:hAnsi="Arial" w:cs="Arial"/>
        </w:rPr>
      </w:pPr>
      <w:r>
        <w:rPr>
          <w:rFonts w:ascii="Arial" w:hAnsi="Arial" w:cs="Arial"/>
        </w:rPr>
        <w:t xml:space="preserve"> </w:t>
      </w:r>
      <w:r w:rsidR="002A0E54">
        <w:rPr>
          <w:rFonts w:ascii="Arial" w:hAnsi="Arial" w:cs="Arial"/>
        </w:rPr>
        <w:t xml:space="preserve">(d) </w:t>
      </w:r>
      <w:r w:rsidR="00303B22" w:rsidRPr="002A0E54">
        <w:rPr>
          <w:rFonts w:ascii="Arial" w:hAnsi="Arial" w:cs="Arial"/>
        </w:rPr>
        <w:t>an electronic dat</w:t>
      </w:r>
      <w:r w:rsidR="00AC294F">
        <w:rPr>
          <w:rFonts w:ascii="Arial" w:hAnsi="Arial" w:cs="Arial"/>
        </w:rPr>
        <w:t>a</w:t>
      </w:r>
      <w:r w:rsidR="00303B22" w:rsidRPr="002A0E54">
        <w:rPr>
          <w:rFonts w:ascii="Arial" w:hAnsi="Arial" w:cs="Arial"/>
        </w:rPr>
        <w:t xml:space="preserve"> message is transmitted to the person’s known or registered electronic account.</w:t>
      </w:r>
      <w:r>
        <w:rPr>
          <w:rFonts w:ascii="Arial" w:hAnsi="Arial" w:cs="Arial"/>
        </w:rPr>
        <w:t>”</w:t>
      </w:r>
      <w:r w:rsidR="00303B22" w:rsidRPr="002A0E54">
        <w:rPr>
          <w:rFonts w:ascii="Arial" w:hAnsi="Arial" w:cs="Arial"/>
        </w:rPr>
        <w:t xml:space="preserve"> </w:t>
      </w:r>
    </w:p>
    <w:p w14:paraId="04071476" w14:textId="05F2C8A5" w:rsidR="00353243" w:rsidRDefault="00303B22" w:rsidP="00353243">
      <w:pPr>
        <w:spacing w:after="0" w:line="360" w:lineRule="auto"/>
        <w:jc w:val="both"/>
        <w:rPr>
          <w:rFonts w:ascii="Arial" w:hAnsi="Arial" w:cs="Arial"/>
          <w:sz w:val="24"/>
          <w:szCs w:val="24"/>
        </w:rPr>
      </w:pPr>
      <w:r>
        <w:rPr>
          <w:rFonts w:ascii="Arial" w:hAnsi="Arial" w:cs="Arial"/>
          <w:sz w:val="24"/>
          <w:szCs w:val="24"/>
        </w:rPr>
        <w:lastRenderedPageBreak/>
        <w:t xml:space="preserve">The applicant does not deny that it had an electronic account. It also does not deny that the accountant gave his email </w:t>
      </w:r>
      <w:r w:rsidR="00353243">
        <w:rPr>
          <w:rFonts w:ascii="Arial" w:hAnsi="Arial" w:cs="Arial"/>
          <w:sz w:val="24"/>
          <w:szCs w:val="24"/>
        </w:rPr>
        <w:t>address as the contact address</w:t>
      </w:r>
      <w:r w:rsidR="00AC294F">
        <w:rPr>
          <w:rFonts w:ascii="Arial" w:hAnsi="Arial" w:cs="Arial"/>
          <w:sz w:val="24"/>
          <w:szCs w:val="24"/>
        </w:rPr>
        <w:t xml:space="preserve"> of the applicant</w:t>
      </w:r>
      <w:r w:rsidR="00353243">
        <w:rPr>
          <w:rFonts w:ascii="Arial" w:hAnsi="Arial" w:cs="Arial"/>
          <w:sz w:val="24"/>
          <w:szCs w:val="24"/>
        </w:rPr>
        <w:t xml:space="preserve"> to who notices would be sent to.</w:t>
      </w:r>
      <w:r>
        <w:rPr>
          <w:rFonts w:ascii="Arial" w:hAnsi="Arial" w:cs="Arial"/>
          <w:sz w:val="24"/>
          <w:szCs w:val="24"/>
        </w:rPr>
        <w:t xml:space="preserve"> </w:t>
      </w:r>
      <w:r w:rsidR="009F5570">
        <w:rPr>
          <w:rFonts w:ascii="Arial" w:hAnsi="Arial" w:cs="Arial"/>
          <w:sz w:val="24"/>
          <w:szCs w:val="24"/>
        </w:rPr>
        <w:t>Therefore,</w:t>
      </w:r>
      <w:r w:rsidR="00353243">
        <w:rPr>
          <w:rFonts w:ascii="Arial" w:hAnsi="Arial" w:cs="Arial"/>
          <w:sz w:val="24"/>
          <w:szCs w:val="24"/>
        </w:rPr>
        <w:t xml:space="preserve"> the </w:t>
      </w:r>
      <w:r w:rsidR="00AC294F">
        <w:rPr>
          <w:rFonts w:ascii="Arial" w:hAnsi="Arial" w:cs="Arial"/>
          <w:sz w:val="24"/>
          <w:szCs w:val="24"/>
        </w:rPr>
        <w:t>applicant</w:t>
      </w:r>
      <w:r w:rsidR="00353243">
        <w:rPr>
          <w:rFonts w:ascii="Arial" w:hAnsi="Arial" w:cs="Arial"/>
          <w:sz w:val="24"/>
          <w:szCs w:val="24"/>
        </w:rPr>
        <w:t xml:space="preserve"> cannot deny that the account</w:t>
      </w:r>
      <w:r w:rsidR="00AC294F">
        <w:rPr>
          <w:rFonts w:ascii="Arial" w:hAnsi="Arial" w:cs="Arial"/>
          <w:sz w:val="24"/>
          <w:szCs w:val="24"/>
        </w:rPr>
        <w:t xml:space="preserve">ant </w:t>
      </w:r>
      <w:r w:rsidR="00353243">
        <w:rPr>
          <w:rFonts w:ascii="Arial" w:hAnsi="Arial" w:cs="Arial"/>
          <w:sz w:val="24"/>
          <w:szCs w:val="24"/>
        </w:rPr>
        <w:t>properly received the objection decision on its behalf.</w:t>
      </w:r>
    </w:p>
    <w:p w14:paraId="20F79FF1" w14:textId="77777777" w:rsidR="00353243" w:rsidRDefault="00353243" w:rsidP="007273FA">
      <w:pPr>
        <w:spacing w:after="0" w:line="360" w:lineRule="auto"/>
        <w:jc w:val="both"/>
        <w:rPr>
          <w:rFonts w:ascii="Arial" w:hAnsi="Arial" w:cs="Arial"/>
          <w:sz w:val="24"/>
          <w:szCs w:val="24"/>
        </w:rPr>
      </w:pPr>
    </w:p>
    <w:p w14:paraId="6582156F" w14:textId="5A89CC79" w:rsidR="00F55C87" w:rsidRPr="00344296" w:rsidRDefault="00B03346" w:rsidP="007273FA">
      <w:pPr>
        <w:spacing w:after="0" w:line="360" w:lineRule="auto"/>
        <w:jc w:val="both"/>
        <w:rPr>
          <w:rFonts w:ascii="Arial" w:hAnsi="Arial" w:cs="Arial"/>
          <w:sz w:val="24"/>
          <w:szCs w:val="24"/>
        </w:rPr>
      </w:pPr>
      <w:r w:rsidRPr="00344296">
        <w:rPr>
          <w:rFonts w:ascii="Arial" w:hAnsi="Arial" w:cs="Arial"/>
          <w:sz w:val="24"/>
          <w:szCs w:val="24"/>
        </w:rPr>
        <w:t xml:space="preserve">The applicant </w:t>
      </w:r>
      <w:r w:rsidR="001C4633">
        <w:rPr>
          <w:rFonts w:ascii="Arial" w:hAnsi="Arial" w:cs="Arial"/>
          <w:sz w:val="24"/>
          <w:szCs w:val="24"/>
        </w:rPr>
        <w:t xml:space="preserve">has not shown reasonable cause as to why it should be granted leave to </w:t>
      </w:r>
      <w:r w:rsidRPr="00344296">
        <w:rPr>
          <w:rFonts w:ascii="Arial" w:hAnsi="Arial" w:cs="Arial"/>
          <w:sz w:val="24"/>
          <w:szCs w:val="24"/>
        </w:rPr>
        <w:t xml:space="preserve">file </w:t>
      </w:r>
      <w:r w:rsidR="001C4633">
        <w:rPr>
          <w:rFonts w:ascii="Arial" w:hAnsi="Arial" w:cs="Arial"/>
          <w:sz w:val="24"/>
          <w:szCs w:val="24"/>
        </w:rPr>
        <w:t>an</w:t>
      </w:r>
      <w:r w:rsidRPr="00344296">
        <w:rPr>
          <w:rFonts w:ascii="Arial" w:hAnsi="Arial" w:cs="Arial"/>
          <w:sz w:val="24"/>
          <w:szCs w:val="24"/>
        </w:rPr>
        <w:t xml:space="preserve"> application out of </w:t>
      </w:r>
      <w:r w:rsidR="00194C47" w:rsidRPr="00344296">
        <w:rPr>
          <w:rFonts w:ascii="Arial" w:hAnsi="Arial" w:cs="Arial"/>
          <w:sz w:val="24"/>
          <w:szCs w:val="24"/>
        </w:rPr>
        <w:t>time</w:t>
      </w:r>
      <w:r w:rsidRPr="00344296">
        <w:rPr>
          <w:rFonts w:ascii="Arial" w:hAnsi="Arial" w:cs="Arial"/>
          <w:sz w:val="24"/>
          <w:szCs w:val="24"/>
        </w:rPr>
        <w:t>.</w:t>
      </w:r>
      <w:r w:rsidR="00983CD7" w:rsidRPr="00344296">
        <w:rPr>
          <w:rFonts w:ascii="Arial" w:hAnsi="Arial" w:cs="Arial"/>
          <w:sz w:val="24"/>
          <w:szCs w:val="24"/>
        </w:rPr>
        <w:t xml:space="preserve"> </w:t>
      </w:r>
      <w:r w:rsidR="0031651B" w:rsidRPr="00344296">
        <w:rPr>
          <w:rFonts w:ascii="Arial" w:hAnsi="Arial" w:cs="Arial"/>
          <w:sz w:val="24"/>
          <w:szCs w:val="24"/>
        </w:rPr>
        <w:t xml:space="preserve">The objection </w:t>
      </w:r>
      <w:r w:rsidR="001C4633">
        <w:rPr>
          <w:rFonts w:ascii="Arial" w:hAnsi="Arial" w:cs="Arial"/>
          <w:sz w:val="24"/>
          <w:szCs w:val="24"/>
        </w:rPr>
        <w:t xml:space="preserve">was made on </w:t>
      </w:r>
      <w:r w:rsidR="0031651B" w:rsidRPr="00344296">
        <w:rPr>
          <w:rFonts w:ascii="Arial" w:hAnsi="Arial" w:cs="Arial"/>
          <w:sz w:val="24"/>
          <w:szCs w:val="24"/>
        </w:rPr>
        <w:t>14</w:t>
      </w:r>
      <w:r w:rsidR="0031651B" w:rsidRPr="00344296">
        <w:rPr>
          <w:rFonts w:ascii="Arial" w:hAnsi="Arial" w:cs="Arial"/>
          <w:sz w:val="24"/>
          <w:szCs w:val="24"/>
          <w:vertAlign w:val="superscript"/>
        </w:rPr>
        <w:t>th</w:t>
      </w:r>
      <w:r w:rsidR="0031651B" w:rsidRPr="00344296">
        <w:rPr>
          <w:rFonts w:ascii="Arial" w:hAnsi="Arial" w:cs="Arial"/>
          <w:sz w:val="24"/>
          <w:szCs w:val="24"/>
        </w:rPr>
        <w:t xml:space="preserve"> Nov</w:t>
      </w:r>
      <w:r w:rsidR="009F5570">
        <w:rPr>
          <w:rFonts w:ascii="Arial" w:hAnsi="Arial" w:cs="Arial"/>
          <w:sz w:val="24"/>
          <w:szCs w:val="24"/>
        </w:rPr>
        <w:t>ember</w:t>
      </w:r>
      <w:r w:rsidR="0031651B" w:rsidRPr="00344296">
        <w:rPr>
          <w:rFonts w:ascii="Arial" w:hAnsi="Arial" w:cs="Arial"/>
          <w:sz w:val="24"/>
          <w:szCs w:val="24"/>
        </w:rPr>
        <w:t xml:space="preserve"> 2018 while the objection decision </w:t>
      </w:r>
      <w:r w:rsidR="001C4633">
        <w:rPr>
          <w:rFonts w:ascii="Arial" w:hAnsi="Arial" w:cs="Arial"/>
          <w:sz w:val="24"/>
          <w:szCs w:val="24"/>
        </w:rPr>
        <w:t>was issued on</w:t>
      </w:r>
      <w:r w:rsidR="0031651B" w:rsidRPr="00344296">
        <w:rPr>
          <w:rFonts w:ascii="Arial" w:hAnsi="Arial" w:cs="Arial"/>
          <w:sz w:val="24"/>
          <w:szCs w:val="24"/>
        </w:rPr>
        <w:t xml:space="preserve"> 31</w:t>
      </w:r>
      <w:r w:rsidR="000F54AF" w:rsidRPr="00344296">
        <w:rPr>
          <w:rFonts w:ascii="Arial" w:hAnsi="Arial" w:cs="Arial"/>
          <w:sz w:val="24"/>
          <w:szCs w:val="24"/>
          <w:vertAlign w:val="superscript"/>
        </w:rPr>
        <w:t xml:space="preserve">st </w:t>
      </w:r>
      <w:r w:rsidR="0031651B" w:rsidRPr="00344296">
        <w:rPr>
          <w:rFonts w:ascii="Arial" w:hAnsi="Arial" w:cs="Arial"/>
          <w:sz w:val="24"/>
          <w:szCs w:val="24"/>
        </w:rPr>
        <w:t>Jan</w:t>
      </w:r>
      <w:r w:rsidR="009F5570">
        <w:rPr>
          <w:rFonts w:ascii="Arial" w:hAnsi="Arial" w:cs="Arial"/>
          <w:sz w:val="24"/>
          <w:szCs w:val="24"/>
        </w:rPr>
        <w:t xml:space="preserve">uary </w:t>
      </w:r>
      <w:r w:rsidR="0031651B" w:rsidRPr="00344296">
        <w:rPr>
          <w:rFonts w:ascii="Arial" w:hAnsi="Arial" w:cs="Arial"/>
          <w:sz w:val="24"/>
          <w:szCs w:val="24"/>
        </w:rPr>
        <w:t>2019.</w:t>
      </w:r>
      <w:r w:rsidR="00E845DF" w:rsidRPr="00344296">
        <w:rPr>
          <w:rFonts w:ascii="Arial" w:hAnsi="Arial" w:cs="Arial"/>
          <w:sz w:val="24"/>
          <w:szCs w:val="24"/>
        </w:rPr>
        <w:t xml:space="preserve"> The </w:t>
      </w:r>
      <w:r w:rsidR="009F5570">
        <w:rPr>
          <w:rFonts w:ascii="Arial" w:hAnsi="Arial" w:cs="Arial"/>
          <w:sz w:val="24"/>
          <w:szCs w:val="24"/>
        </w:rPr>
        <w:t xml:space="preserve">application </w:t>
      </w:r>
      <w:r w:rsidR="001C4633">
        <w:rPr>
          <w:rFonts w:ascii="Arial" w:hAnsi="Arial" w:cs="Arial"/>
          <w:sz w:val="24"/>
          <w:szCs w:val="24"/>
        </w:rPr>
        <w:t xml:space="preserve">for extension </w:t>
      </w:r>
      <w:r w:rsidR="009F5570">
        <w:rPr>
          <w:rFonts w:ascii="Arial" w:hAnsi="Arial" w:cs="Arial"/>
          <w:sz w:val="24"/>
          <w:szCs w:val="24"/>
        </w:rPr>
        <w:t>w</w:t>
      </w:r>
      <w:r w:rsidR="00E845DF" w:rsidRPr="00344296">
        <w:rPr>
          <w:rFonts w:ascii="Arial" w:hAnsi="Arial" w:cs="Arial"/>
          <w:sz w:val="24"/>
          <w:szCs w:val="24"/>
        </w:rPr>
        <w:t>as filed on 23</w:t>
      </w:r>
      <w:r w:rsidR="00E845DF" w:rsidRPr="00344296">
        <w:rPr>
          <w:rFonts w:ascii="Arial" w:hAnsi="Arial" w:cs="Arial"/>
          <w:sz w:val="24"/>
          <w:szCs w:val="24"/>
          <w:vertAlign w:val="superscript"/>
        </w:rPr>
        <w:t>rd</w:t>
      </w:r>
      <w:r w:rsidR="00E845DF" w:rsidRPr="00344296">
        <w:rPr>
          <w:rFonts w:ascii="Arial" w:hAnsi="Arial" w:cs="Arial"/>
          <w:sz w:val="24"/>
          <w:szCs w:val="24"/>
        </w:rPr>
        <w:t xml:space="preserve"> December 2022</w:t>
      </w:r>
      <w:r w:rsidR="001C4633">
        <w:rPr>
          <w:rFonts w:ascii="Arial" w:hAnsi="Arial" w:cs="Arial"/>
          <w:sz w:val="24"/>
          <w:szCs w:val="24"/>
        </w:rPr>
        <w:t xml:space="preserve"> after a lengthy period which it has not justified</w:t>
      </w:r>
      <w:r w:rsidR="00E845DF" w:rsidRPr="00344296">
        <w:rPr>
          <w:rFonts w:ascii="Arial" w:hAnsi="Arial" w:cs="Arial"/>
          <w:sz w:val="24"/>
          <w:szCs w:val="24"/>
        </w:rPr>
        <w:t>.</w:t>
      </w:r>
      <w:r w:rsidR="0031651B" w:rsidRPr="00344296">
        <w:rPr>
          <w:rFonts w:ascii="Arial" w:hAnsi="Arial" w:cs="Arial"/>
          <w:sz w:val="24"/>
          <w:szCs w:val="24"/>
        </w:rPr>
        <w:t xml:space="preserve">  </w:t>
      </w:r>
      <w:r w:rsidR="00983CD7" w:rsidRPr="00344296">
        <w:rPr>
          <w:rFonts w:ascii="Arial" w:hAnsi="Arial" w:cs="Arial"/>
          <w:sz w:val="24"/>
          <w:szCs w:val="24"/>
        </w:rPr>
        <w:t>In the circumstances, this application is dismissed with costs.</w:t>
      </w:r>
    </w:p>
    <w:p w14:paraId="130E0F22" w14:textId="77777777" w:rsidR="00353243" w:rsidRDefault="00353243" w:rsidP="00344296">
      <w:pPr>
        <w:spacing w:after="0" w:line="360" w:lineRule="auto"/>
        <w:rPr>
          <w:rFonts w:ascii="Arial" w:hAnsi="Arial" w:cs="Arial"/>
          <w:sz w:val="24"/>
          <w:szCs w:val="24"/>
        </w:rPr>
      </w:pPr>
    </w:p>
    <w:p w14:paraId="201557D5" w14:textId="77777777" w:rsidR="00353243" w:rsidRDefault="00803D15" w:rsidP="00344296">
      <w:pPr>
        <w:spacing w:after="0" w:line="360" w:lineRule="auto"/>
        <w:rPr>
          <w:rFonts w:ascii="Arial" w:hAnsi="Arial" w:cs="Arial"/>
          <w:bCs/>
          <w:sz w:val="24"/>
          <w:szCs w:val="24"/>
        </w:rPr>
      </w:pPr>
      <w:r w:rsidRPr="00344296">
        <w:rPr>
          <w:rFonts w:ascii="Arial" w:hAnsi="Arial" w:cs="Arial"/>
          <w:sz w:val="24"/>
          <w:szCs w:val="24"/>
        </w:rPr>
        <w:t xml:space="preserve">Dated this                </w:t>
      </w:r>
      <w:r w:rsidR="00F55C87" w:rsidRPr="00344296">
        <w:rPr>
          <w:rFonts w:ascii="Arial" w:hAnsi="Arial" w:cs="Arial"/>
          <w:sz w:val="24"/>
          <w:szCs w:val="24"/>
        </w:rPr>
        <w:t xml:space="preserve">   </w:t>
      </w:r>
      <w:r w:rsidRPr="00344296">
        <w:rPr>
          <w:rFonts w:ascii="Arial" w:hAnsi="Arial" w:cs="Arial"/>
          <w:sz w:val="24"/>
          <w:szCs w:val="24"/>
        </w:rPr>
        <w:t xml:space="preserve">     day of      </w:t>
      </w:r>
      <w:r w:rsidR="00F55C87" w:rsidRPr="00344296">
        <w:rPr>
          <w:rFonts w:ascii="Arial" w:hAnsi="Arial" w:cs="Arial"/>
          <w:sz w:val="24"/>
          <w:szCs w:val="24"/>
        </w:rPr>
        <w:t xml:space="preserve">                                            </w:t>
      </w:r>
      <w:r w:rsidRPr="00344296">
        <w:rPr>
          <w:rFonts w:ascii="Arial" w:hAnsi="Arial" w:cs="Arial"/>
          <w:sz w:val="24"/>
          <w:szCs w:val="24"/>
        </w:rPr>
        <w:t xml:space="preserve">            2023.</w:t>
      </w:r>
      <w:r w:rsidR="000B3AA6" w:rsidRPr="00344296">
        <w:rPr>
          <w:rFonts w:ascii="Arial" w:hAnsi="Arial" w:cs="Arial"/>
          <w:b/>
          <w:bCs/>
          <w:sz w:val="24"/>
          <w:szCs w:val="24"/>
        </w:rPr>
        <w:br/>
      </w:r>
      <w:r w:rsidR="00E60829" w:rsidRPr="00344296">
        <w:rPr>
          <w:rFonts w:ascii="Arial" w:hAnsi="Arial" w:cs="Arial"/>
          <w:bCs/>
          <w:sz w:val="24"/>
          <w:szCs w:val="24"/>
        </w:rPr>
        <w:br/>
      </w:r>
    </w:p>
    <w:p w14:paraId="76F85F87" w14:textId="4A865613" w:rsidR="00353243" w:rsidRDefault="00353243" w:rsidP="00344296">
      <w:pPr>
        <w:spacing w:after="0" w:line="360" w:lineRule="auto"/>
        <w:rPr>
          <w:rFonts w:ascii="Arial" w:hAnsi="Arial" w:cs="Arial"/>
          <w:bCs/>
          <w:sz w:val="24"/>
          <w:szCs w:val="24"/>
        </w:rPr>
      </w:pPr>
    </w:p>
    <w:p w14:paraId="1EA1050D" w14:textId="12426011" w:rsidR="00353243" w:rsidRPr="00353243" w:rsidRDefault="00353243" w:rsidP="00344296">
      <w:pPr>
        <w:spacing w:after="0" w:line="360" w:lineRule="auto"/>
        <w:rPr>
          <w:rFonts w:ascii="Arial" w:hAnsi="Arial" w:cs="Arial"/>
          <w:b/>
          <w:sz w:val="24"/>
          <w:szCs w:val="24"/>
        </w:rPr>
      </w:pPr>
      <w:r w:rsidRPr="00353243">
        <w:rPr>
          <w:rFonts w:ascii="Arial" w:hAnsi="Arial" w:cs="Arial"/>
          <w:b/>
          <w:sz w:val="24"/>
          <w:szCs w:val="24"/>
        </w:rPr>
        <w:t>________________             ______________________         _____________________</w:t>
      </w:r>
    </w:p>
    <w:p w14:paraId="70EB8348" w14:textId="2687DAC6" w:rsidR="00D6014E" w:rsidRPr="00353243" w:rsidRDefault="00353243" w:rsidP="00344296">
      <w:pPr>
        <w:spacing w:after="0" w:line="360" w:lineRule="auto"/>
        <w:rPr>
          <w:rFonts w:ascii="Arial" w:hAnsi="Arial" w:cs="Arial"/>
          <w:b/>
          <w:sz w:val="24"/>
          <w:szCs w:val="24"/>
        </w:rPr>
      </w:pPr>
      <w:r>
        <w:rPr>
          <w:rFonts w:ascii="Arial" w:hAnsi="Arial" w:cs="Arial"/>
          <w:b/>
          <w:sz w:val="24"/>
          <w:szCs w:val="24"/>
        </w:rPr>
        <w:t xml:space="preserve">DR. </w:t>
      </w:r>
      <w:r w:rsidR="00FF344D" w:rsidRPr="00353243">
        <w:rPr>
          <w:rFonts w:ascii="Arial" w:hAnsi="Arial" w:cs="Arial"/>
          <w:b/>
          <w:sz w:val="24"/>
          <w:szCs w:val="24"/>
        </w:rPr>
        <w:t xml:space="preserve">ASA MUGENYI </w:t>
      </w:r>
      <w:r>
        <w:rPr>
          <w:rFonts w:ascii="Arial" w:hAnsi="Arial" w:cs="Arial"/>
          <w:b/>
          <w:sz w:val="24"/>
          <w:szCs w:val="24"/>
        </w:rPr>
        <w:t xml:space="preserve">           DR.</w:t>
      </w:r>
      <w:r w:rsidR="00070441" w:rsidRPr="00353243">
        <w:rPr>
          <w:rFonts w:ascii="Arial" w:hAnsi="Arial" w:cs="Arial"/>
          <w:b/>
          <w:sz w:val="24"/>
          <w:szCs w:val="24"/>
        </w:rPr>
        <w:t xml:space="preserve"> </w:t>
      </w:r>
      <w:r w:rsidR="00FF344D" w:rsidRPr="00353243">
        <w:rPr>
          <w:rFonts w:ascii="Arial" w:hAnsi="Arial" w:cs="Arial"/>
          <w:b/>
          <w:sz w:val="24"/>
          <w:szCs w:val="24"/>
        </w:rPr>
        <w:t xml:space="preserve">STEPHEN AKABWAY      </w:t>
      </w:r>
      <w:r w:rsidR="00044ECD" w:rsidRPr="00353243">
        <w:rPr>
          <w:rFonts w:ascii="Arial" w:hAnsi="Arial" w:cs="Arial"/>
          <w:b/>
          <w:sz w:val="24"/>
          <w:szCs w:val="24"/>
        </w:rPr>
        <w:t xml:space="preserve"> </w:t>
      </w:r>
      <w:r>
        <w:rPr>
          <w:rFonts w:ascii="Arial" w:hAnsi="Arial" w:cs="Arial"/>
          <w:b/>
          <w:sz w:val="24"/>
          <w:szCs w:val="24"/>
        </w:rPr>
        <w:t xml:space="preserve">MR. </w:t>
      </w:r>
      <w:r w:rsidR="00FF344D" w:rsidRPr="00353243">
        <w:rPr>
          <w:rFonts w:ascii="Arial" w:hAnsi="Arial" w:cs="Arial"/>
          <w:b/>
          <w:sz w:val="24"/>
          <w:szCs w:val="24"/>
        </w:rPr>
        <w:t>GEORGE</w:t>
      </w:r>
      <w:r w:rsidR="00BB48E4">
        <w:rPr>
          <w:rFonts w:ascii="Arial" w:hAnsi="Arial" w:cs="Arial"/>
          <w:b/>
          <w:sz w:val="24"/>
          <w:szCs w:val="24"/>
        </w:rPr>
        <w:t xml:space="preserve"> M</w:t>
      </w:r>
      <w:r w:rsidR="00FF344D" w:rsidRPr="00353243">
        <w:rPr>
          <w:rFonts w:ascii="Arial" w:hAnsi="Arial" w:cs="Arial"/>
          <w:b/>
          <w:sz w:val="24"/>
          <w:szCs w:val="24"/>
        </w:rPr>
        <w:t xml:space="preserve">UGERWA CHAIRMAN                    </w:t>
      </w:r>
      <w:r w:rsidR="00070441" w:rsidRPr="00353243">
        <w:rPr>
          <w:rFonts w:ascii="Arial" w:hAnsi="Arial" w:cs="Arial"/>
          <w:b/>
          <w:sz w:val="24"/>
          <w:szCs w:val="24"/>
        </w:rPr>
        <w:t xml:space="preserve">   </w:t>
      </w:r>
      <w:r w:rsidR="00FF344D" w:rsidRPr="00353243">
        <w:rPr>
          <w:rFonts w:ascii="Arial" w:hAnsi="Arial" w:cs="Arial"/>
          <w:b/>
          <w:sz w:val="24"/>
          <w:szCs w:val="24"/>
        </w:rPr>
        <w:t xml:space="preserve"> MEMBER             </w:t>
      </w:r>
      <w:r w:rsidR="00044ECD" w:rsidRPr="00353243">
        <w:rPr>
          <w:rFonts w:ascii="Arial" w:hAnsi="Arial" w:cs="Arial"/>
          <w:b/>
          <w:sz w:val="24"/>
          <w:szCs w:val="24"/>
        </w:rPr>
        <w:t xml:space="preserve">     </w:t>
      </w:r>
      <w:r w:rsidR="00FF344D" w:rsidRPr="00353243">
        <w:rPr>
          <w:rFonts w:ascii="Arial" w:hAnsi="Arial" w:cs="Arial"/>
          <w:b/>
          <w:sz w:val="24"/>
          <w:szCs w:val="24"/>
        </w:rPr>
        <w:t xml:space="preserve">               </w:t>
      </w:r>
      <w:r>
        <w:rPr>
          <w:rFonts w:ascii="Arial" w:hAnsi="Arial" w:cs="Arial"/>
          <w:b/>
          <w:sz w:val="24"/>
          <w:szCs w:val="24"/>
        </w:rPr>
        <w:t xml:space="preserve">    </w:t>
      </w:r>
      <w:r w:rsidR="00FF344D" w:rsidRPr="00353243">
        <w:rPr>
          <w:rFonts w:ascii="Arial" w:hAnsi="Arial" w:cs="Arial"/>
          <w:b/>
          <w:sz w:val="24"/>
          <w:szCs w:val="24"/>
        </w:rPr>
        <w:t>MEMBER</w:t>
      </w:r>
      <w:r w:rsidR="00303B22" w:rsidRPr="00353243">
        <w:rPr>
          <w:rFonts w:ascii="Arial" w:hAnsi="Arial" w:cs="Arial"/>
          <w:b/>
          <w:sz w:val="24"/>
          <w:szCs w:val="24"/>
        </w:rPr>
        <w:t xml:space="preserve"> </w:t>
      </w:r>
    </w:p>
    <w:sectPr w:rsidR="00D6014E" w:rsidRPr="003532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A577" w14:textId="77777777" w:rsidR="008C3AFC" w:rsidRDefault="008C3AFC" w:rsidP="00415E64">
      <w:pPr>
        <w:spacing w:after="0" w:line="240" w:lineRule="auto"/>
      </w:pPr>
      <w:r>
        <w:separator/>
      </w:r>
    </w:p>
  </w:endnote>
  <w:endnote w:type="continuationSeparator" w:id="0">
    <w:p w14:paraId="5D0BA522" w14:textId="77777777" w:rsidR="008C3AFC" w:rsidRDefault="008C3AFC" w:rsidP="0041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A552" w14:textId="77777777" w:rsidR="004453CD" w:rsidRDefault="00445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87309"/>
      <w:docPartObj>
        <w:docPartGallery w:val="Page Numbers (Bottom of Page)"/>
        <w:docPartUnique/>
      </w:docPartObj>
    </w:sdtPr>
    <w:sdtEndPr>
      <w:rPr>
        <w:noProof/>
      </w:rPr>
    </w:sdtEndPr>
    <w:sdtContent>
      <w:p w14:paraId="0F571ED5" w14:textId="57836151" w:rsidR="00415E64" w:rsidRDefault="00415E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6DB73" w14:textId="77777777" w:rsidR="00415E64" w:rsidRDefault="00415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D81B" w14:textId="77777777" w:rsidR="004453CD" w:rsidRDefault="0044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6CF5" w14:textId="77777777" w:rsidR="008C3AFC" w:rsidRDefault="008C3AFC" w:rsidP="00415E64">
      <w:pPr>
        <w:spacing w:after="0" w:line="240" w:lineRule="auto"/>
      </w:pPr>
      <w:r>
        <w:separator/>
      </w:r>
    </w:p>
  </w:footnote>
  <w:footnote w:type="continuationSeparator" w:id="0">
    <w:p w14:paraId="5685141B" w14:textId="77777777" w:rsidR="008C3AFC" w:rsidRDefault="008C3AFC" w:rsidP="00415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CEB" w14:textId="6B28FD3A" w:rsidR="004453CD" w:rsidRDefault="003568D5">
    <w:pPr>
      <w:pStyle w:val="Header"/>
    </w:pPr>
    <w:r>
      <w:rPr>
        <w:noProof/>
      </w:rPr>
      <w:pict w14:anchorId="6720A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279454" o:spid="_x0000_s1026" type="#_x0000_t136" style="position:absolute;margin-left:0;margin-top:0;width:439.9pt;height:219.95pt;rotation:315;z-index:-251655168;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1CF" w14:textId="15F48089" w:rsidR="004453CD" w:rsidRDefault="003568D5">
    <w:pPr>
      <w:pStyle w:val="Header"/>
    </w:pPr>
    <w:r>
      <w:rPr>
        <w:noProof/>
      </w:rPr>
      <w:pict w14:anchorId="5A194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279455" o:spid="_x0000_s1027" type="#_x0000_t136" style="position:absolute;margin-left:0;margin-top:0;width:439.9pt;height:219.95pt;rotation:315;z-index:-251653120;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B4C" w14:textId="76EC91D5" w:rsidR="004453CD" w:rsidRDefault="003568D5">
    <w:pPr>
      <w:pStyle w:val="Header"/>
    </w:pPr>
    <w:r>
      <w:rPr>
        <w:noProof/>
      </w:rPr>
      <w:pict w14:anchorId="07F25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279453" o:spid="_x0000_s1025" type="#_x0000_t136" style="position:absolute;margin-left:0;margin-top:0;width:439.9pt;height:219.95pt;rotation:315;z-index:-251657216;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7D4864A"/>
    <w:lvl w:ilvl="0" w:tplc="8D2C4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55BDC"/>
    <w:multiLevelType w:val="multilevel"/>
    <w:tmpl w:val="A1942AE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16cid:durableId="176971586">
    <w:abstractNumId w:val="0"/>
  </w:num>
  <w:num w:numId="2" w16cid:durableId="26719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zd2Bo4ZuODNvvSDI8EhRSqTz0l5BhKie63PfhN+b+nCY4Mk5gVTXSuoGB2jfG04bU/JcncYYHHW1sAbd6sMbg==" w:salt="h6Cnbyo8c0BIkLvyoi81y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85"/>
    <w:rsid w:val="00013902"/>
    <w:rsid w:val="000152E8"/>
    <w:rsid w:val="000263F1"/>
    <w:rsid w:val="00032326"/>
    <w:rsid w:val="0004020E"/>
    <w:rsid w:val="00044ECD"/>
    <w:rsid w:val="00054CA5"/>
    <w:rsid w:val="000622DD"/>
    <w:rsid w:val="00067C7F"/>
    <w:rsid w:val="00070441"/>
    <w:rsid w:val="00085280"/>
    <w:rsid w:val="0009674A"/>
    <w:rsid w:val="00096D11"/>
    <w:rsid w:val="000B3AA6"/>
    <w:rsid w:val="000B61C8"/>
    <w:rsid w:val="000C56C8"/>
    <w:rsid w:val="000D4ECB"/>
    <w:rsid w:val="000D5421"/>
    <w:rsid w:val="000F54AF"/>
    <w:rsid w:val="00110196"/>
    <w:rsid w:val="001129BB"/>
    <w:rsid w:val="00130D85"/>
    <w:rsid w:val="001364DB"/>
    <w:rsid w:val="001477A3"/>
    <w:rsid w:val="00194C47"/>
    <w:rsid w:val="00196D4C"/>
    <w:rsid w:val="001A1946"/>
    <w:rsid w:val="001B6359"/>
    <w:rsid w:val="001C4633"/>
    <w:rsid w:val="001E2F2F"/>
    <w:rsid w:val="001E6470"/>
    <w:rsid w:val="001F0214"/>
    <w:rsid w:val="001F0B7C"/>
    <w:rsid w:val="0022114E"/>
    <w:rsid w:val="002321F4"/>
    <w:rsid w:val="00236A5F"/>
    <w:rsid w:val="00252720"/>
    <w:rsid w:val="00256314"/>
    <w:rsid w:val="0026440F"/>
    <w:rsid w:val="0026778C"/>
    <w:rsid w:val="00272755"/>
    <w:rsid w:val="002A0E54"/>
    <w:rsid w:val="002A37B5"/>
    <w:rsid w:val="002B1DAD"/>
    <w:rsid w:val="002C36F3"/>
    <w:rsid w:val="002D7581"/>
    <w:rsid w:val="002F5FCF"/>
    <w:rsid w:val="003016C6"/>
    <w:rsid w:val="00303B22"/>
    <w:rsid w:val="00305CA9"/>
    <w:rsid w:val="0031651B"/>
    <w:rsid w:val="00336E44"/>
    <w:rsid w:val="00344296"/>
    <w:rsid w:val="00353243"/>
    <w:rsid w:val="003568D5"/>
    <w:rsid w:val="00367371"/>
    <w:rsid w:val="00372B85"/>
    <w:rsid w:val="003738C7"/>
    <w:rsid w:val="00392633"/>
    <w:rsid w:val="003A6694"/>
    <w:rsid w:val="003C7805"/>
    <w:rsid w:val="003C7878"/>
    <w:rsid w:val="003F1A71"/>
    <w:rsid w:val="004052A7"/>
    <w:rsid w:val="00413557"/>
    <w:rsid w:val="00415E64"/>
    <w:rsid w:val="00426EDB"/>
    <w:rsid w:val="00437802"/>
    <w:rsid w:val="00443DA0"/>
    <w:rsid w:val="004453CD"/>
    <w:rsid w:val="00445B4C"/>
    <w:rsid w:val="00494972"/>
    <w:rsid w:val="004A0AB7"/>
    <w:rsid w:val="004A63F8"/>
    <w:rsid w:val="004B2871"/>
    <w:rsid w:val="00515EC9"/>
    <w:rsid w:val="00590789"/>
    <w:rsid w:val="005A207B"/>
    <w:rsid w:val="005B41AA"/>
    <w:rsid w:val="0060515B"/>
    <w:rsid w:val="006312CA"/>
    <w:rsid w:val="0063405A"/>
    <w:rsid w:val="00647666"/>
    <w:rsid w:val="006736B2"/>
    <w:rsid w:val="006A1FD6"/>
    <w:rsid w:val="006B197F"/>
    <w:rsid w:val="006C4CD8"/>
    <w:rsid w:val="006C6E3F"/>
    <w:rsid w:val="006E391B"/>
    <w:rsid w:val="006E600B"/>
    <w:rsid w:val="00707C4E"/>
    <w:rsid w:val="00713A27"/>
    <w:rsid w:val="007273FA"/>
    <w:rsid w:val="00743BA9"/>
    <w:rsid w:val="007567B4"/>
    <w:rsid w:val="00771099"/>
    <w:rsid w:val="007C28A5"/>
    <w:rsid w:val="007D1296"/>
    <w:rsid w:val="007F5254"/>
    <w:rsid w:val="007F687A"/>
    <w:rsid w:val="00803D15"/>
    <w:rsid w:val="0081494E"/>
    <w:rsid w:val="00847124"/>
    <w:rsid w:val="0085046D"/>
    <w:rsid w:val="008578B6"/>
    <w:rsid w:val="00870CD7"/>
    <w:rsid w:val="00896413"/>
    <w:rsid w:val="008B41C0"/>
    <w:rsid w:val="008B7F62"/>
    <w:rsid w:val="008C3AFC"/>
    <w:rsid w:val="008D1AB8"/>
    <w:rsid w:val="008E3ED9"/>
    <w:rsid w:val="0091490E"/>
    <w:rsid w:val="009203EC"/>
    <w:rsid w:val="00945935"/>
    <w:rsid w:val="00945B97"/>
    <w:rsid w:val="00983CD7"/>
    <w:rsid w:val="00997651"/>
    <w:rsid w:val="009B180C"/>
    <w:rsid w:val="009C0EC1"/>
    <w:rsid w:val="009C5A19"/>
    <w:rsid w:val="009F5570"/>
    <w:rsid w:val="00A22332"/>
    <w:rsid w:val="00A375EA"/>
    <w:rsid w:val="00A63980"/>
    <w:rsid w:val="00A94397"/>
    <w:rsid w:val="00AB53CA"/>
    <w:rsid w:val="00AB6ABD"/>
    <w:rsid w:val="00AC0800"/>
    <w:rsid w:val="00AC294F"/>
    <w:rsid w:val="00AD7882"/>
    <w:rsid w:val="00AE2931"/>
    <w:rsid w:val="00AE5900"/>
    <w:rsid w:val="00AE6895"/>
    <w:rsid w:val="00AF15DD"/>
    <w:rsid w:val="00B01780"/>
    <w:rsid w:val="00B03346"/>
    <w:rsid w:val="00B03EF7"/>
    <w:rsid w:val="00B15D56"/>
    <w:rsid w:val="00B27AFD"/>
    <w:rsid w:val="00B37FB6"/>
    <w:rsid w:val="00B619EA"/>
    <w:rsid w:val="00B818AC"/>
    <w:rsid w:val="00B927EC"/>
    <w:rsid w:val="00BA1EC7"/>
    <w:rsid w:val="00BA22DD"/>
    <w:rsid w:val="00BB48E4"/>
    <w:rsid w:val="00C0512E"/>
    <w:rsid w:val="00C06AA9"/>
    <w:rsid w:val="00C127C8"/>
    <w:rsid w:val="00C46B09"/>
    <w:rsid w:val="00C76938"/>
    <w:rsid w:val="00C93DD8"/>
    <w:rsid w:val="00CC1F47"/>
    <w:rsid w:val="00CC64AE"/>
    <w:rsid w:val="00CD1361"/>
    <w:rsid w:val="00CD4234"/>
    <w:rsid w:val="00CE30BE"/>
    <w:rsid w:val="00CE6111"/>
    <w:rsid w:val="00D0145C"/>
    <w:rsid w:val="00D2207D"/>
    <w:rsid w:val="00D25F3F"/>
    <w:rsid w:val="00D45459"/>
    <w:rsid w:val="00D528F8"/>
    <w:rsid w:val="00D6014E"/>
    <w:rsid w:val="00DA6415"/>
    <w:rsid w:val="00DB3B80"/>
    <w:rsid w:val="00DC53D7"/>
    <w:rsid w:val="00DF6197"/>
    <w:rsid w:val="00E1320D"/>
    <w:rsid w:val="00E4111A"/>
    <w:rsid w:val="00E42D37"/>
    <w:rsid w:val="00E51218"/>
    <w:rsid w:val="00E512CD"/>
    <w:rsid w:val="00E550A0"/>
    <w:rsid w:val="00E568FD"/>
    <w:rsid w:val="00E56F7A"/>
    <w:rsid w:val="00E60829"/>
    <w:rsid w:val="00E67851"/>
    <w:rsid w:val="00E719E3"/>
    <w:rsid w:val="00E845DF"/>
    <w:rsid w:val="00EE3622"/>
    <w:rsid w:val="00EE6EFE"/>
    <w:rsid w:val="00EF4702"/>
    <w:rsid w:val="00EF74F7"/>
    <w:rsid w:val="00F55C87"/>
    <w:rsid w:val="00F55CD7"/>
    <w:rsid w:val="00F56A7E"/>
    <w:rsid w:val="00F851A5"/>
    <w:rsid w:val="00F85967"/>
    <w:rsid w:val="00F873F4"/>
    <w:rsid w:val="00F91CD1"/>
    <w:rsid w:val="00FA4859"/>
    <w:rsid w:val="00FA543F"/>
    <w:rsid w:val="00FB3A2F"/>
    <w:rsid w:val="00FB5D1F"/>
    <w:rsid w:val="00FD1735"/>
    <w:rsid w:val="00FE01BE"/>
    <w:rsid w:val="00FE1193"/>
    <w:rsid w:val="00FF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8FFB"/>
  <w15:chartTrackingRefBased/>
  <w15:docId w15:val="{594C5B27-762D-4DC7-9C8D-7BB47AF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14E"/>
    <w:rPr>
      <w:color w:val="0563C1" w:themeColor="hyperlink"/>
      <w:u w:val="single"/>
    </w:rPr>
  </w:style>
  <w:style w:type="paragraph" w:styleId="Header">
    <w:name w:val="header"/>
    <w:basedOn w:val="Normal"/>
    <w:link w:val="HeaderChar"/>
    <w:uiPriority w:val="99"/>
    <w:unhideWhenUsed/>
    <w:rsid w:val="00415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64"/>
  </w:style>
  <w:style w:type="paragraph" w:styleId="Footer">
    <w:name w:val="footer"/>
    <w:basedOn w:val="Normal"/>
    <w:link w:val="FooterChar"/>
    <w:uiPriority w:val="99"/>
    <w:unhideWhenUsed/>
    <w:rsid w:val="00415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64"/>
  </w:style>
  <w:style w:type="paragraph" w:styleId="ListParagraph">
    <w:name w:val="List Paragraph"/>
    <w:basedOn w:val="Normal"/>
    <w:uiPriority w:val="34"/>
    <w:qFormat/>
    <w:rsid w:val="00F91CD1"/>
    <w:pPr>
      <w:spacing w:after="200" w:line="276" w:lineRule="auto"/>
      <w:ind w:left="720"/>
      <w:contextualSpacing/>
    </w:pPr>
    <w:rPr>
      <w:rFonts w:ascii="Calibri" w:eastAsia="Calibri" w:hAnsi="Calibri" w:cs="SimSun"/>
    </w:rPr>
  </w:style>
  <w:style w:type="paragraph" w:styleId="NormalWeb">
    <w:name w:val="Normal (Web)"/>
    <w:basedOn w:val="Normal"/>
    <w:uiPriority w:val="99"/>
    <w:semiHidden/>
    <w:unhideWhenUsed/>
    <w:rsid w:val="00096D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4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457">
      <w:bodyDiv w:val="1"/>
      <w:marLeft w:val="0"/>
      <w:marRight w:val="0"/>
      <w:marTop w:val="0"/>
      <w:marBottom w:val="0"/>
      <w:divBdr>
        <w:top w:val="none" w:sz="0" w:space="0" w:color="auto"/>
        <w:left w:val="none" w:sz="0" w:space="0" w:color="auto"/>
        <w:bottom w:val="none" w:sz="0" w:space="0" w:color="auto"/>
        <w:right w:val="none" w:sz="0" w:space="0" w:color="auto"/>
      </w:divBdr>
    </w:div>
    <w:div w:id="337074200">
      <w:bodyDiv w:val="1"/>
      <w:marLeft w:val="0"/>
      <w:marRight w:val="0"/>
      <w:marTop w:val="0"/>
      <w:marBottom w:val="0"/>
      <w:divBdr>
        <w:top w:val="none" w:sz="0" w:space="0" w:color="auto"/>
        <w:left w:val="none" w:sz="0" w:space="0" w:color="auto"/>
        <w:bottom w:val="none" w:sz="0" w:space="0" w:color="auto"/>
        <w:right w:val="none" w:sz="0" w:space="0" w:color="auto"/>
      </w:divBdr>
    </w:div>
    <w:div w:id="11691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phramaceuticalsltd200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njiconsult@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jiconsul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4367</TotalTime>
  <Pages>10</Pages>
  <Words>3197</Words>
  <Characters>18223</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Asa Mugenyi</cp:lastModifiedBy>
  <cp:revision>4</cp:revision>
  <cp:lastPrinted>2023-02-24T12:29:00Z</cp:lastPrinted>
  <dcterms:created xsi:type="dcterms:W3CDTF">2023-02-23T14:13:00Z</dcterms:created>
  <dcterms:modified xsi:type="dcterms:W3CDTF">2023-03-16T12:00:00Z</dcterms:modified>
</cp:coreProperties>
</file>