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FE" w:rsidRPr="003A1EFE" w:rsidRDefault="003A1EFE" w:rsidP="003A1EFE">
      <w:pPr>
        <w:pStyle w:val="Bodytext20"/>
        <w:shd w:val="clear" w:color="auto" w:fill="auto"/>
        <w:spacing w:after="29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 xml:space="preserve">THE REPUBLIC OF UGANDA </w:t>
      </w:r>
    </w:p>
    <w:p w:rsidR="003A1EFE" w:rsidRPr="003A1EFE" w:rsidRDefault="003A1EFE" w:rsidP="003A1EFE">
      <w:pPr>
        <w:pStyle w:val="Bodytext20"/>
        <w:shd w:val="clear" w:color="auto" w:fill="auto"/>
        <w:spacing w:after="29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THE INDUSTRIAL COURT OF UGANDA HOLDEN AT KAMPALA</w:t>
      </w:r>
    </w:p>
    <w:p w:rsidR="003A1EFE" w:rsidRPr="003A1EFE" w:rsidRDefault="003A1EFE" w:rsidP="003A1EFE">
      <w:pPr>
        <w:pStyle w:val="Bodytext20"/>
        <w:shd w:val="clear" w:color="auto" w:fill="auto"/>
        <w:spacing w:after="29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 xml:space="preserve"> LABOUR DISPUTE MISC. APPL. NO. 015 OF 2015 </w:t>
      </w:r>
    </w:p>
    <w:p w:rsidR="006A383A" w:rsidRPr="003A1EFE" w:rsidRDefault="003A1EFE" w:rsidP="003A1EFE">
      <w:pPr>
        <w:pStyle w:val="Bodytext20"/>
        <w:shd w:val="clear" w:color="auto" w:fill="auto"/>
        <w:spacing w:after="29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E">
        <w:rPr>
          <w:rStyle w:val="Bodytext2Italic"/>
          <w:rFonts w:ascii="Times New Roman" w:hAnsi="Times New Roman" w:cs="Times New Roman"/>
          <w:b/>
          <w:bCs/>
          <w:sz w:val="24"/>
          <w:szCs w:val="24"/>
        </w:rPr>
        <w:t>(ARISING FROM LABOUR DISPUTE LDC NO. 013 OF 2014)</w:t>
      </w:r>
    </w:p>
    <w:p w:rsidR="006A383A" w:rsidRPr="003A1EFE" w:rsidRDefault="003A1EFE" w:rsidP="003A1EFE">
      <w:pPr>
        <w:pStyle w:val="Bodytext2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A1EFE">
        <w:rPr>
          <w:rFonts w:ascii="Times New Roman" w:hAnsi="Times New Roman" w:cs="Times New Roman"/>
          <w:sz w:val="24"/>
          <w:szCs w:val="24"/>
        </w:rPr>
        <w:t>BETWEEN</w:t>
      </w:r>
    </w:p>
    <w:p w:rsidR="006A383A" w:rsidRPr="003A1EFE" w:rsidRDefault="003A1EFE" w:rsidP="003A1EFE">
      <w:pPr>
        <w:pStyle w:val="Bodytext20"/>
        <w:shd w:val="clear" w:color="auto" w:fill="auto"/>
        <w:tabs>
          <w:tab w:val="left" w:leader="dot" w:pos="4009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465455" distR="63500" simplePos="0" relativeHeight="251657728" behindDoc="1" locked="0" layoutInCell="1" allowOverlap="1">
                <wp:simplePos x="0" y="0"/>
                <wp:positionH relativeFrom="margin">
                  <wp:posOffset>3842385</wp:posOffset>
                </wp:positionH>
                <wp:positionV relativeFrom="paragraph">
                  <wp:posOffset>1905</wp:posOffset>
                </wp:positionV>
                <wp:extent cx="1501775" cy="680720"/>
                <wp:effectExtent l="3810" t="190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83A" w:rsidRDefault="003A1EFE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1"/>
                              </w:tabs>
                              <w:spacing w:after="612" w:line="230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  <w:spacing w:val="0"/>
                              </w:rPr>
                              <w:tab/>
                              <w:t>CLAIMANT</w:t>
                            </w:r>
                          </w:p>
                          <w:p w:rsidR="006A383A" w:rsidRDefault="003A1EF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Bodytext2Exact"/>
                                <w:b/>
                                <w:bCs/>
                                <w:spacing w:val="0"/>
                              </w:rPr>
                              <w:t>RESPONDENT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55pt;margin-top:.15pt;width:118.25pt;height:53.6pt;z-index:-251658752;visibility:visible;mso-wrap-style:square;mso-width-percent:0;mso-height-percent:0;mso-wrap-distance-left:36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Dh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" filled="f" stroked="f">
                <v:textbox style="mso-fit-shape-to-text:t" inset="0,0,0,0">
                  <w:txbxContent>
                    <w:p w:rsidR="006A383A" w:rsidRDefault="003A1EFE">
                      <w:pPr>
                        <w:pStyle w:val="Bodytext20"/>
                        <w:shd w:val="clear" w:color="auto" w:fill="auto"/>
                        <w:tabs>
                          <w:tab w:val="left" w:leader="dot" w:pos="701"/>
                        </w:tabs>
                        <w:spacing w:after="612" w:line="230" w:lineRule="exact"/>
                        <w:ind w:left="120"/>
                        <w:jc w:val="left"/>
                      </w:pPr>
                      <w:r>
                        <w:rPr>
                          <w:rStyle w:val="Bodytext2Exact"/>
                          <w:b/>
                          <w:bCs/>
                          <w:spacing w:val="0"/>
                        </w:rPr>
                        <w:tab/>
                        <w:t>CLAIMANT</w:t>
                      </w:r>
                    </w:p>
                    <w:p w:rsidR="006A383A" w:rsidRDefault="003A1EFE">
                      <w:pPr>
                        <w:pStyle w:val="Bodytext20"/>
                        <w:shd w:val="clear" w:color="auto" w:fill="auto"/>
                        <w:spacing w:after="0" w:line="230" w:lineRule="exact"/>
                        <w:ind w:left="120"/>
                        <w:jc w:val="left"/>
                      </w:pPr>
                      <w:r>
                        <w:rPr>
                          <w:rStyle w:val="Bodytext2Exact"/>
                          <w:b/>
                          <w:bCs/>
                          <w:spacing w:val="0"/>
                        </w:rPr>
                        <w:t>RESPONDENT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1EFE">
        <w:rPr>
          <w:rFonts w:ascii="Times New Roman" w:hAnsi="Times New Roman" w:cs="Times New Roman"/>
          <w:sz w:val="24"/>
          <w:szCs w:val="24"/>
        </w:rPr>
        <w:t>MAKERERE UNIVERSITY</w:t>
      </w:r>
      <w:r w:rsidRPr="003A1EFE">
        <w:rPr>
          <w:rFonts w:ascii="Times New Roman" w:hAnsi="Times New Roman" w:cs="Times New Roman"/>
          <w:sz w:val="24"/>
          <w:szCs w:val="24"/>
        </w:rPr>
        <w:tab/>
      </w:r>
    </w:p>
    <w:p w:rsidR="006A383A" w:rsidRPr="003A1EFE" w:rsidRDefault="003A1EFE" w:rsidP="003A1EFE">
      <w:pPr>
        <w:pStyle w:val="Bodytext2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1EFE">
        <w:rPr>
          <w:rFonts w:ascii="Times New Roman" w:hAnsi="Times New Roman" w:cs="Times New Roman"/>
          <w:sz w:val="24"/>
          <w:szCs w:val="24"/>
        </w:rPr>
        <w:t>AND</w:t>
      </w:r>
    </w:p>
    <w:p w:rsidR="006A383A" w:rsidRPr="003A1EFE" w:rsidRDefault="003A1EFE" w:rsidP="003A1EFE">
      <w:pPr>
        <w:pStyle w:val="Bodytext20"/>
        <w:shd w:val="clear" w:color="auto" w:fill="auto"/>
        <w:tabs>
          <w:tab w:val="left" w:leader="dot" w:pos="3711"/>
        </w:tabs>
        <w:spacing w:after="363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KISAMBIRA MASABA</w:t>
      </w:r>
      <w:r w:rsidRPr="003A1EFE">
        <w:rPr>
          <w:rFonts w:ascii="Times New Roman" w:hAnsi="Times New Roman" w:cs="Times New Roman"/>
          <w:sz w:val="24"/>
          <w:szCs w:val="24"/>
        </w:rPr>
        <w:tab/>
      </w:r>
    </w:p>
    <w:p w:rsidR="006A383A" w:rsidRPr="003A1EFE" w:rsidRDefault="003A1EFE" w:rsidP="003A1EFE">
      <w:pPr>
        <w:pStyle w:val="Bodytext20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BEFORE</w:t>
      </w:r>
    </w:p>
    <w:p w:rsidR="006A383A" w:rsidRPr="003A1EFE" w:rsidRDefault="003A1EFE" w:rsidP="003A1EFE">
      <w:pPr>
        <w:pStyle w:val="BodyText1"/>
        <w:numPr>
          <w:ilvl w:val="0"/>
          <w:numId w:val="1"/>
        </w:numPr>
        <w:shd w:val="clear" w:color="auto" w:fill="auto"/>
        <w:tabs>
          <w:tab w:val="left" w:pos="337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 xml:space="preserve">The </w:t>
      </w:r>
      <w:r w:rsidRPr="003A1EFE">
        <w:rPr>
          <w:rFonts w:ascii="Times New Roman" w:hAnsi="Times New Roman" w:cs="Times New Roman"/>
          <w:sz w:val="24"/>
          <w:szCs w:val="24"/>
        </w:rPr>
        <w:t>Hon. Chief Judge, Asaph Ruhinda Ntengye</w:t>
      </w:r>
    </w:p>
    <w:p w:rsidR="006A383A" w:rsidRPr="003A1EFE" w:rsidRDefault="003A1EFE" w:rsidP="003A1EFE">
      <w:pPr>
        <w:pStyle w:val="BodyText1"/>
        <w:numPr>
          <w:ilvl w:val="0"/>
          <w:numId w:val="1"/>
        </w:numPr>
        <w:shd w:val="clear" w:color="auto" w:fill="auto"/>
        <w:tabs>
          <w:tab w:val="left" w:pos="366"/>
        </w:tabs>
        <w:spacing w:after="236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The Hon. Judge, Linda Lillian Tumusiime Mugisha</w:t>
      </w:r>
    </w:p>
    <w:p w:rsidR="006A383A" w:rsidRPr="003A1EFE" w:rsidRDefault="003A1EFE" w:rsidP="003A1EFE">
      <w:pPr>
        <w:pStyle w:val="Bodytext20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Panelists</w:t>
      </w:r>
    </w:p>
    <w:p w:rsidR="006A383A" w:rsidRPr="003A1EFE" w:rsidRDefault="003A1EFE" w:rsidP="003A1EFE">
      <w:pPr>
        <w:pStyle w:val="BodyText1"/>
        <w:numPr>
          <w:ilvl w:val="0"/>
          <w:numId w:val="2"/>
        </w:numPr>
        <w:shd w:val="clear" w:color="auto" w:fill="auto"/>
        <w:tabs>
          <w:tab w:val="left" w:pos="351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Mr. Ebyau Fidel</w:t>
      </w:r>
    </w:p>
    <w:p w:rsidR="006A383A" w:rsidRPr="003A1EFE" w:rsidRDefault="003A1EFE" w:rsidP="003A1EFE">
      <w:pPr>
        <w:pStyle w:val="BodyText1"/>
        <w:numPr>
          <w:ilvl w:val="0"/>
          <w:numId w:val="2"/>
        </w:numPr>
        <w:shd w:val="clear" w:color="auto" w:fill="auto"/>
        <w:tabs>
          <w:tab w:val="left" w:pos="380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Ms. Harriet Mugambwa</w:t>
      </w:r>
    </w:p>
    <w:p w:rsidR="006A383A" w:rsidRPr="003A1EFE" w:rsidRDefault="003A1EFE" w:rsidP="003A1EFE">
      <w:pPr>
        <w:pStyle w:val="BodyText1"/>
        <w:numPr>
          <w:ilvl w:val="0"/>
          <w:numId w:val="2"/>
        </w:numPr>
        <w:shd w:val="clear" w:color="auto" w:fill="auto"/>
        <w:tabs>
          <w:tab w:val="left" w:pos="380"/>
        </w:tabs>
        <w:spacing w:after="244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Mr. Frankie Mubuuke</w:t>
      </w:r>
    </w:p>
    <w:p w:rsidR="006A383A" w:rsidRPr="003A1EFE" w:rsidRDefault="003A1EFE" w:rsidP="003A1EFE">
      <w:pPr>
        <w:pStyle w:val="Bodytext20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A1EFE">
        <w:rPr>
          <w:rStyle w:val="Bodytext21"/>
          <w:rFonts w:ascii="Times New Roman" w:hAnsi="Times New Roman" w:cs="Times New Roman"/>
          <w:b/>
          <w:bCs/>
          <w:sz w:val="24"/>
          <w:szCs w:val="24"/>
        </w:rPr>
        <w:t>RULING</w:t>
      </w:r>
    </w:p>
    <w:p w:rsidR="006A383A" w:rsidRPr="003A1EFE" w:rsidRDefault="003A1EFE" w:rsidP="003A1EFE">
      <w:pPr>
        <w:pStyle w:val="BodyText1"/>
        <w:shd w:val="clear" w:color="auto" w:fill="auto"/>
        <w:spacing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This ruling arises out of an application by notice of motion seeking for orders that:</w:t>
      </w:r>
    </w:p>
    <w:p w:rsidR="006A383A" w:rsidRPr="003A1EFE" w:rsidRDefault="003A1EFE" w:rsidP="003A1EFE">
      <w:pPr>
        <w:pStyle w:val="BodyText1"/>
        <w:numPr>
          <w:ilvl w:val="0"/>
          <w:numId w:val="3"/>
        </w:numPr>
        <w:shd w:val="clear" w:color="auto" w:fill="auto"/>
        <w:tabs>
          <w:tab w:val="left" w:pos="871"/>
        </w:tabs>
        <w:spacing w:line="360" w:lineRule="auto"/>
        <w:ind w:left="820" w:right="20" w:hanging="40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The time</w:t>
      </w:r>
      <w:r w:rsidRPr="003A1EFE">
        <w:rPr>
          <w:rFonts w:ascii="Times New Roman" w:hAnsi="Times New Roman" w:cs="Times New Roman"/>
          <w:sz w:val="24"/>
          <w:szCs w:val="24"/>
        </w:rPr>
        <w:t xml:space="preserve"> within which the applicant is allowed to file its reply to the memorandum of claim be extended and/or enlarged and</w:t>
      </w:r>
    </w:p>
    <w:p w:rsidR="006A383A" w:rsidRPr="003A1EFE" w:rsidRDefault="003A1EFE" w:rsidP="003A1EFE">
      <w:pPr>
        <w:pStyle w:val="BodyText1"/>
        <w:numPr>
          <w:ilvl w:val="0"/>
          <w:numId w:val="3"/>
        </w:numPr>
        <w:shd w:val="clear" w:color="auto" w:fill="auto"/>
        <w:tabs>
          <w:tab w:val="left" w:pos="914"/>
        </w:tabs>
        <w:spacing w:after="240" w:line="360" w:lineRule="auto"/>
        <w:ind w:left="820" w:hanging="40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Costs of this application be provided for.</w:t>
      </w:r>
    </w:p>
    <w:p w:rsidR="006A383A" w:rsidRPr="003A1EFE" w:rsidRDefault="003A1EFE" w:rsidP="003A1EFE">
      <w:pPr>
        <w:pStyle w:val="BodyText1"/>
        <w:shd w:val="clear" w:color="auto" w:fill="auto"/>
        <w:spacing w:after="240"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After a careful perusal of the affidavit supporting the application together with the affidavit i</w:t>
      </w:r>
      <w:r w:rsidRPr="003A1EFE">
        <w:rPr>
          <w:rFonts w:ascii="Times New Roman" w:hAnsi="Times New Roman" w:cs="Times New Roman"/>
          <w:sz w:val="24"/>
          <w:szCs w:val="24"/>
        </w:rPr>
        <w:t>n reply, we are of the considered opinion that indeed the failure of the applicant to file the necessary documents in court in the prescribed time was a result of the delay of secretary to the secretary of the applicant to serve, but who eventually, out of</w:t>
      </w:r>
      <w:r w:rsidRPr="003A1EFE">
        <w:rPr>
          <w:rFonts w:ascii="Times New Roman" w:hAnsi="Times New Roman" w:cs="Times New Roman"/>
          <w:sz w:val="24"/>
          <w:szCs w:val="24"/>
        </w:rPr>
        <w:t xml:space="preserve"> time, served the documents to the lawyers of the applicant.</w:t>
      </w:r>
    </w:p>
    <w:p w:rsidR="006A383A" w:rsidRPr="003A1EFE" w:rsidRDefault="003A1EFE" w:rsidP="003A1EFE">
      <w:pPr>
        <w:pStyle w:val="BodyText1"/>
        <w:shd w:val="clear" w:color="auto" w:fill="auto"/>
        <w:spacing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 xml:space="preserve">However, we are of the considered opinion that such delay laid squarely on the shoulders of the applicant. The secretary to the secretary of the applicant was a legitimate employee of the </w:t>
      </w:r>
      <w:r w:rsidRPr="003A1EFE">
        <w:rPr>
          <w:rFonts w:ascii="Times New Roman" w:hAnsi="Times New Roman" w:cs="Times New Roman"/>
          <w:sz w:val="24"/>
          <w:szCs w:val="24"/>
        </w:rPr>
        <w:lastRenderedPageBreak/>
        <w:t>respond</w:t>
      </w:r>
      <w:r w:rsidRPr="003A1EFE">
        <w:rPr>
          <w:rFonts w:ascii="Times New Roman" w:hAnsi="Times New Roman" w:cs="Times New Roman"/>
          <w:sz w:val="24"/>
          <w:szCs w:val="24"/>
        </w:rPr>
        <w:t>ent and was obliged by virtue of his/her employment to have served the court process to his/her employer in time. It is not lawful or reasonable excuse for the applicant to claim that her own employee's negligence to deliver the court process to the rightf</w:t>
      </w:r>
      <w:r w:rsidRPr="003A1EFE">
        <w:rPr>
          <w:rFonts w:ascii="Times New Roman" w:hAnsi="Times New Roman" w:cs="Times New Roman"/>
          <w:sz w:val="24"/>
          <w:szCs w:val="24"/>
        </w:rPr>
        <w:t>ul officer should exonerate her from responsibility.</w:t>
      </w:r>
      <w:r w:rsidRPr="003A1EFE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6A383A" w:rsidRPr="003A1EFE" w:rsidRDefault="003A1EFE" w:rsidP="003A1EFE">
      <w:pPr>
        <w:pStyle w:val="BodyText1"/>
        <w:shd w:val="clear" w:color="auto" w:fill="auto"/>
        <w:spacing w:after="258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lastRenderedPageBreak/>
        <w:t>We do not consider such negligence as sufficient cause.</w:t>
      </w:r>
    </w:p>
    <w:p w:rsidR="006A383A" w:rsidRPr="003A1EFE" w:rsidRDefault="003A1EFE" w:rsidP="003A1EFE">
      <w:pPr>
        <w:pStyle w:val="BodyText1"/>
        <w:shd w:val="clear" w:color="auto" w:fill="auto"/>
        <w:spacing w:after="240" w:line="36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Given that the subsistence of the claim touches employment matters, we are of the considered opinion that despite the findings of the court that t</w:t>
      </w:r>
      <w:r w:rsidRPr="003A1EFE">
        <w:rPr>
          <w:rFonts w:ascii="Times New Roman" w:hAnsi="Times New Roman" w:cs="Times New Roman"/>
          <w:sz w:val="24"/>
          <w:szCs w:val="24"/>
        </w:rPr>
        <w:t>he delay was caused by negligence of the employee of the applicant, we allow the applicant to file her reply so that the matter is heard on its merits.</w:t>
      </w:r>
    </w:p>
    <w:p w:rsidR="006A383A" w:rsidRPr="003A1EFE" w:rsidRDefault="003A1EFE" w:rsidP="003A1EFE">
      <w:pPr>
        <w:pStyle w:val="BodyText1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Nonetheless the application will be allowed in the following terms:</w:t>
      </w:r>
    </w:p>
    <w:p w:rsidR="006A383A" w:rsidRPr="003A1EFE" w:rsidRDefault="003A1EFE" w:rsidP="003A1EFE">
      <w:pPr>
        <w:pStyle w:val="BodyText1"/>
        <w:numPr>
          <w:ilvl w:val="0"/>
          <w:numId w:val="4"/>
        </w:numPr>
        <w:shd w:val="clear" w:color="auto" w:fill="auto"/>
        <w:tabs>
          <w:tab w:val="left" w:pos="851"/>
        </w:tabs>
        <w:spacing w:line="360" w:lineRule="auto"/>
        <w:ind w:left="880" w:right="2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 xml:space="preserve">The applicant will file the reply </w:t>
      </w:r>
      <w:r w:rsidRPr="003A1EFE">
        <w:rPr>
          <w:rFonts w:ascii="Times New Roman" w:hAnsi="Times New Roman" w:cs="Times New Roman"/>
          <w:sz w:val="24"/>
          <w:szCs w:val="24"/>
        </w:rPr>
        <w:t>within 14 days from the date of this ruling.</w:t>
      </w:r>
    </w:p>
    <w:p w:rsidR="006A383A" w:rsidRPr="003A1EFE" w:rsidRDefault="003A1EFE" w:rsidP="003A1EFE">
      <w:pPr>
        <w:pStyle w:val="BodyText1"/>
        <w:numPr>
          <w:ilvl w:val="0"/>
          <w:numId w:val="4"/>
        </w:numPr>
        <w:shd w:val="clear" w:color="auto" w:fill="auto"/>
        <w:tabs>
          <w:tab w:val="left" w:pos="880"/>
        </w:tabs>
        <w:spacing w:line="360" w:lineRule="auto"/>
        <w:ind w:left="880" w:right="2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The reply will be in consonance with the original pleadings filed on the record to allay the tears of the respondent that in effect the applicant might amend the pleadings.</w:t>
      </w:r>
    </w:p>
    <w:p w:rsidR="006A383A" w:rsidRPr="003A1EFE" w:rsidRDefault="003A1EFE" w:rsidP="003A1EFE">
      <w:pPr>
        <w:pStyle w:val="BodyText1"/>
        <w:numPr>
          <w:ilvl w:val="0"/>
          <w:numId w:val="4"/>
        </w:numPr>
        <w:shd w:val="clear" w:color="auto" w:fill="auto"/>
        <w:tabs>
          <w:tab w:val="left" w:pos="880"/>
        </w:tabs>
        <w:spacing w:after="574" w:line="360" w:lineRule="auto"/>
        <w:ind w:left="880" w:right="2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 xml:space="preserve">The applicant shall pay costs of this </w:t>
      </w:r>
      <w:r w:rsidRPr="003A1EFE">
        <w:rPr>
          <w:rFonts w:ascii="Times New Roman" w:hAnsi="Times New Roman" w:cs="Times New Roman"/>
          <w:sz w:val="24"/>
          <w:szCs w:val="24"/>
        </w:rPr>
        <w:t>application in the sum of 1,500,000 on or before hearing of the claim.</w:t>
      </w:r>
    </w:p>
    <w:p w:rsidR="006A383A" w:rsidRPr="003A1EFE" w:rsidRDefault="003A1EFE" w:rsidP="003A1EFE">
      <w:pPr>
        <w:pStyle w:val="BodyText1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 xml:space="preserve">8/09/2015: M/s. Sylivia Winter holding brief for </w:t>
      </w:r>
      <w:r w:rsidRPr="003A1EFE">
        <w:rPr>
          <w:rFonts w:ascii="Times New Roman" w:hAnsi="Times New Roman" w:cs="Times New Roman"/>
          <w:sz w:val="24"/>
          <w:szCs w:val="24"/>
        </w:rPr>
        <w:t>Shilla Tumwine for respondent.</w:t>
      </w:r>
    </w:p>
    <w:p w:rsidR="003A1EFE" w:rsidRPr="003A1EFE" w:rsidRDefault="003A1EFE" w:rsidP="003A1EFE">
      <w:pPr>
        <w:pStyle w:val="BodyText1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6A383A" w:rsidRPr="003A1EFE" w:rsidRDefault="003A1EFE" w:rsidP="003A1EFE">
      <w:pPr>
        <w:pStyle w:val="BodyText1"/>
        <w:shd w:val="clear" w:color="auto" w:fill="auto"/>
        <w:spacing w:line="360" w:lineRule="auto"/>
        <w:ind w:left="218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Applicant absent.</w:t>
      </w:r>
    </w:p>
    <w:p w:rsidR="006A383A" w:rsidRPr="003A1EFE" w:rsidRDefault="003A1EFE" w:rsidP="003A1EFE">
      <w:pPr>
        <w:pStyle w:val="BodyText1"/>
        <w:shd w:val="clear" w:color="auto" w:fill="auto"/>
        <w:spacing w:line="360" w:lineRule="auto"/>
        <w:ind w:left="218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Respondent in Court.</w:t>
      </w:r>
    </w:p>
    <w:p w:rsidR="006A383A" w:rsidRPr="003A1EFE" w:rsidRDefault="003A1EFE" w:rsidP="003A1EFE">
      <w:pPr>
        <w:pStyle w:val="BodyText1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Court: Ruling delivered in open court.</w:t>
      </w:r>
    </w:p>
    <w:p w:rsidR="006A383A" w:rsidRPr="003A1EFE" w:rsidRDefault="003A1EFE" w:rsidP="003A1EFE">
      <w:pPr>
        <w:pStyle w:val="BodyText1"/>
        <w:shd w:val="clear" w:color="auto" w:fill="auto"/>
        <w:spacing w:after="528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Date: 8/09/2015:</w:t>
      </w:r>
    </w:p>
    <w:p w:rsidR="006A383A" w:rsidRPr="003A1EFE" w:rsidRDefault="003A1EFE" w:rsidP="003A1EFE">
      <w:pPr>
        <w:pStyle w:val="Heading10"/>
        <w:keepNext/>
        <w:keepLines/>
        <w:shd w:val="clear" w:color="auto" w:fill="auto"/>
        <w:spacing w:before="0" w:after="294" w:line="36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3A1EFE">
        <w:rPr>
          <w:rStyle w:val="Heading11"/>
          <w:rFonts w:ascii="Times New Roman" w:hAnsi="Times New Roman" w:cs="Times New Roman"/>
          <w:b/>
          <w:bCs/>
          <w:sz w:val="24"/>
          <w:szCs w:val="24"/>
        </w:rPr>
        <w:t>Signed:</w:t>
      </w:r>
      <w:bookmarkEnd w:id="1"/>
    </w:p>
    <w:p w:rsidR="006A383A" w:rsidRPr="003A1EFE" w:rsidRDefault="003A1EFE" w:rsidP="003A1EFE">
      <w:pPr>
        <w:pStyle w:val="BodyText1"/>
        <w:numPr>
          <w:ilvl w:val="0"/>
          <w:numId w:val="5"/>
        </w:numPr>
        <w:shd w:val="clear" w:color="auto" w:fill="auto"/>
        <w:tabs>
          <w:tab w:val="left" w:pos="337"/>
        </w:tabs>
        <w:spacing w:after="892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The Hon. Chief Judge, Asaph Ruhinda Ntengye</w:t>
      </w:r>
    </w:p>
    <w:p w:rsidR="006A383A" w:rsidRPr="003A1EFE" w:rsidRDefault="003A1EFE" w:rsidP="003A1EFE">
      <w:pPr>
        <w:pStyle w:val="BodyText1"/>
        <w:numPr>
          <w:ilvl w:val="0"/>
          <w:numId w:val="5"/>
        </w:numPr>
        <w:shd w:val="clear" w:color="auto" w:fill="auto"/>
        <w:tabs>
          <w:tab w:val="left" w:pos="366"/>
        </w:tabs>
        <w:spacing w:after="895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The Hon. Judge, Linda Lillian Tumusiime Mugisha</w:t>
      </w:r>
    </w:p>
    <w:p w:rsidR="006A383A" w:rsidRPr="003A1EFE" w:rsidRDefault="003A1EFE" w:rsidP="003A1EFE">
      <w:pPr>
        <w:pStyle w:val="Heading10"/>
        <w:keepNext/>
        <w:keepLines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3A1EFE">
        <w:rPr>
          <w:rStyle w:val="Heading11"/>
          <w:rFonts w:ascii="Times New Roman" w:hAnsi="Times New Roman" w:cs="Times New Roman"/>
          <w:b/>
          <w:bCs/>
          <w:sz w:val="24"/>
          <w:szCs w:val="24"/>
        </w:rPr>
        <w:t>Panelists</w:t>
      </w:r>
      <w:bookmarkEnd w:id="2"/>
    </w:p>
    <w:p w:rsidR="006A383A" w:rsidRPr="003A1EFE" w:rsidRDefault="003A1EFE" w:rsidP="003A1EFE">
      <w:pPr>
        <w:pStyle w:val="BodyText1"/>
        <w:numPr>
          <w:ilvl w:val="0"/>
          <w:numId w:val="6"/>
        </w:numPr>
        <w:shd w:val="clear" w:color="auto" w:fill="auto"/>
        <w:tabs>
          <w:tab w:val="left" w:pos="351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Mr. Ebyau Fidel</w:t>
      </w:r>
    </w:p>
    <w:p w:rsidR="006A383A" w:rsidRPr="003A1EFE" w:rsidRDefault="003A1EFE" w:rsidP="003A1EFE">
      <w:pPr>
        <w:pStyle w:val="BodyText1"/>
        <w:numPr>
          <w:ilvl w:val="0"/>
          <w:numId w:val="6"/>
        </w:numPr>
        <w:shd w:val="clear" w:color="auto" w:fill="auto"/>
        <w:tabs>
          <w:tab w:val="left" w:pos="380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Ms. Harriet Mugambwa</w:t>
      </w:r>
    </w:p>
    <w:p w:rsidR="006A383A" w:rsidRPr="003A1EFE" w:rsidRDefault="003A1EFE" w:rsidP="003A1EFE">
      <w:pPr>
        <w:pStyle w:val="BodyText1"/>
        <w:numPr>
          <w:ilvl w:val="0"/>
          <w:numId w:val="6"/>
        </w:numPr>
        <w:shd w:val="clear" w:color="auto" w:fill="auto"/>
        <w:tabs>
          <w:tab w:val="left" w:pos="380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3A1EFE">
        <w:rPr>
          <w:rFonts w:ascii="Times New Roman" w:hAnsi="Times New Roman" w:cs="Times New Roman"/>
          <w:sz w:val="24"/>
          <w:szCs w:val="24"/>
        </w:rPr>
        <w:t>Mr. Frankie Mubuuke</w:t>
      </w:r>
    </w:p>
    <w:sectPr w:rsidR="006A383A" w:rsidRPr="003A1EFE">
      <w:footerReference w:type="default" r:id="rId8"/>
      <w:type w:val="continuous"/>
      <w:pgSz w:w="12240" w:h="15840"/>
      <w:pgMar w:top="624" w:right="1465" w:bottom="1411" w:left="1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6C" w:rsidRDefault="009C406C">
      <w:r>
        <w:separator/>
      </w:r>
    </w:p>
  </w:endnote>
  <w:endnote w:type="continuationSeparator" w:id="0">
    <w:p w:rsidR="009C406C" w:rsidRDefault="009C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3A" w:rsidRDefault="003A1E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6777990</wp:posOffset>
              </wp:positionH>
              <wp:positionV relativeFrom="page">
                <wp:posOffset>9585960</wp:posOffset>
              </wp:positionV>
              <wp:extent cx="55245" cy="186690"/>
              <wp:effectExtent l="0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83A" w:rsidRDefault="006A383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.7pt;margin-top:754.8pt;width:4.35pt;height:14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" filled="f" stroked="f">
              <v:textbox style="mso-fit-shape-to-text:t" inset="0,0,0,0">
                <w:txbxContent>
                  <w:p w:rsidR="006A383A" w:rsidRDefault="006A383A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6C" w:rsidRDefault="009C406C"/>
  </w:footnote>
  <w:footnote w:type="continuationSeparator" w:id="0">
    <w:p w:rsidR="009C406C" w:rsidRDefault="009C40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05B"/>
    <w:multiLevelType w:val="multilevel"/>
    <w:tmpl w:val="849CB83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74799"/>
    <w:multiLevelType w:val="multilevel"/>
    <w:tmpl w:val="F6C8F95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5373D"/>
    <w:multiLevelType w:val="multilevel"/>
    <w:tmpl w:val="DD06BBC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364B09"/>
    <w:multiLevelType w:val="multilevel"/>
    <w:tmpl w:val="A2AC41F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4363D9"/>
    <w:multiLevelType w:val="multilevel"/>
    <w:tmpl w:val="81147D2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B30043"/>
    <w:multiLevelType w:val="multilevel"/>
    <w:tmpl w:val="913C295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3A"/>
    <w:rsid w:val="003A1EFE"/>
    <w:rsid w:val="006A383A"/>
    <w:rsid w:val="009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Italic">
    <w:name w:val="Body text (2) + Italic"/>
    <w:basedOn w:val="Body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">
    <w:name w:val="Body text_"/>
    <w:basedOn w:val="DefaultParagraphFont"/>
    <w:link w:val="BodyText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20" w:line="302" w:lineRule="exact"/>
      <w:jc w:val="center"/>
    </w:pPr>
    <w:rPr>
      <w:rFonts w:ascii="Bookman Old Style" w:eastAsia="Bookman Old Style" w:hAnsi="Bookman Old Style" w:cs="Bookman Old Style"/>
      <w:b/>
      <w:bCs/>
      <w:sz w:val="25"/>
      <w:szCs w:val="25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17"/>
      <w:szCs w:val="17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02" w:lineRule="exact"/>
      <w:ind w:hanging="480"/>
      <w:jc w:val="both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after="36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3A1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EF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A1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EF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Exact">
    <w:name w:val="Body text (2) Exact"/>
    <w:basedOn w:val="DefaultParagraphFon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Italic">
    <w:name w:val="Body text (2) + Italic"/>
    <w:basedOn w:val="Body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">
    <w:name w:val="Body text_"/>
    <w:basedOn w:val="DefaultParagraphFont"/>
    <w:link w:val="BodyText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20" w:line="302" w:lineRule="exact"/>
      <w:jc w:val="center"/>
    </w:pPr>
    <w:rPr>
      <w:rFonts w:ascii="Bookman Old Style" w:eastAsia="Bookman Old Style" w:hAnsi="Bookman Old Style" w:cs="Bookman Old Style"/>
      <w:b/>
      <w:bCs/>
      <w:sz w:val="25"/>
      <w:szCs w:val="25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17"/>
      <w:szCs w:val="17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02" w:lineRule="exact"/>
      <w:ind w:hanging="480"/>
      <w:jc w:val="both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after="36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3A1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EF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A1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E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1</cp:revision>
  <dcterms:created xsi:type="dcterms:W3CDTF">2015-11-25T10:00:00Z</dcterms:created>
  <dcterms:modified xsi:type="dcterms:W3CDTF">2015-11-25T11:30:00Z</dcterms:modified>
</cp:coreProperties>
</file>