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3B61F6">
        <w:rPr>
          <w:rFonts w:ascii="Times New Roman" w:hAnsi="Times New Roman" w:cs="Times New Roman"/>
          <w:b/>
          <w:sz w:val="24"/>
          <w:szCs w:val="24"/>
        </w:rPr>
        <w:t>24</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B308EF">
        <w:rPr>
          <w:rFonts w:ascii="Times New Roman" w:hAnsi="Times New Roman" w:cs="Times New Roman"/>
          <w:b/>
          <w:sz w:val="24"/>
          <w:szCs w:val="24"/>
        </w:rPr>
        <w:t>1</w:t>
      </w:r>
    </w:p>
    <w:p w:rsidR="00962577" w:rsidRPr="009A4040" w:rsidRDefault="00962577" w:rsidP="00B308EF">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B308EF">
        <w:rPr>
          <w:rFonts w:ascii="Times New Roman" w:hAnsi="Times New Roman" w:cs="Times New Roman"/>
          <w:b/>
          <w:sz w:val="24"/>
          <w:szCs w:val="24"/>
        </w:rPr>
        <w:t xml:space="preserve">Arua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B308EF">
        <w:rPr>
          <w:rFonts w:ascii="Times New Roman" w:hAnsi="Times New Roman" w:cs="Times New Roman"/>
          <w:b/>
          <w:sz w:val="24"/>
          <w:szCs w:val="24"/>
        </w:rPr>
        <w:t>13</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w:t>
      </w:r>
      <w:r w:rsidR="00B308EF">
        <w:rPr>
          <w:rFonts w:ascii="Times New Roman" w:hAnsi="Times New Roman" w:cs="Times New Roman"/>
          <w:b/>
          <w:sz w:val="24"/>
          <w:szCs w:val="24"/>
        </w:rPr>
        <w:t>06</w:t>
      </w:r>
      <w:r w:rsidRPr="009A4040">
        <w:rPr>
          <w:rFonts w:ascii="Times New Roman" w:hAnsi="Times New Roman" w:cs="Times New Roman"/>
          <w:b/>
          <w:sz w:val="24"/>
          <w:szCs w:val="24"/>
        </w:rPr>
        <w:t>)</w:t>
      </w:r>
    </w:p>
    <w:p w:rsidR="001A7CD2" w:rsidRPr="009A4040" w:rsidRDefault="001A7CD2" w:rsidP="00B308EF">
      <w:pPr>
        <w:spacing w:after="0"/>
        <w:ind w:left="576" w:right="576"/>
        <w:jc w:val="center"/>
        <w:rPr>
          <w:rFonts w:ascii="Times New Roman" w:hAnsi="Times New Roman" w:cs="Times New Roman"/>
          <w:b/>
          <w:sz w:val="24"/>
          <w:szCs w:val="24"/>
        </w:rPr>
      </w:pPr>
    </w:p>
    <w:p w:rsidR="00392898" w:rsidRPr="00B308EF" w:rsidRDefault="00B308EF" w:rsidP="00B308EF">
      <w:pPr>
        <w:spacing w:after="0"/>
        <w:jc w:val="both"/>
        <w:rPr>
          <w:rFonts w:ascii="Times New Roman" w:hAnsi="Times New Roman" w:cs="Times New Roman"/>
          <w:b/>
          <w:sz w:val="24"/>
          <w:szCs w:val="24"/>
        </w:rPr>
      </w:pPr>
      <w:r w:rsidRPr="00B308EF">
        <w:rPr>
          <w:rFonts w:ascii="Times New Roman" w:hAnsi="Times New Roman" w:cs="Times New Roman"/>
          <w:b/>
          <w:sz w:val="24"/>
          <w:szCs w:val="24"/>
        </w:rPr>
        <w:t>OBITRE JACKSON</w:t>
      </w:r>
      <w:r w:rsidRPr="00B308EF">
        <w:rPr>
          <w:rFonts w:ascii="Times New Roman" w:hAnsi="Times New Roman" w:cs="Times New Roman"/>
          <w:b/>
          <w:sz w:val="24"/>
          <w:szCs w:val="24"/>
        </w:rPr>
        <w:tab/>
      </w:r>
      <w:r w:rsidR="00392898" w:rsidRPr="00B308EF">
        <w:rPr>
          <w:rFonts w:ascii="Times New Roman" w:hAnsi="Times New Roman" w:cs="Times New Roman"/>
          <w:b/>
          <w:sz w:val="24"/>
          <w:szCs w:val="24"/>
        </w:rPr>
        <w:tab/>
        <w:t>………………………</w:t>
      </w:r>
      <w:r w:rsidR="003B61F6" w:rsidRPr="00B308EF">
        <w:rPr>
          <w:rFonts w:ascii="Times New Roman" w:hAnsi="Times New Roman" w:cs="Times New Roman"/>
          <w:b/>
          <w:sz w:val="24"/>
          <w:szCs w:val="24"/>
        </w:rPr>
        <w:t>......................</w:t>
      </w:r>
      <w:r w:rsidR="00392898" w:rsidRPr="00B308EF">
        <w:rPr>
          <w:rFonts w:ascii="Times New Roman" w:hAnsi="Times New Roman" w:cs="Times New Roman"/>
          <w:b/>
          <w:sz w:val="24"/>
          <w:szCs w:val="24"/>
        </w:rPr>
        <w:t>…..…</w:t>
      </w:r>
      <w:r w:rsidR="00392898" w:rsidRPr="00B308EF">
        <w:rPr>
          <w:rFonts w:ascii="Times New Roman" w:hAnsi="Times New Roman" w:cs="Times New Roman"/>
          <w:b/>
          <w:sz w:val="24"/>
          <w:szCs w:val="24"/>
        </w:rPr>
        <w:tab/>
      </w:r>
      <w:r w:rsidR="000A377E" w:rsidRPr="00B308EF">
        <w:rPr>
          <w:rFonts w:ascii="Times New Roman" w:hAnsi="Times New Roman" w:cs="Times New Roman"/>
          <w:b/>
          <w:sz w:val="24"/>
          <w:szCs w:val="24"/>
        </w:rPr>
        <w:t>APPELLA</w:t>
      </w:r>
      <w:r w:rsidR="00392898" w:rsidRPr="00B308EF">
        <w:rPr>
          <w:rFonts w:ascii="Times New Roman" w:hAnsi="Times New Roman" w:cs="Times New Roman"/>
          <w:b/>
          <w:sz w:val="24"/>
          <w:szCs w:val="24"/>
        </w:rPr>
        <w:t>NT</w:t>
      </w:r>
    </w:p>
    <w:p w:rsidR="000A377E" w:rsidRDefault="00B308EF" w:rsidP="00B308E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0A377E" w:rsidRPr="009A4040" w:rsidRDefault="000A377E" w:rsidP="00B308EF">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B308EF">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377E" w:rsidRPr="009A4040" w:rsidRDefault="00B308EF" w:rsidP="00B308EF">
      <w:pPr>
        <w:spacing w:after="0"/>
        <w:jc w:val="both"/>
        <w:rPr>
          <w:rFonts w:ascii="Times New Roman" w:hAnsi="Times New Roman" w:cs="Times New Roman"/>
          <w:b/>
          <w:sz w:val="24"/>
          <w:szCs w:val="24"/>
        </w:rPr>
      </w:pPr>
      <w:r>
        <w:rPr>
          <w:rFonts w:ascii="Times New Roman" w:hAnsi="Times New Roman" w:cs="Times New Roman"/>
          <w:b/>
          <w:sz w:val="24"/>
          <w:szCs w:val="24"/>
        </w:rPr>
        <w:t>ABDU MATUA CHARLES</w:t>
      </w:r>
      <w:r w:rsidR="000A377E" w:rsidRPr="009A4040">
        <w:rPr>
          <w:rFonts w:ascii="Times New Roman" w:hAnsi="Times New Roman" w:cs="Times New Roman"/>
          <w:b/>
          <w:sz w:val="24"/>
          <w:szCs w:val="24"/>
        </w:rPr>
        <w:tab/>
      </w:r>
      <w:r>
        <w:rPr>
          <w:rFonts w:ascii="Times New Roman" w:hAnsi="Times New Roman" w:cs="Times New Roman"/>
          <w:b/>
          <w:sz w:val="24"/>
          <w:szCs w:val="24"/>
        </w:rPr>
        <w:t xml:space="preserve"> </w:t>
      </w:r>
      <w:r w:rsidR="000A377E" w:rsidRPr="009A4040">
        <w:rPr>
          <w:rFonts w:ascii="Times New Roman" w:hAnsi="Times New Roman" w:cs="Times New Roman"/>
          <w:b/>
          <w:sz w:val="24"/>
          <w:szCs w:val="24"/>
        </w:rPr>
        <w:t>…………………</w:t>
      </w:r>
      <w:r w:rsidR="003B61F6">
        <w:rPr>
          <w:rFonts w:ascii="Times New Roman" w:hAnsi="Times New Roman" w:cs="Times New Roman"/>
          <w:b/>
          <w:sz w:val="24"/>
          <w:szCs w:val="24"/>
        </w:rPr>
        <w:t>...........</w:t>
      </w:r>
      <w:r w:rsidR="000A377E" w:rsidRPr="009A4040">
        <w:rPr>
          <w:rFonts w:ascii="Times New Roman" w:hAnsi="Times New Roman" w:cs="Times New Roman"/>
          <w:b/>
          <w:sz w:val="24"/>
          <w:szCs w:val="24"/>
        </w:rPr>
        <w:t>…………………</w:t>
      </w:r>
      <w:r w:rsidR="000A377E" w:rsidRPr="009A4040">
        <w:rPr>
          <w:rFonts w:ascii="Times New Roman" w:hAnsi="Times New Roman" w:cs="Times New Roman"/>
          <w:b/>
          <w:sz w:val="24"/>
          <w:szCs w:val="24"/>
        </w:rPr>
        <w:tab/>
      </w:r>
      <w:r w:rsidR="000A377E">
        <w:rPr>
          <w:rFonts w:ascii="Times New Roman" w:hAnsi="Times New Roman" w:cs="Times New Roman"/>
          <w:b/>
          <w:sz w:val="24"/>
          <w:szCs w:val="24"/>
        </w:rPr>
        <w:t>RESPONDENT</w:t>
      </w:r>
    </w:p>
    <w:p w:rsidR="000A377E" w:rsidRPr="009A4040" w:rsidRDefault="000A377E" w:rsidP="00B308EF">
      <w:pPr>
        <w:spacing w:after="0"/>
        <w:jc w:val="both"/>
        <w:rPr>
          <w:rFonts w:ascii="Times New Roman" w:hAnsi="Times New Roman" w:cs="Times New Roman"/>
          <w:b/>
          <w:sz w:val="24"/>
          <w:szCs w:val="24"/>
        </w:rPr>
      </w:pPr>
    </w:p>
    <w:p w:rsidR="00A10A9A" w:rsidRPr="009A4040" w:rsidRDefault="00A10A9A" w:rsidP="00B308EF">
      <w:pPr>
        <w:spacing w:after="0"/>
        <w:jc w:val="center"/>
        <w:rPr>
          <w:rFonts w:ascii="Times New Roman" w:hAnsi="Times New Roman" w:cs="Times New Roman"/>
          <w:b/>
          <w:sz w:val="24"/>
          <w:szCs w:val="24"/>
          <w:u w:val="single"/>
        </w:rPr>
      </w:pPr>
    </w:p>
    <w:p w:rsidR="00A10A9A" w:rsidRPr="009A4040" w:rsidRDefault="00A10A9A" w:rsidP="00B308EF">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B308EF">
      <w:pPr>
        <w:spacing w:after="0"/>
        <w:rPr>
          <w:rFonts w:ascii="Times New Roman" w:hAnsi="Times New Roman" w:cs="Times New Roman"/>
          <w:b/>
          <w:sz w:val="24"/>
          <w:szCs w:val="24"/>
          <w:u w:val="single"/>
        </w:rPr>
      </w:pPr>
    </w:p>
    <w:p w:rsidR="00CA59BC" w:rsidRPr="009A4040" w:rsidRDefault="00CA59BC" w:rsidP="00B308EF">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308EF">
      <w:pPr>
        <w:spacing w:after="0"/>
        <w:jc w:val="center"/>
        <w:rPr>
          <w:rFonts w:ascii="Times New Roman" w:hAnsi="Times New Roman" w:cs="Times New Roman"/>
          <w:sz w:val="24"/>
          <w:szCs w:val="24"/>
          <w:u w:val="single"/>
        </w:rPr>
      </w:pPr>
    </w:p>
    <w:p w:rsidR="00CA59BC" w:rsidRDefault="001B74FB" w:rsidP="00B3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3B61F6">
        <w:rPr>
          <w:rFonts w:ascii="Times New Roman" w:hAnsi="Times New Roman" w:cs="Times New Roman"/>
          <w:sz w:val="24"/>
          <w:szCs w:val="24"/>
        </w:rPr>
        <w:t>appellant</w:t>
      </w:r>
      <w:r>
        <w:rPr>
          <w:rFonts w:ascii="Times New Roman" w:hAnsi="Times New Roman" w:cs="Times New Roman"/>
          <w:sz w:val="24"/>
          <w:szCs w:val="24"/>
        </w:rPr>
        <w:t xml:space="preserve"> sued the </w:t>
      </w:r>
      <w:r w:rsidR="003B61F6">
        <w:rPr>
          <w:rFonts w:ascii="Times New Roman" w:hAnsi="Times New Roman" w:cs="Times New Roman"/>
          <w:sz w:val="24"/>
          <w:szCs w:val="24"/>
        </w:rPr>
        <w:t>respondent</w:t>
      </w:r>
      <w:r>
        <w:rPr>
          <w:rFonts w:ascii="Times New Roman" w:hAnsi="Times New Roman" w:cs="Times New Roman"/>
          <w:sz w:val="24"/>
          <w:szCs w:val="24"/>
        </w:rPr>
        <w:t xml:space="preserve"> for </w:t>
      </w:r>
      <w:r w:rsidR="00706D3B">
        <w:rPr>
          <w:rFonts w:ascii="Times New Roman" w:hAnsi="Times New Roman" w:cs="Times New Roman"/>
          <w:sz w:val="24"/>
          <w:szCs w:val="24"/>
        </w:rPr>
        <w:t xml:space="preserve">recovery of </w:t>
      </w:r>
      <w:r w:rsidR="00EE4870">
        <w:rPr>
          <w:rFonts w:ascii="Times New Roman" w:hAnsi="Times New Roman" w:cs="Times New Roman"/>
          <w:sz w:val="24"/>
          <w:szCs w:val="24"/>
        </w:rPr>
        <w:t xml:space="preserve">a piece of </w:t>
      </w:r>
      <w:r w:rsidR="00706D3B">
        <w:rPr>
          <w:rFonts w:ascii="Times New Roman" w:hAnsi="Times New Roman" w:cs="Times New Roman"/>
          <w:sz w:val="24"/>
          <w:szCs w:val="24"/>
        </w:rPr>
        <w:t>land held under customary tenure</w:t>
      </w:r>
      <w:r w:rsidR="00EE4870">
        <w:rPr>
          <w:rFonts w:ascii="Times New Roman" w:hAnsi="Times New Roman" w:cs="Times New Roman"/>
          <w:sz w:val="24"/>
          <w:szCs w:val="24"/>
        </w:rPr>
        <w:t xml:space="preserve"> at Tivu village, Tilevu Parish, Vura sub-county</w:t>
      </w:r>
      <w:r w:rsidR="00706D3B">
        <w:rPr>
          <w:rFonts w:ascii="Times New Roman" w:hAnsi="Times New Roman" w:cs="Times New Roman"/>
          <w:sz w:val="24"/>
          <w:szCs w:val="24"/>
        </w:rPr>
        <w:t xml:space="preserve">, </w:t>
      </w:r>
      <w:r w:rsidR="00EE4870">
        <w:rPr>
          <w:rFonts w:ascii="Times New Roman" w:hAnsi="Times New Roman" w:cs="Times New Roman"/>
          <w:sz w:val="24"/>
          <w:szCs w:val="24"/>
        </w:rPr>
        <w:t xml:space="preserve">measuring 60 metres by 160 metres, </w:t>
      </w:r>
      <w:r w:rsidR="00706D3B">
        <w:rPr>
          <w:rFonts w:ascii="Times New Roman" w:hAnsi="Times New Roman" w:cs="Times New Roman"/>
          <w:sz w:val="24"/>
          <w:szCs w:val="24"/>
        </w:rPr>
        <w:t>seeking an order of vacant possession and costs</w:t>
      </w:r>
      <w:r w:rsidR="007500E0">
        <w:rPr>
          <w:rFonts w:ascii="Times New Roman" w:hAnsi="Times New Roman" w:cs="Times New Roman"/>
          <w:sz w:val="24"/>
          <w:szCs w:val="24"/>
        </w:rPr>
        <w:t xml:space="preserve">. </w:t>
      </w:r>
      <w:r w:rsidR="003B61F6">
        <w:rPr>
          <w:rFonts w:ascii="Times New Roman" w:hAnsi="Times New Roman" w:cs="Times New Roman"/>
          <w:sz w:val="24"/>
          <w:szCs w:val="24"/>
        </w:rPr>
        <w:t xml:space="preserve">The appellant’s case was that </w:t>
      </w:r>
      <w:r w:rsidR="00706D3B">
        <w:rPr>
          <w:rFonts w:ascii="Times New Roman" w:hAnsi="Times New Roman" w:cs="Times New Roman"/>
          <w:sz w:val="24"/>
          <w:szCs w:val="24"/>
        </w:rPr>
        <w:t>the land in dispute originally belonged to his late grandfather, a one Drayi who was born on that land and upon his death, it was inherited by the appellant’s father, Elikude Mark who too was born on that land during the year 1909</w:t>
      </w:r>
      <w:r w:rsidR="00C726C3">
        <w:rPr>
          <w:rFonts w:ascii="Times New Roman" w:hAnsi="Times New Roman" w:cs="Times New Roman"/>
          <w:sz w:val="24"/>
          <w:szCs w:val="24"/>
        </w:rPr>
        <w:t>.</w:t>
      </w:r>
      <w:r w:rsidR="000A1234">
        <w:rPr>
          <w:rFonts w:ascii="Times New Roman" w:hAnsi="Times New Roman" w:cs="Times New Roman"/>
          <w:sz w:val="24"/>
          <w:szCs w:val="24"/>
        </w:rPr>
        <w:t xml:space="preserve"> He disputed the respondent’s claim over the same piece of land on grounds that the respondent originates from Congo, later migrated to Tivu village where his grandfather was advised to leave the land whereupon he settled in Ezuku. The respondent’s grandfather in 1996 has unlawfully returned to Vura and settled on the appellant’s land without his consent. The appellant claimed shs. 46,000,000/= in special damages for the value of coffee on the land which he lost, an order of vacant possession and costs.</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0C13C5">
        <w:rPr>
          <w:rFonts w:ascii="Times New Roman" w:hAnsi="Times New Roman" w:cs="Times New Roman"/>
          <w:sz w:val="24"/>
          <w:szCs w:val="24"/>
        </w:rPr>
        <w:t>h</w:t>
      </w:r>
      <w:r w:rsidR="000A1234">
        <w:rPr>
          <w:rFonts w:ascii="Times New Roman" w:hAnsi="Times New Roman" w:cs="Times New Roman"/>
          <w:sz w:val="24"/>
          <w:szCs w:val="24"/>
        </w:rPr>
        <w:t>is</w:t>
      </w:r>
      <w:r>
        <w:rPr>
          <w:rFonts w:ascii="Times New Roman" w:hAnsi="Times New Roman" w:cs="Times New Roman"/>
          <w:sz w:val="24"/>
          <w:szCs w:val="24"/>
        </w:rPr>
        <w:t xml:space="preserve"> written statement of defence, the </w:t>
      </w:r>
      <w:r w:rsidR="000C13C5">
        <w:rPr>
          <w:rFonts w:ascii="Times New Roman" w:hAnsi="Times New Roman" w:cs="Times New Roman"/>
          <w:sz w:val="24"/>
          <w:szCs w:val="24"/>
        </w:rPr>
        <w:t>respondent</w:t>
      </w:r>
      <w:r w:rsidR="007500E0">
        <w:rPr>
          <w:rFonts w:ascii="Times New Roman" w:hAnsi="Times New Roman" w:cs="Times New Roman"/>
          <w:sz w:val="24"/>
          <w:szCs w:val="24"/>
        </w:rPr>
        <w:t xml:space="preserve"> denied the </w:t>
      </w:r>
      <w:r w:rsidR="000C13C5">
        <w:rPr>
          <w:rFonts w:ascii="Times New Roman" w:hAnsi="Times New Roman" w:cs="Times New Roman"/>
          <w:sz w:val="24"/>
          <w:szCs w:val="24"/>
        </w:rPr>
        <w:t>appellant</w:t>
      </w:r>
      <w:r w:rsidR="007500E0">
        <w:rPr>
          <w:rFonts w:ascii="Times New Roman" w:hAnsi="Times New Roman" w:cs="Times New Roman"/>
          <w:sz w:val="24"/>
          <w:szCs w:val="24"/>
        </w:rPr>
        <w:t xml:space="preserve">’s </w:t>
      </w:r>
      <w:r w:rsidR="000C13C5">
        <w:rPr>
          <w:rFonts w:ascii="Times New Roman" w:hAnsi="Times New Roman" w:cs="Times New Roman"/>
          <w:sz w:val="24"/>
          <w:szCs w:val="24"/>
        </w:rPr>
        <w:t xml:space="preserve">claim and instead contended that </w:t>
      </w:r>
      <w:r w:rsidR="000A1234">
        <w:rPr>
          <w:rFonts w:ascii="Times New Roman" w:hAnsi="Times New Roman" w:cs="Times New Roman"/>
          <w:sz w:val="24"/>
          <w:szCs w:val="24"/>
        </w:rPr>
        <w:t>he is the rightful customary owner of the disputed land having inherited it from his father Herod Seti and Grandfather Eliku Daniel</w:t>
      </w:r>
      <w:r w:rsidR="00C726C3">
        <w:rPr>
          <w:rFonts w:ascii="Times New Roman" w:hAnsi="Times New Roman" w:cs="Times New Roman"/>
          <w:sz w:val="24"/>
          <w:szCs w:val="24"/>
        </w:rPr>
        <w:t>.</w:t>
      </w:r>
      <w:r w:rsidR="000A1234">
        <w:rPr>
          <w:rFonts w:ascii="Times New Roman" w:hAnsi="Times New Roman" w:cs="Times New Roman"/>
          <w:sz w:val="24"/>
          <w:szCs w:val="24"/>
        </w:rPr>
        <w:t xml:space="preserve"> He averred that he is a Ugandan and his father was buried on that land. The </w:t>
      </w:r>
      <w:r w:rsidR="00EE4870">
        <w:rPr>
          <w:rFonts w:ascii="Times New Roman" w:hAnsi="Times New Roman" w:cs="Times New Roman"/>
          <w:sz w:val="24"/>
          <w:szCs w:val="24"/>
        </w:rPr>
        <w:t>appellant was in 2003 convicted of the offence of criminal trespass over the same land and fine shs. 150,000/= by the Chief Magistrate’s Court of Arua.</w:t>
      </w:r>
    </w:p>
    <w:p w:rsidR="00F312C0" w:rsidRDefault="00F312C0" w:rsidP="00C40079">
      <w:pPr>
        <w:spacing w:after="0" w:line="360" w:lineRule="auto"/>
        <w:jc w:val="both"/>
        <w:rPr>
          <w:rFonts w:ascii="Times New Roman" w:hAnsi="Times New Roman" w:cs="Times New Roman"/>
          <w:sz w:val="24"/>
          <w:szCs w:val="24"/>
        </w:rPr>
      </w:pPr>
    </w:p>
    <w:p w:rsidR="00F312C0" w:rsidRDefault="00570E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the </w:t>
      </w:r>
      <w:r w:rsidR="00C726C3">
        <w:rPr>
          <w:rFonts w:ascii="Times New Roman" w:hAnsi="Times New Roman" w:cs="Times New Roman"/>
          <w:sz w:val="24"/>
          <w:szCs w:val="24"/>
        </w:rPr>
        <w:t>appellant stated that</w:t>
      </w:r>
      <w:r w:rsidR="00E74539">
        <w:rPr>
          <w:rFonts w:ascii="Times New Roman" w:hAnsi="Times New Roman" w:cs="Times New Roman"/>
          <w:sz w:val="24"/>
          <w:szCs w:val="24"/>
        </w:rPr>
        <w:t xml:space="preserve"> he was using the land in dispute jointly with his father until his death in 1981 whereupon he inherited it and continued using it. The appellant sought and obtained a lease offer over that land. During the year 2000, the respondent trespassed on the land by planting an avocado tree and laying a foundation for a building without his consent</w:t>
      </w:r>
      <w:r w:rsidR="00327A5C">
        <w:rPr>
          <w:rFonts w:ascii="Times New Roman" w:hAnsi="Times New Roman" w:cs="Times New Roman"/>
          <w:sz w:val="24"/>
          <w:szCs w:val="24"/>
        </w:rPr>
        <w:t>.</w:t>
      </w:r>
      <w:r w:rsidR="00E74539">
        <w:rPr>
          <w:rFonts w:ascii="Times New Roman" w:hAnsi="Times New Roman" w:cs="Times New Roman"/>
          <w:sz w:val="24"/>
          <w:szCs w:val="24"/>
        </w:rPr>
        <w:t xml:space="preserve"> In that process, the respondent destroyed the appellant’s coffee trees valued at shs. 46,000,000/= Sometime before his death, the appellant’s father had permitted the Public Works Department of the Ministry of Works to temporarily occupy the land. P.W.2 Adule Simon testified that the land in dispute belongs to the appellant having inherited it from his late father in Lunkinda who died in 1981. The appellant had planted 1000 coffee trees on the land staring in the year 1999. In 2002, the respondent encroached on the land by planting avocado trees and bananas in the coffee plantation. Because </w:t>
      </w:r>
      <w:r w:rsidR="0036092F">
        <w:rPr>
          <w:rFonts w:ascii="Times New Roman" w:hAnsi="Times New Roman" w:cs="Times New Roman"/>
          <w:sz w:val="24"/>
          <w:szCs w:val="24"/>
        </w:rPr>
        <w:t>of</w:t>
      </w:r>
      <w:r w:rsidR="00E74539">
        <w:rPr>
          <w:rFonts w:ascii="Times New Roman" w:hAnsi="Times New Roman" w:cs="Times New Roman"/>
          <w:sz w:val="24"/>
          <w:szCs w:val="24"/>
        </w:rPr>
        <w:t xml:space="preserve"> the ensuing dispute, the L.C.III stopped the appellant from weeding the coffee trees as a result of which they withered away.</w:t>
      </w:r>
      <w:r w:rsidR="0036092F" w:rsidRPr="0036092F">
        <w:rPr>
          <w:rFonts w:ascii="Times New Roman" w:hAnsi="Times New Roman" w:cs="Times New Roman"/>
          <w:sz w:val="24"/>
          <w:szCs w:val="24"/>
        </w:rPr>
        <w:t xml:space="preserve"> </w:t>
      </w:r>
      <w:r w:rsidR="0036092F">
        <w:rPr>
          <w:rFonts w:ascii="Times New Roman" w:hAnsi="Times New Roman" w:cs="Times New Roman"/>
          <w:sz w:val="24"/>
          <w:szCs w:val="24"/>
        </w:rPr>
        <w:t>The Public Works Department of the Ministry of Works temporarily occupied the land but vacated it in 1995. The appellant closed his case.</w:t>
      </w:r>
    </w:p>
    <w:p w:rsidR="00911A5E" w:rsidRDefault="00911A5E" w:rsidP="00C40079">
      <w:pPr>
        <w:spacing w:after="0" w:line="360" w:lineRule="auto"/>
        <w:jc w:val="both"/>
        <w:rPr>
          <w:rFonts w:ascii="Times New Roman" w:hAnsi="Times New Roman" w:cs="Times New Roman"/>
          <w:sz w:val="24"/>
          <w:szCs w:val="24"/>
        </w:rPr>
      </w:pPr>
    </w:p>
    <w:p w:rsidR="0036092F" w:rsidRDefault="00A718E7" w:rsidP="003609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36092F">
        <w:rPr>
          <w:rFonts w:ascii="Times New Roman" w:hAnsi="Times New Roman" w:cs="Times New Roman"/>
          <w:sz w:val="24"/>
          <w:szCs w:val="24"/>
        </w:rPr>
        <w:t>is</w:t>
      </w:r>
      <w:r>
        <w:rPr>
          <w:rFonts w:ascii="Times New Roman" w:hAnsi="Times New Roman" w:cs="Times New Roman"/>
          <w:sz w:val="24"/>
          <w:szCs w:val="24"/>
        </w:rPr>
        <w:t xml:space="preserve"> defence, the </w:t>
      </w:r>
      <w:r w:rsidR="0036092F">
        <w:rPr>
          <w:rFonts w:ascii="Times New Roman" w:hAnsi="Times New Roman" w:cs="Times New Roman"/>
          <w:sz w:val="24"/>
          <w:szCs w:val="24"/>
        </w:rPr>
        <w:t>respondent</w:t>
      </w:r>
      <w:r>
        <w:rPr>
          <w:rFonts w:ascii="Times New Roman" w:hAnsi="Times New Roman" w:cs="Times New Roman"/>
          <w:sz w:val="24"/>
          <w:szCs w:val="24"/>
        </w:rPr>
        <w:t xml:space="preserve"> testified that</w:t>
      </w:r>
      <w:r w:rsidR="0036092F">
        <w:rPr>
          <w:rFonts w:ascii="Times New Roman" w:hAnsi="Times New Roman" w:cs="Times New Roman"/>
          <w:sz w:val="24"/>
          <w:szCs w:val="24"/>
        </w:rPr>
        <w:t xml:space="preserve"> the appellant is his neighbour and the land in dispute measures approximately about one and a half acres. The land previously belonged to his grandfather and he inherited it from his father upon his death in the year 2001. His great grandfather Obiti had in the year 1910 allowed the Public Works Department of the Ministry of Works to occupy the land and the department had vac</w:t>
      </w:r>
      <w:r w:rsidR="001832E2">
        <w:rPr>
          <w:rFonts w:ascii="Times New Roman" w:hAnsi="Times New Roman" w:cs="Times New Roman"/>
          <w:sz w:val="24"/>
          <w:szCs w:val="24"/>
        </w:rPr>
        <w:t>ated the land in the year 2001 whereupon the respondent entered into possession and began digging a foundation for the construction of a building but was stopped by the L.Cs. The respondent filed a case of criminal trespass against the appellant, the latter was convicted and fined by the Grade II Court at Odumi. D.W.2 Tikodri Abele testified that the land originally belonged to the respondent’s grandfather, Obiti Asara. In 1935, the then Local Government established a camp on the land until the year 2000 when the appellant attempted to enter onto the land and he was arrested. The land is the property of government. D.W.3 John Onyua testified that</w:t>
      </w:r>
      <w:r w:rsidR="005F3D66">
        <w:rPr>
          <w:rFonts w:ascii="Times New Roman" w:hAnsi="Times New Roman" w:cs="Times New Roman"/>
          <w:sz w:val="24"/>
          <w:szCs w:val="24"/>
        </w:rPr>
        <w:t xml:space="preserve"> the disputed land measures approximately two acres which belonged to the respondent’s late grandfather Obiti. In 1935, the land was given to government to establish a camp and to-date it belongs to the sub-county. The respondent closed his case.</w:t>
      </w:r>
    </w:p>
    <w:p w:rsidR="001832E2" w:rsidRDefault="001832E2" w:rsidP="0036092F">
      <w:pPr>
        <w:spacing w:after="0" w:line="360" w:lineRule="auto"/>
        <w:jc w:val="both"/>
        <w:rPr>
          <w:rFonts w:ascii="Times New Roman" w:hAnsi="Times New Roman" w:cs="Times New Roman"/>
          <w:sz w:val="24"/>
          <w:szCs w:val="24"/>
        </w:rPr>
      </w:pPr>
    </w:p>
    <w:p w:rsidR="00572A06" w:rsidRDefault="00572A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then visited the </w:t>
      </w:r>
      <w:r w:rsidRPr="00572A06">
        <w:rPr>
          <w:rFonts w:ascii="Times New Roman" w:hAnsi="Times New Roman" w:cs="Times New Roman"/>
          <w:i/>
          <w:sz w:val="24"/>
          <w:szCs w:val="24"/>
        </w:rPr>
        <w:t>locus in quo</w:t>
      </w:r>
      <w:r w:rsidR="006E039E">
        <w:rPr>
          <w:rFonts w:ascii="Times New Roman" w:hAnsi="Times New Roman" w:cs="Times New Roman"/>
          <w:sz w:val="24"/>
          <w:szCs w:val="24"/>
        </w:rPr>
        <w:t xml:space="preserve"> </w:t>
      </w:r>
      <w:r w:rsidR="005F3D66">
        <w:rPr>
          <w:rFonts w:ascii="Times New Roman" w:hAnsi="Times New Roman" w:cs="Times New Roman"/>
          <w:sz w:val="24"/>
          <w:szCs w:val="24"/>
        </w:rPr>
        <w:t>on 7</w:t>
      </w:r>
      <w:r w:rsidR="005F3D66" w:rsidRPr="005F3D66">
        <w:rPr>
          <w:rFonts w:ascii="Times New Roman" w:hAnsi="Times New Roman" w:cs="Times New Roman"/>
          <w:sz w:val="24"/>
          <w:szCs w:val="24"/>
          <w:vertAlign w:val="superscript"/>
        </w:rPr>
        <w:t>th</w:t>
      </w:r>
      <w:r w:rsidR="005F3D66">
        <w:rPr>
          <w:rFonts w:ascii="Times New Roman" w:hAnsi="Times New Roman" w:cs="Times New Roman"/>
          <w:sz w:val="24"/>
          <w:szCs w:val="24"/>
        </w:rPr>
        <w:t xml:space="preserve"> December 2010 </w:t>
      </w:r>
      <w:r w:rsidR="006E039E">
        <w:rPr>
          <w:rFonts w:ascii="Times New Roman" w:hAnsi="Times New Roman" w:cs="Times New Roman"/>
          <w:sz w:val="24"/>
          <w:szCs w:val="24"/>
        </w:rPr>
        <w:t xml:space="preserve">where it received evidence from </w:t>
      </w:r>
      <w:r w:rsidR="005F3D66">
        <w:rPr>
          <w:rFonts w:ascii="Times New Roman" w:hAnsi="Times New Roman" w:cs="Times New Roman"/>
          <w:sz w:val="24"/>
          <w:szCs w:val="24"/>
        </w:rPr>
        <w:t>t</w:t>
      </w:r>
      <w:r w:rsidR="006E039E">
        <w:rPr>
          <w:rFonts w:ascii="Times New Roman" w:hAnsi="Times New Roman" w:cs="Times New Roman"/>
          <w:sz w:val="24"/>
          <w:szCs w:val="24"/>
        </w:rPr>
        <w:t xml:space="preserve">he L.C.I Chairman </w:t>
      </w:r>
      <w:r w:rsidR="005F3D66">
        <w:rPr>
          <w:rFonts w:ascii="Times New Roman" w:hAnsi="Times New Roman" w:cs="Times New Roman"/>
          <w:sz w:val="24"/>
          <w:szCs w:val="24"/>
        </w:rPr>
        <w:t>Mr. Atia Mark who stated that the two parties were involved in a dispute over land belonging to the Ministry of Works</w:t>
      </w:r>
      <w:r w:rsidR="006E039E">
        <w:rPr>
          <w:rFonts w:ascii="Times New Roman" w:hAnsi="Times New Roman" w:cs="Times New Roman"/>
          <w:sz w:val="24"/>
          <w:szCs w:val="24"/>
        </w:rPr>
        <w:t>.</w:t>
      </w:r>
      <w:r w:rsidR="00C71C3C">
        <w:rPr>
          <w:rFonts w:ascii="Times New Roman" w:hAnsi="Times New Roman" w:cs="Times New Roman"/>
          <w:sz w:val="24"/>
          <w:szCs w:val="24"/>
        </w:rPr>
        <w:t xml:space="preserve"> It </w:t>
      </w:r>
      <w:r w:rsidR="005F3D66">
        <w:rPr>
          <w:rFonts w:ascii="Times New Roman" w:hAnsi="Times New Roman" w:cs="Times New Roman"/>
          <w:sz w:val="24"/>
          <w:szCs w:val="24"/>
        </w:rPr>
        <w:t>because of this, that both were stopped from using the land</w:t>
      </w:r>
      <w:r w:rsidR="00C71C3C">
        <w:rPr>
          <w:rFonts w:ascii="Times New Roman" w:hAnsi="Times New Roman" w:cs="Times New Roman"/>
          <w:sz w:val="24"/>
          <w:szCs w:val="24"/>
        </w:rPr>
        <w:t>.</w:t>
      </w:r>
      <w:r w:rsidR="005F3D66">
        <w:rPr>
          <w:rFonts w:ascii="Times New Roman" w:hAnsi="Times New Roman" w:cs="Times New Roman"/>
          <w:sz w:val="24"/>
          <w:szCs w:val="24"/>
        </w:rPr>
        <w:t xml:space="preserve"> Another witness, Mr. Okonzi Edward testified that the land originally belonged to Obiti, upon whose death the land remained under Government. The County headquarters were built on the land and the Ministry of Works too had built on the land. It is after the Ministry of works left that both parties began utilising the land. </w:t>
      </w:r>
      <w:r w:rsidR="00AA4A32">
        <w:rPr>
          <w:rFonts w:ascii="Times New Roman" w:hAnsi="Times New Roman" w:cs="Times New Roman"/>
          <w:sz w:val="24"/>
          <w:szCs w:val="24"/>
        </w:rPr>
        <w:t xml:space="preserve">Another witness, Ms. Drakuru Lydia stated that the land originally belonged to her father in law, Amaniyo and when they migrated to Bunyoro, it was taken over by Government. A one Mr. Richard Olema stated that since his childhood, the land was under occupation of the Public Works Department of the Ministry of Works. The land was given to Government by Obiti. The land does not belong to any of the parties but to the Ministry of Works.  </w:t>
      </w:r>
    </w:p>
    <w:p w:rsidR="00572A06" w:rsidRDefault="00572A06" w:rsidP="00C40079">
      <w:pPr>
        <w:spacing w:after="0" w:line="360" w:lineRule="auto"/>
        <w:jc w:val="both"/>
        <w:rPr>
          <w:rFonts w:ascii="Times New Roman" w:hAnsi="Times New Roman" w:cs="Times New Roman"/>
          <w:sz w:val="24"/>
          <w:szCs w:val="24"/>
        </w:rPr>
      </w:pPr>
    </w:p>
    <w:p w:rsidR="00C71C3C" w:rsidRDefault="00C71C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w:t>
      </w:r>
      <w:r w:rsidR="00AA4A32">
        <w:rPr>
          <w:rFonts w:ascii="Times New Roman" w:hAnsi="Times New Roman" w:cs="Times New Roman"/>
          <w:sz w:val="24"/>
          <w:szCs w:val="24"/>
        </w:rPr>
        <w:t xml:space="preserve"> on basis of the evidence before court and that obtained from the </w:t>
      </w:r>
      <w:r w:rsidR="00AA4A32" w:rsidRPr="00AA4A32">
        <w:rPr>
          <w:rFonts w:ascii="Times New Roman" w:hAnsi="Times New Roman" w:cs="Times New Roman"/>
          <w:i/>
          <w:sz w:val="24"/>
          <w:szCs w:val="24"/>
        </w:rPr>
        <w:t xml:space="preserve">locus in quo </w:t>
      </w:r>
      <w:r w:rsidR="00AA4A32">
        <w:rPr>
          <w:rFonts w:ascii="Times New Roman" w:hAnsi="Times New Roman" w:cs="Times New Roman"/>
          <w:sz w:val="24"/>
          <w:szCs w:val="24"/>
        </w:rPr>
        <w:t>visit, the land in dispute belonged to the Ministry of Works until 2001 when the appellant attempted to obtain a lease over the land. The lease offer was for an initial term of six years which expired in 2006</w:t>
      </w:r>
      <w:r w:rsidR="003C2004">
        <w:rPr>
          <w:rFonts w:ascii="Times New Roman" w:hAnsi="Times New Roman" w:cs="Times New Roman"/>
          <w:sz w:val="24"/>
          <w:szCs w:val="24"/>
        </w:rPr>
        <w:t>.</w:t>
      </w:r>
      <w:r w:rsidR="00AA4A32">
        <w:rPr>
          <w:rFonts w:ascii="Times New Roman" w:hAnsi="Times New Roman" w:cs="Times New Roman"/>
          <w:sz w:val="24"/>
          <w:szCs w:val="24"/>
        </w:rPr>
        <w:t xml:space="preserve"> During that time, the respondent had carried on activities on the land in violation of the offer made to the appellant. Although there was no evidence of a grant of the lease to the appellant, he was entitled to compensation for the damage occasioned by the respondent. </w:t>
      </w:r>
      <w:r w:rsidR="0022148D">
        <w:rPr>
          <w:rFonts w:ascii="Times New Roman" w:hAnsi="Times New Roman" w:cs="Times New Roman"/>
          <w:sz w:val="24"/>
          <w:szCs w:val="24"/>
        </w:rPr>
        <w:t>He awarded shs. 5,000,000/= as damages to the appellant and the costs of the suit. He declined to make any declaration about the ownership of the land.</w:t>
      </w:r>
    </w:p>
    <w:p w:rsidR="00572A06" w:rsidRDefault="00572A06"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003C2004">
        <w:rPr>
          <w:rFonts w:ascii="Times New Roman" w:hAnsi="Times New Roman" w:cs="Times New Roman"/>
          <w:sz w:val="24"/>
          <w:szCs w:val="24"/>
        </w:rPr>
        <w:t>s</w:t>
      </w:r>
      <w:r w:rsidRPr="009A4040">
        <w:rPr>
          <w:rFonts w:ascii="Times New Roman" w:hAnsi="Times New Roman" w:cs="Times New Roman"/>
          <w:sz w:val="24"/>
          <w:szCs w:val="24"/>
        </w:rPr>
        <w:t xml:space="preserve"> appeal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w:t>
      </w:r>
      <w:r w:rsidR="0022148D">
        <w:rPr>
          <w:rFonts w:ascii="Times New Roman" w:hAnsi="Times New Roman" w:cs="Times New Roman"/>
          <w:sz w:val="24"/>
          <w:szCs w:val="24"/>
        </w:rPr>
        <w:t>Grade One</w:t>
      </w:r>
      <w:r w:rsidRPr="009A4040">
        <w:rPr>
          <w:rFonts w:ascii="Times New Roman" w:hAnsi="Times New Roman" w:cs="Times New Roman"/>
          <w:sz w:val="24"/>
          <w:szCs w:val="24"/>
        </w:rPr>
        <w:t xml:space="preserve"> magistrate </w:t>
      </w:r>
      <w:r w:rsidR="00A30D63" w:rsidRPr="009A4040">
        <w:rPr>
          <w:rFonts w:ascii="Times New Roman" w:hAnsi="Times New Roman" w:cs="Times New Roman"/>
          <w:sz w:val="24"/>
          <w:szCs w:val="24"/>
        </w:rPr>
        <w:t xml:space="preserve">erred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22148D">
        <w:rPr>
          <w:rFonts w:ascii="Times New Roman" w:hAnsi="Times New Roman" w:cs="Times New Roman"/>
          <w:sz w:val="24"/>
          <w:szCs w:val="24"/>
        </w:rPr>
        <w:t>by deciding the suit against the appellant against the weight of evidence on record</w:t>
      </w:r>
      <w:r w:rsidRPr="009A4040">
        <w:rPr>
          <w:rFonts w:ascii="Times New Roman" w:hAnsi="Times New Roman" w:cs="Times New Roman"/>
          <w:sz w:val="24"/>
          <w:szCs w:val="24"/>
        </w:rPr>
        <w:t>.</w:t>
      </w:r>
    </w:p>
    <w:p w:rsidR="003C2004" w:rsidRPr="009A4040"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magistrate erred </w:t>
      </w:r>
      <w:r w:rsidR="0022148D">
        <w:rPr>
          <w:rFonts w:ascii="Times New Roman" w:hAnsi="Times New Roman" w:cs="Times New Roman"/>
          <w:sz w:val="24"/>
          <w:szCs w:val="24"/>
        </w:rPr>
        <w:t xml:space="preserve">in </w:t>
      </w:r>
      <w:r w:rsidRPr="009A4040">
        <w:rPr>
          <w:rFonts w:ascii="Times New Roman" w:hAnsi="Times New Roman" w:cs="Times New Roman"/>
          <w:sz w:val="24"/>
          <w:szCs w:val="24"/>
        </w:rPr>
        <w:t xml:space="preserve">fact </w:t>
      </w:r>
      <w:r w:rsidR="0022148D">
        <w:rPr>
          <w:rFonts w:ascii="Times New Roman" w:hAnsi="Times New Roman" w:cs="Times New Roman"/>
          <w:sz w:val="24"/>
          <w:szCs w:val="24"/>
        </w:rPr>
        <w:t>and law by not deciding in favour of the appellant simply because the appellant’s lease offer had by then expired</w:t>
      </w:r>
      <w:r w:rsidR="008F0051" w:rsidRPr="009A4040">
        <w:rPr>
          <w:rFonts w:ascii="Times New Roman" w:hAnsi="Times New Roman" w:cs="Times New Roman"/>
          <w:sz w:val="24"/>
          <w:szCs w:val="24"/>
        </w:rPr>
        <w:t>.</w:t>
      </w:r>
    </w:p>
    <w:p w:rsidR="0022148D" w:rsidRPr="0022148D" w:rsidRDefault="0022148D" w:rsidP="0022148D">
      <w:pPr>
        <w:pStyle w:val="ListParagraph"/>
        <w:rPr>
          <w:rFonts w:ascii="Times New Roman" w:hAnsi="Times New Roman" w:cs="Times New Roman"/>
          <w:sz w:val="24"/>
          <w:szCs w:val="24"/>
        </w:rPr>
      </w:pPr>
    </w:p>
    <w:p w:rsidR="0022148D" w:rsidRDefault="0022148D"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Pr>
          <w:rFonts w:ascii="Times New Roman" w:hAnsi="Times New Roman" w:cs="Times New Roman"/>
          <w:sz w:val="24"/>
          <w:szCs w:val="24"/>
        </w:rPr>
        <w:t xml:space="preserve">learned </w:t>
      </w:r>
      <w:r w:rsidRPr="009A4040">
        <w:rPr>
          <w:rFonts w:ascii="Times New Roman" w:hAnsi="Times New Roman" w:cs="Times New Roman"/>
          <w:sz w:val="24"/>
          <w:szCs w:val="24"/>
        </w:rPr>
        <w:t xml:space="preserve">magistrate erred </w:t>
      </w:r>
      <w:r>
        <w:rPr>
          <w:rFonts w:ascii="Times New Roman" w:hAnsi="Times New Roman" w:cs="Times New Roman"/>
          <w:sz w:val="24"/>
          <w:szCs w:val="24"/>
        </w:rPr>
        <w:t>in law and fact in deciding that the land belonged to Arua District Local Government.</w:t>
      </w:r>
    </w:p>
    <w:p w:rsidR="0022148D" w:rsidRPr="0022148D" w:rsidRDefault="0022148D" w:rsidP="0022148D">
      <w:pPr>
        <w:pStyle w:val="ListParagraph"/>
        <w:rPr>
          <w:rFonts w:ascii="Times New Roman" w:hAnsi="Times New Roman" w:cs="Times New Roman"/>
          <w:sz w:val="24"/>
          <w:szCs w:val="24"/>
        </w:rPr>
      </w:pPr>
    </w:p>
    <w:p w:rsidR="0022148D" w:rsidRDefault="0022148D"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lastRenderedPageBreak/>
        <w:t xml:space="preserve">The magistrate erred </w:t>
      </w:r>
      <w:r>
        <w:rPr>
          <w:rFonts w:ascii="Times New Roman" w:hAnsi="Times New Roman" w:cs="Times New Roman"/>
          <w:sz w:val="24"/>
          <w:szCs w:val="24"/>
        </w:rPr>
        <w:t xml:space="preserve">in law and </w:t>
      </w:r>
      <w:r w:rsidRPr="009A4040">
        <w:rPr>
          <w:rFonts w:ascii="Times New Roman" w:hAnsi="Times New Roman" w:cs="Times New Roman"/>
          <w:sz w:val="24"/>
          <w:szCs w:val="24"/>
        </w:rPr>
        <w:t xml:space="preserve">fact </w:t>
      </w:r>
      <w:r>
        <w:rPr>
          <w:rFonts w:ascii="Times New Roman" w:hAnsi="Times New Roman" w:cs="Times New Roman"/>
          <w:sz w:val="24"/>
          <w:szCs w:val="24"/>
        </w:rPr>
        <w:t>by deciding against the appellant because he failed to disclose on the court record as to what expired at the locus in quo regarding the crops planted by the appellant.</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submissions, counsel for the appellant Mr. O. Oyarmoi argued </w:t>
      </w:r>
      <w:r w:rsidR="002C740A">
        <w:rPr>
          <w:rFonts w:ascii="Times New Roman" w:hAnsi="Times New Roman" w:cs="Times New Roman"/>
          <w:sz w:val="24"/>
          <w:szCs w:val="24"/>
        </w:rPr>
        <w:t xml:space="preserve">with regard to ground one, that there was ample evidence that the disputed land belonged to the appellant, he having inherited it from his father who in turn inherited it from Obiti, his father. The defence evidence that Obiti gave the land to the Ministry of Works was hearsay. The weight of the evidence was in favour of the appellant and his witnesses who knew the history of ownership of the land very well as compared to the respondents’ who said it belonged to government and not the respondent. In respect of ground two, he argued that since the appellant’s claim was not based on the lease offer, the trial magistrate erred in taking that evidence into account. With regard to the fourth ground, he submitted </w:t>
      </w:r>
      <w:r>
        <w:rPr>
          <w:rFonts w:ascii="Times New Roman" w:hAnsi="Times New Roman" w:cs="Times New Roman"/>
          <w:sz w:val="24"/>
          <w:szCs w:val="24"/>
        </w:rPr>
        <w:t xml:space="preserve">that the trial magistrate erred in not recording any proceedings at the locus in quo yet went ahead to rely on his observations thereat to decide </w:t>
      </w:r>
      <w:r w:rsidR="002C740A">
        <w:rPr>
          <w:rFonts w:ascii="Times New Roman" w:hAnsi="Times New Roman" w:cs="Times New Roman"/>
          <w:sz w:val="24"/>
          <w:szCs w:val="24"/>
        </w:rPr>
        <w:t>against the appellant</w:t>
      </w:r>
      <w:r>
        <w:rPr>
          <w:rFonts w:ascii="Times New Roman" w:hAnsi="Times New Roman" w:cs="Times New Roman"/>
          <w:sz w:val="24"/>
          <w:szCs w:val="24"/>
        </w:rPr>
        <w:t xml:space="preserve">. He cited </w:t>
      </w:r>
      <w:r w:rsidRPr="00540F8A">
        <w:rPr>
          <w:rStyle w:val="Emphasis"/>
          <w:rFonts w:ascii="Times New Roman" w:hAnsi="Times New Roman" w:cs="Times New Roman"/>
          <w:bCs/>
          <w:sz w:val="24"/>
          <w:szCs w:val="24"/>
        </w:rPr>
        <w:t xml:space="preserve">Fernandes </w:t>
      </w:r>
      <w:r>
        <w:rPr>
          <w:rStyle w:val="Emphasis"/>
          <w:rFonts w:ascii="Times New Roman" w:hAnsi="Times New Roman" w:cs="Times New Roman"/>
          <w:bCs/>
          <w:sz w:val="24"/>
          <w:szCs w:val="24"/>
        </w:rPr>
        <w:t>v</w:t>
      </w:r>
      <w:r w:rsidRPr="00540F8A">
        <w:rPr>
          <w:rStyle w:val="Emphasis"/>
          <w:rFonts w:ascii="Times New Roman" w:hAnsi="Times New Roman" w:cs="Times New Roman"/>
          <w:bCs/>
          <w:sz w:val="24"/>
          <w:szCs w:val="24"/>
        </w:rPr>
        <w:t xml:space="preserve"> Noroniha [1969] EA 506</w:t>
      </w:r>
      <w:r>
        <w:rPr>
          <w:rFonts w:ascii="Times New Roman" w:hAnsi="Times New Roman" w:cs="Times New Roman"/>
          <w:sz w:val="24"/>
          <w:szCs w:val="24"/>
        </w:rPr>
        <w:t>. He pr</w:t>
      </w:r>
      <w:r w:rsidR="002C740A">
        <w:rPr>
          <w:rFonts w:ascii="Times New Roman" w:hAnsi="Times New Roman" w:cs="Times New Roman"/>
          <w:sz w:val="24"/>
          <w:szCs w:val="24"/>
        </w:rPr>
        <w:t xml:space="preserve">ayed that the appeal be allowed with costs. </w:t>
      </w:r>
      <w:r>
        <w:rPr>
          <w:rFonts w:ascii="Times New Roman" w:hAnsi="Times New Roman" w:cs="Times New Roman"/>
          <w:sz w:val="24"/>
          <w:szCs w:val="24"/>
        </w:rPr>
        <w:t xml:space="preserve">In his oral submissions, </w:t>
      </w:r>
      <w:r w:rsidR="002C740A">
        <w:rPr>
          <w:rFonts w:ascii="Times New Roman" w:hAnsi="Times New Roman" w:cs="Times New Roman"/>
          <w:sz w:val="24"/>
          <w:szCs w:val="24"/>
        </w:rPr>
        <w:t>the respondent who appeared in person but unrepresented submitted that the land belongs to government and f</w:t>
      </w:r>
      <w:r>
        <w:rPr>
          <w:rFonts w:ascii="Times New Roman" w:hAnsi="Times New Roman" w:cs="Times New Roman"/>
          <w:sz w:val="24"/>
          <w:szCs w:val="24"/>
        </w:rPr>
        <w:t>or that reason the appeal ought to be dismissed with costs.</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court below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w:t>
      </w:r>
      <w:r w:rsidR="002C740A">
        <w:rPr>
          <w:rFonts w:ascii="Times New Roman" w:hAnsi="Times New Roman" w:cs="Times New Roman"/>
          <w:i/>
          <w:sz w:val="24"/>
          <w:szCs w:val="24"/>
        </w:rPr>
        <w:t>,</w:t>
      </w:r>
      <w:r w:rsidRPr="00EA01F9">
        <w:rPr>
          <w:rFonts w:ascii="Times New Roman" w:hAnsi="Times New Roman" w:cs="Times New Roman"/>
          <w:i/>
          <w:sz w:val="24"/>
          <w:szCs w:val="24"/>
        </w:rPr>
        <w:t xml:space="preserve"> </w:t>
      </w:r>
      <w:r w:rsidRPr="002C740A">
        <w:rPr>
          <w:rFonts w:ascii="Times New Roman" w:hAnsi="Times New Roman" w:cs="Times New Roman"/>
          <w:i/>
          <w:sz w:val="24"/>
          <w:szCs w:val="24"/>
        </w:rPr>
        <w:t>SCCA 17of 2000; [2004] KALR 236</w:t>
      </w:r>
      <w:r>
        <w:rPr>
          <w:rFonts w:ascii="Times New Roman" w:hAnsi="Times New Roman" w:cs="Times New Roman"/>
          <w:sz w:val="24"/>
          <w:szCs w:val="24"/>
        </w:rPr>
        <w:t xml:space="preserve"> thus;</w:t>
      </w:r>
    </w:p>
    <w:p w:rsidR="006F30C4" w:rsidRDefault="006F30C4" w:rsidP="006F30C4">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6F30C4" w:rsidRPr="009A4040" w:rsidRDefault="006F30C4" w:rsidP="006F30C4">
      <w:pPr>
        <w:spacing w:after="0"/>
        <w:ind w:left="576" w:right="576"/>
        <w:jc w:val="both"/>
        <w:rPr>
          <w:rFonts w:ascii="Times New Roman" w:hAnsi="Times New Roman" w:cs="Times New Roman"/>
          <w:sz w:val="24"/>
          <w:szCs w:val="24"/>
        </w:rPr>
      </w:pPr>
    </w:p>
    <w:p w:rsidR="006F30C4" w:rsidRPr="009A4040" w:rsidRDefault="006F30C4" w:rsidP="006F30C4">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w:t>
      </w:r>
      <w:r w:rsidRPr="009A4040">
        <w:rPr>
          <w:rFonts w:ascii="Times New Roman" w:hAnsi="Times New Roman" w:cs="Times New Roman"/>
          <w:sz w:val="24"/>
          <w:szCs w:val="24"/>
        </w:rPr>
        <w:lastRenderedPageBreak/>
        <w:t>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2C740A"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find it convenient to deal</w:t>
      </w:r>
      <w:r w:rsidR="006F30C4">
        <w:rPr>
          <w:rFonts w:ascii="Times New Roman" w:hAnsi="Times New Roman" w:cs="Times New Roman"/>
          <w:sz w:val="24"/>
          <w:szCs w:val="24"/>
        </w:rPr>
        <w:t xml:space="preserve"> first </w:t>
      </w:r>
      <w:r>
        <w:rPr>
          <w:rFonts w:ascii="Times New Roman" w:hAnsi="Times New Roman" w:cs="Times New Roman"/>
          <w:sz w:val="24"/>
          <w:szCs w:val="24"/>
        </w:rPr>
        <w:t xml:space="preserve">with the fourth </w:t>
      </w:r>
      <w:r w:rsidR="006F30C4">
        <w:rPr>
          <w:rFonts w:ascii="Times New Roman" w:hAnsi="Times New Roman" w:cs="Times New Roman"/>
          <w:sz w:val="24"/>
          <w:szCs w:val="24"/>
        </w:rPr>
        <w:t xml:space="preserve">ground of appeal </w:t>
      </w:r>
      <w:r>
        <w:rPr>
          <w:rFonts w:ascii="Times New Roman" w:hAnsi="Times New Roman" w:cs="Times New Roman"/>
          <w:sz w:val="24"/>
          <w:szCs w:val="24"/>
        </w:rPr>
        <w:t xml:space="preserve">which </w:t>
      </w:r>
      <w:r w:rsidR="006F30C4">
        <w:rPr>
          <w:rFonts w:ascii="Times New Roman" w:hAnsi="Times New Roman" w:cs="Times New Roman"/>
          <w:sz w:val="24"/>
          <w:szCs w:val="24"/>
        </w:rPr>
        <w:t xml:space="preserve">faults the trial magistrate for failing to comply with the procedural requirements of a hearing at the </w:t>
      </w:r>
      <w:r w:rsidR="006F30C4" w:rsidRPr="004A7CF5">
        <w:rPr>
          <w:rFonts w:ascii="Times New Roman" w:hAnsi="Times New Roman" w:cs="Times New Roman"/>
          <w:i/>
          <w:sz w:val="24"/>
          <w:szCs w:val="24"/>
        </w:rPr>
        <w:t>locus in quo</w:t>
      </w:r>
      <w:r w:rsidR="006F30C4">
        <w:rPr>
          <w:rFonts w:ascii="Times New Roman" w:hAnsi="Times New Roman" w:cs="Times New Roman"/>
          <w:sz w:val="24"/>
          <w:szCs w:val="24"/>
        </w:rPr>
        <w:t xml:space="preserve">. Order 18 rule 14 of </w:t>
      </w:r>
      <w:r w:rsidR="006F30C4" w:rsidRPr="00D73662">
        <w:rPr>
          <w:rFonts w:ascii="Times New Roman" w:hAnsi="Times New Roman" w:cs="Times New Roman"/>
          <w:i/>
          <w:sz w:val="24"/>
          <w:szCs w:val="24"/>
        </w:rPr>
        <w:t>The Civil Procedure Rules</w:t>
      </w:r>
      <w:r w:rsidR="006F30C4">
        <w:rPr>
          <w:rFonts w:ascii="Times New Roman" w:hAnsi="Times New Roman" w:cs="Times New Roman"/>
          <w:sz w:val="24"/>
          <w:szCs w:val="24"/>
        </w:rPr>
        <w:t xml:space="preserve"> empowers courts, </w:t>
      </w:r>
      <w:r w:rsidR="006F30C4" w:rsidRPr="00FC2A18">
        <w:rPr>
          <w:rFonts w:ascii="Times New Roman" w:hAnsi="Times New Roman" w:cs="Times New Roman"/>
          <w:sz w:val="24"/>
          <w:szCs w:val="24"/>
        </w:rPr>
        <w:t>at any stage of a suit</w:t>
      </w:r>
      <w:r w:rsidR="006F30C4">
        <w:rPr>
          <w:rFonts w:ascii="Times New Roman" w:hAnsi="Times New Roman" w:cs="Times New Roman"/>
          <w:sz w:val="24"/>
          <w:szCs w:val="24"/>
        </w:rPr>
        <w:t>,</w:t>
      </w:r>
      <w:r w:rsidR="006F30C4" w:rsidRPr="00FC2A18">
        <w:rPr>
          <w:rFonts w:ascii="Times New Roman" w:hAnsi="Times New Roman" w:cs="Times New Roman"/>
          <w:sz w:val="24"/>
          <w:szCs w:val="24"/>
        </w:rPr>
        <w:t xml:space="preserve"> </w:t>
      </w:r>
      <w:r w:rsidR="006F30C4">
        <w:rPr>
          <w:rFonts w:ascii="Times New Roman" w:hAnsi="Times New Roman" w:cs="Times New Roman"/>
          <w:sz w:val="24"/>
          <w:szCs w:val="24"/>
        </w:rPr>
        <w:t xml:space="preserve">to </w:t>
      </w:r>
      <w:r w:rsidR="006F30C4" w:rsidRPr="00FC2A18">
        <w:rPr>
          <w:rFonts w:ascii="Times New Roman" w:hAnsi="Times New Roman" w:cs="Times New Roman"/>
          <w:sz w:val="24"/>
          <w:szCs w:val="24"/>
        </w:rPr>
        <w:t xml:space="preserve">inspect any property or thing concerning which any question may arise. </w:t>
      </w:r>
      <w:r w:rsidR="006F30C4">
        <w:rPr>
          <w:rFonts w:ascii="Times New Roman" w:hAnsi="Times New Roman" w:cs="Times New Roman"/>
          <w:sz w:val="24"/>
          <w:szCs w:val="24"/>
        </w:rPr>
        <w:t xml:space="preserve">Although this provision is invoked mainly for purposes of receiving </w:t>
      </w:r>
      <w:r w:rsidR="006F30C4" w:rsidRPr="00723491">
        <w:rPr>
          <w:rFonts w:ascii="Times New Roman" w:hAnsi="Times New Roman" w:cs="Times New Roman"/>
          <w:sz w:val="24"/>
          <w:szCs w:val="24"/>
        </w:rPr>
        <w:t xml:space="preserve">immovable </w:t>
      </w:r>
      <w:r w:rsidR="006F30C4">
        <w:rPr>
          <w:rFonts w:ascii="Times New Roman" w:hAnsi="Times New Roman" w:cs="Times New Roman"/>
          <w:sz w:val="24"/>
          <w:szCs w:val="24"/>
        </w:rPr>
        <w:t>items</w:t>
      </w:r>
      <w:r w:rsidR="006F30C4" w:rsidRPr="00723491">
        <w:rPr>
          <w:rFonts w:ascii="Times New Roman" w:hAnsi="Times New Roman" w:cs="Times New Roman"/>
          <w:sz w:val="24"/>
          <w:szCs w:val="24"/>
        </w:rPr>
        <w:t xml:space="preserve"> as exhibit</w:t>
      </w:r>
      <w:r w:rsidR="006F30C4">
        <w:rPr>
          <w:rFonts w:ascii="Times New Roman" w:hAnsi="Times New Roman" w:cs="Times New Roman"/>
          <w:sz w:val="24"/>
          <w:szCs w:val="24"/>
        </w:rPr>
        <w:t>s, it</w:t>
      </w:r>
      <w:r w:rsidR="006F30C4" w:rsidRPr="00362B60">
        <w:rPr>
          <w:rFonts w:ascii="Times New Roman" w:hAnsi="Times New Roman" w:cs="Times New Roman"/>
          <w:sz w:val="24"/>
          <w:szCs w:val="24"/>
        </w:rPr>
        <w:t xml:space="preserve"> </w:t>
      </w:r>
      <w:r w:rsidR="006F30C4">
        <w:rPr>
          <w:rFonts w:ascii="Times New Roman" w:hAnsi="Times New Roman" w:cs="Times New Roman"/>
          <w:sz w:val="24"/>
          <w:szCs w:val="24"/>
        </w:rPr>
        <w:t xml:space="preserve">includes </w:t>
      </w:r>
      <w:r w:rsidR="006F30C4" w:rsidRPr="00362B60">
        <w:rPr>
          <w:rFonts w:ascii="Times New Roman" w:hAnsi="Times New Roman" w:cs="Times New Roman"/>
          <w:sz w:val="24"/>
          <w:szCs w:val="24"/>
        </w:rPr>
        <w:t xml:space="preserve">inspection of the </w:t>
      </w:r>
      <w:r w:rsidR="006F30C4" w:rsidRPr="00FC2A18">
        <w:rPr>
          <w:rFonts w:ascii="Times New Roman" w:hAnsi="Times New Roman" w:cs="Times New Roman"/>
          <w:i/>
          <w:sz w:val="24"/>
          <w:szCs w:val="24"/>
        </w:rPr>
        <w:t>locus in quo</w:t>
      </w:r>
      <w:r w:rsidR="006F30C4">
        <w:rPr>
          <w:rFonts w:ascii="Times New Roman" w:hAnsi="Times New Roman" w:cs="Times New Roman"/>
          <w:i/>
          <w:sz w:val="24"/>
          <w:szCs w:val="24"/>
        </w:rPr>
        <w:t xml:space="preserve">. </w:t>
      </w:r>
      <w:r w:rsidR="006F30C4" w:rsidRPr="00362B60">
        <w:rPr>
          <w:rFonts w:ascii="Times New Roman" w:hAnsi="Times New Roman" w:cs="Times New Roman"/>
          <w:sz w:val="24"/>
          <w:szCs w:val="24"/>
        </w:rPr>
        <w:t xml:space="preserve"> </w:t>
      </w:r>
      <w:r w:rsidR="006F30C4">
        <w:rPr>
          <w:rFonts w:ascii="Times New Roman" w:hAnsi="Times New Roman" w:cs="Times New Roman"/>
          <w:sz w:val="24"/>
          <w:szCs w:val="24"/>
        </w:rPr>
        <w:t xml:space="preserve">The purpose of and manner in which proceedings at the locus in quo should be conducted has been the subject of numerous decisions among which are; </w:t>
      </w:r>
      <w:r w:rsidR="006F30C4" w:rsidRPr="00540F8A">
        <w:rPr>
          <w:rStyle w:val="Emphasis"/>
          <w:rFonts w:ascii="Times New Roman" w:hAnsi="Times New Roman" w:cs="Times New Roman"/>
          <w:bCs/>
          <w:sz w:val="24"/>
          <w:szCs w:val="24"/>
        </w:rPr>
        <w:t xml:space="preserve">Fernandes </w:t>
      </w:r>
      <w:r w:rsidR="006F30C4">
        <w:rPr>
          <w:rStyle w:val="Emphasis"/>
          <w:rFonts w:ascii="Times New Roman" w:hAnsi="Times New Roman" w:cs="Times New Roman"/>
          <w:bCs/>
          <w:sz w:val="24"/>
          <w:szCs w:val="24"/>
        </w:rPr>
        <w:t>v</w:t>
      </w:r>
      <w:r w:rsidR="006F30C4" w:rsidRPr="00540F8A">
        <w:rPr>
          <w:rStyle w:val="Emphasis"/>
          <w:rFonts w:ascii="Times New Roman" w:hAnsi="Times New Roman" w:cs="Times New Roman"/>
          <w:bCs/>
          <w:sz w:val="24"/>
          <w:szCs w:val="24"/>
        </w:rPr>
        <w:t xml:space="preserve"> Noroniha [1969] EA 506, De Souza v Uganda [1967] EA 784, Yeseri Waibi v Edisa Byandala [1982] HCB 28</w:t>
      </w:r>
      <w:r w:rsidR="006F30C4" w:rsidRPr="00540F8A">
        <w:rPr>
          <w:rFonts w:ascii="Times New Roman" w:hAnsi="Times New Roman" w:cs="Times New Roman"/>
          <w:sz w:val="24"/>
          <w:szCs w:val="24"/>
        </w:rPr>
        <w:t xml:space="preserve"> and </w:t>
      </w:r>
      <w:r w:rsidR="006F30C4" w:rsidRPr="00540F8A">
        <w:rPr>
          <w:rStyle w:val="Emphasis"/>
          <w:rFonts w:ascii="Times New Roman" w:hAnsi="Times New Roman" w:cs="Times New Roman"/>
          <w:bCs/>
          <w:sz w:val="24"/>
          <w:szCs w:val="24"/>
        </w:rPr>
        <w:t>Nsibambi v Nankya [1980] HCB 81</w:t>
      </w:r>
      <w:r w:rsidR="006F30C4">
        <w:rPr>
          <w:rStyle w:val="Emphasis"/>
          <w:rFonts w:ascii="Times New Roman" w:hAnsi="Times New Roman" w:cs="Times New Roman"/>
          <w:bCs/>
          <w:sz w:val="24"/>
          <w:szCs w:val="24"/>
        </w:rPr>
        <w:t>,</w:t>
      </w:r>
      <w:r w:rsidR="006F30C4">
        <w:t xml:space="preserve"> </w:t>
      </w:r>
      <w:r w:rsidR="006F30C4" w:rsidRPr="00540F8A">
        <w:rPr>
          <w:rFonts w:ascii="Times New Roman" w:hAnsi="Times New Roman" w:cs="Times New Roman"/>
          <w:sz w:val="24"/>
          <w:szCs w:val="24"/>
        </w:rPr>
        <w:t xml:space="preserve">in </w:t>
      </w:r>
      <w:r w:rsidR="006F30C4">
        <w:rPr>
          <w:rFonts w:ascii="Times New Roman" w:hAnsi="Times New Roman" w:cs="Times New Roman"/>
          <w:sz w:val="24"/>
          <w:szCs w:val="24"/>
        </w:rPr>
        <w:t>all of which cases the principle</w:t>
      </w:r>
      <w:r w:rsidR="006F30C4" w:rsidRPr="00540F8A">
        <w:rPr>
          <w:rFonts w:ascii="Times New Roman" w:hAnsi="Times New Roman" w:cs="Times New Roman"/>
          <w:sz w:val="24"/>
          <w:szCs w:val="24"/>
        </w:rPr>
        <w:t xml:space="preserve"> </w:t>
      </w:r>
      <w:r w:rsidR="006F30C4">
        <w:rPr>
          <w:rFonts w:ascii="Times New Roman" w:hAnsi="Times New Roman" w:cs="Times New Roman"/>
          <w:sz w:val="24"/>
          <w:szCs w:val="24"/>
        </w:rPr>
        <w:t>has been restated</w:t>
      </w:r>
      <w:r w:rsidR="006F30C4" w:rsidRPr="00540F8A">
        <w:rPr>
          <w:rFonts w:ascii="Times New Roman" w:hAnsi="Times New Roman" w:cs="Times New Roman"/>
          <w:sz w:val="24"/>
          <w:szCs w:val="24"/>
        </w:rPr>
        <w:t xml:space="preserve"> </w:t>
      </w:r>
      <w:r w:rsidR="006F30C4">
        <w:rPr>
          <w:rFonts w:ascii="Times New Roman" w:hAnsi="Times New Roman" w:cs="Times New Roman"/>
          <w:sz w:val="24"/>
          <w:szCs w:val="24"/>
        </w:rPr>
        <w:t xml:space="preserve">over and over again that </w:t>
      </w:r>
      <w:r w:rsidR="006F30C4" w:rsidRPr="00540F8A">
        <w:rPr>
          <w:rFonts w:ascii="Times New Roman" w:hAnsi="Times New Roman" w:cs="Times New Roman"/>
          <w:sz w:val="24"/>
          <w:szCs w:val="24"/>
        </w:rPr>
        <w:t xml:space="preserve">the practice of visiting the </w:t>
      </w:r>
      <w:r w:rsidR="006F30C4" w:rsidRPr="004A7CF5">
        <w:rPr>
          <w:rFonts w:ascii="Times New Roman" w:hAnsi="Times New Roman" w:cs="Times New Roman"/>
          <w:i/>
          <w:sz w:val="24"/>
          <w:szCs w:val="24"/>
        </w:rPr>
        <w:t>locus in quo</w:t>
      </w:r>
      <w:r w:rsidR="006F30C4"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6F30C4">
        <w:rPr>
          <w:rFonts w:ascii="Times New Roman" w:hAnsi="Times New Roman" w:cs="Times New Roman"/>
          <w:sz w:val="24"/>
          <w:szCs w:val="24"/>
        </w:rPr>
        <w:t>turning</w:t>
      </w:r>
      <w:r w:rsidR="006F30C4" w:rsidRPr="00540F8A">
        <w:rPr>
          <w:rFonts w:ascii="Times New Roman" w:hAnsi="Times New Roman" w:cs="Times New Roman"/>
          <w:sz w:val="24"/>
          <w:szCs w:val="24"/>
        </w:rPr>
        <w:t xml:space="preserve"> itself a witness in the case.  This was more particularly explained in </w:t>
      </w:r>
      <w:r w:rsidR="006F30C4" w:rsidRPr="00540F8A">
        <w:rPr>
          <w:rStyle w:val="Emphasis"/>
          <w:rFonts w:ascii="Times New Roman" w:hAnsi="Times New Roman" w:cs="Times New Roman"/>
          <w:bCs/>
          <w:sz w:val="24"/>
          <w:szCs w:val="24"/>
        </w:rPr>
        <w:t>David Acar and three others v Alfred Acar Aliro [1982] HCB 60</w:t>
      </w:r>
      <w:r w:rsidR="006F30C4" w:rsidRPr="00540F8A">
        <w:rPr>
          <w:rFonts w:ascii="Times New Roman" w:hAnsi="Times New Roman" w:cs="Times New Roman"/>
          <w:sz w:val="24"/>
          <w:szCs w:val="24"/>
        </w:rPr>
        <w:t>, where it was observed that:-</w:t>
      </w:r>
    </w:p>
    <w:p w:rsidR="006F30C4" w:rsidRPr="00540F8A"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pStyle w:val="NormalWeb"/>
        <w:spacing w:before="0" w:beforeAutospacing="0" w:after="0" w:afterAutospacing="0"/>
        <w:ind w:left="576" w:right="576"/>
        <w:jc w:val="both"/>
        <w:rPr>
          <w:i/>
        </w:rPr>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Pr>
          <w:rStyle w:val="Emphasis"/>
          <w:i w:val="0"/>
        </w:rPr>
        <w:t xml:space="preserve"> </w:t>
      </w:r>
      <w:r w:rsidRPr="00540F8A">
        <w:rPr>
          <w:rStyle w:val="Emphasis"/>
          <w:i w:val="0"/>
        </w:rPr>
        <w:t>/</w:t>
      </w:r>
      <w:r>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Pr>
          <w:i/>
        </w:rPr>
        <w:t>.</w:t>
      </w:r>
    </w:p>
    <w:p w:rsidR="006F30C4" w:rsidRPr="00D73662" w:rsidRDefault="006F30C4" w:rsidP="006F30C4">
      <w:pPr>
        <w:pStyle w:val="NormalWeb"/>
        <w:spacing w:before="0" w:beforeAutospacing="0" w:after="0" w:afterAutospacing="0"/>
        <w:ind w:left="576" w:right="576"/>
        <w:jc w:val="both"/>
      </w:pPr>
    </w:p>
    <w:p w:rsidR="006F30C4" w:rsidRPr="00E03DE4" w:rsidRDefault="006F30C4" w:rsidP="006F30C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procedures to be followed upon the trial court’s visit to a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sidRPr="00E03DE4">
        <w:rPr>
          <w:rFonts w:ascii="Times New Roman" w:eastAsia="Times New Roman" w:hAnsi="Times New Roman" w:cs="Times New Roman"/>
          <w:sz w:val="24"/>
          <w:szCs w:val="24"/>
        </w:rPr>
        <w:t xml:space="preserve">, para 3, </w:t>
      </w:r>
      <w:r>
        <w:rPr>
          <w:rFonts w:ascii="Times New Roman" w:eastAsia="Times New Roman" w:hAnsi="Times New Roman" w:cs="Times New Roman"/>
          <w:sz w:val="24"/>
          <w:szCs w:val="24"/>
        </w:rPr>
        <w:t>as follows; -</w:t>
      </w:r>
      <w:r w:rsidRPr="00E03DE4">
        <w:rPr>
          <w:rFonts w:ascii="Times New Roman" w:eastAsia="Times New Roman" w:hAnsi="Times New Roman" w:cs="Times New Roman"/>
          <w:sz w:val="24"/>
          <w:szCs w:val="24"/>
        </w:rPr>
        <w:t> </w:t>
      </w:r>
    </w:p>
    <w:p w:rsidR="006F30C4" w:rsidRPr="00E03DE4" w:rsidRDefault="006F30C4" w:rsidP="006F30C4">
      <w:pPr>
        <w:numPr>
          <w:ilvl w:val="0"/>
          <w:numId w:val="9"/>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Ensure that all the parties, their witnesses, and advocates (if any) are present.</w:t>
      </w:r>
    </w:p>
    <w:p w:rsidR="006F30C4" w:rsidRPr="00E03DE4" w:rsidRDefault="006F30C4" w:rsidP="006F30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6F30C4" w:rsidRPr="00E03DE4" w:rsidRDefault="006F30C4" w:rsidP="006F30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6F30C4" w:rsidRPr="00E03DE4" w:rsidRDefault="006F30C4" w:rsidP="006F30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6F30C4" w:rsidRPr="00E03DE4" w:rsidRDefault="006F30C4" w:rsidP="006F30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6F30C4" w:rsidRDefault="006F30C4" w:rsidP="006F30C4">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The determination of whether or not a court should inspect the locus in quo is an exercise of discretion of the magistrate which depends on the circumstances of each case. That decision essentially rests on the need for enabling the magistrate to understand</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or her during the testimony of witnesses in court. It </w:t>
      </w:r>
      <w:r w:rsidRPr="00723491">
        <w:rPr>
          <w:rFonts w:ascii="Times New Roman" w:hAnsi="Times New Roman" w:cs="Times New Roman"/>
          <w:sz w:val="24"/>
          <w:szCs w:val="24"/>
        </w:rPr>
        <w:t xml:space="preserve">may </w:t>
      </w:r>
      <w:r>
        <w:rPr>
          <w:rFonts w:ascii="Times New Roman" w:hAnsi="Times New Roman" w:cs="Times New Roman"/>
          <w:sz w:val="24"/>
          <w:szCs w:val="24"/>
        </w:rPr>
        <w:t xml:space="preserve">also be for purposes of </w:t>
      </w:r>
      <w:r w:rsidRPr="00723491">
        <w:rPr>
          <w:rFonts w:ascii="Times New Roman" w:hAnsi="Times New Roman" w:cs="Times New Roman"/>
          <w:sz w:val="24"/>
          <w:szCs w:val="24"/>
        </w:rPr>
        <w:t>enabling the magistrate to make up his or her mind on disputed points raised as to something to be seen there.</w:t>
      </w:r>
      <w:r>
        <w:rPr>
          <w:rFonts w:ascii="Times New Roman" w:hAnsi="Times New Roman" w:cs="Times New Roman"/>
          <w:sz w:val="24"/>
          <w:szCs w:val="24"/>
        </w:rPr>
        <w:t xml:space="preserve"> 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suits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visits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trial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The visit is intended to</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harness the physical aspects of the evidence in </w:t>
      </w:r>
      <w:r w:rsidRPr="00756797">
        <w:rPr>
          <w:rStyle w:val="Emphasis"/>
          <w:rFonts w:ascii="Times New Roman" w:hAnsi="Times New Roman" w:cs="Times New Roman"/>
          <w:i w:val="0"/>
          <w:iCs w:val="0"/>
          <w:sz w:val="24"/>
          <w:szCs w:val="24"/>
        </w:rPr>
        <w:t>convey</w:t>
      </w:r>
      <w:r>
        <w:rPr>
          <w:rStyle w:val="Emphasis"/>
          <w:rFonts w:ascii="Times New Roman" w:hAnsi="Times New Roman" w:cs="Times New Roman"/>
          <w:i w:val="0"/>
          <w:iCs w:val="0"/>
          <w:sz w:val="24"/>
          <w:szCs w:val="24"/>
        </w:rPr>
        <w:t>ing</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and enhancing </w:t>
      </w:r>
      <w:r w:rsidRPr="00756797">
        <w:rPr>
          <w:rStyle w:val="Emphasis"/>
          <w:rFonts w:ascii="Times New Roman" w:hAnsi="Times New Roman" w:cs="Times New Roman"/>
          <w:i w:val="0"/>
          <w:iCs w:val="0"/>
          <w:sz w:val="24"/>
          <w:szCs w:val="24"/>
        </w:rPr>
        <w:t>the meaning</w:t>
      </w:r>
      <w:r>
        <w:rPr>
          <w:rStyle w:val="Emphasis"/>
          <w:rFonts w:ascii="Times New Roman" w:hAnsi="Times New Roman" w:cs="Times New Roman"/>
          <w:i w:val="0"/>
          <w:iCs w:val="0"/>
          <w:sz w:val="24"/>
          <w:szCs w:val="24"/>
        </w:rPr>
        <w:t xml:space="preserve"> of the oral testimony.  </w:t>
      </w:r>
    </w:p>
    <w:p w:rsidR="006F30C4" w:rsidRDefault="006F30C4" w:rsidP="006F30C4">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4D71B2" w:rsidRDefault="006F30C4" w:rsidP="004D71B2">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 xml:space="preserve">Upon examination of the record of appeal, it is evident that during the visit to the </w:t>
      </w:r>
      <w:r w:rsidRPr="00E95A82">
        <w:rPr>
          <w:rStyle w:val="Emphasis"/>
          <w:rFonts w:ascii="Times New Roman" w:hAnsi="Times New Roman" w:cs="Times New Roman"/>
          <w:iCs w:val="0"/>
          <w:sz w:val="24"/>
          <w:szCs w:val="24"/>
        </w:rPr>
        <w:t>locus in quo</w:t>
      </w:r>
      <w:r>
        <w:rPr>
          <w:rStyle w:val="Emphasis"/>
          <w:rFonts w:ascii="Times New Roman" w:hAnsi="Times New Roman" w:cs="Times New Roman"/>
          <w:iCs w:val="0"/>
          <w:sz w:val="24"/>
          <w:szCs w:val="24"/>
        </w:rPr>
        <w:t xml:space="preserve">, </w:t>
      </w:r>
      <w:r w:rsidRPr="00681482">
        <w:rPr>
          <w:rStyle w:val="Emphasis"/>
          <w:rFonts w:ascii="Times New Roman" w:hAnsi="Times New Roman" w:cs="Times New Roman"/>
          <w:i w:val="0"/>
          <w:iCs w:val="0"/>
          <w:sz w:val="24"/>
          <w:szCs w:val="24"/>
        </w:rPr>
        <w:t xml:space="preserve">the </w:t>
      </w:r>
      <w:r>
        <w:rPr>
          <w:rStyle w:val="Emphasis"/>
          <w:rFonts w:ascii="Times New Roman" w:hAnsi="Times New Roman" w:cs="Times New Roman"/>
          <w:i w:val="0"/>
          <w:iCs w:val="0"/>
          <w:sz w:val="24"/>
          <w:szCs w:val="24"/>
        </w:rPr>
        <w:t xml:space="preserve">trial magistrate </w:t>
      </w:r>
      <w:r w:rsidR="004D71B2">
        <w:rPr>
          <w:rStyle w:val="Emphasis"/>
          <w:rFonts w:ascii="Times New Roman" w:hAnsi="Times New Roman" w:cs="Times New Roman"/>
          <w:i w:val="0"/>
          <w:iCs w:val="0"/>
          <w:sz w:val="24"/>
          <w:szCs w:val="24"/>
        </w:rPr>
        <w:t xml:space="preserve">prepared a </w:t>
      </w:r>
      <w:r>
        <w:rPr>
          <w:rStyle w:val="Emphasis"/>
          <w:rFonts w:ascii="Times New Roman" w:hAnsi="Times New Roman" w:cs="Times New Roman"/>
          <w:i w:val="0"/>
          <w:iCs w:val="0"/>
          <w:sz w:val="24"/>
          <w:szCs w:val="24"/>
        </w:rPr>
        <w:t xml:space="preserve">sketch map </w:t>
      </w:r>
      <w:r w:rsidR="004D71B2">
        <w:rPr>
          <w:rStyle w:val="Emphasis"/>
          <w:rFonts w:ascii="Times New Roman" w:hAnsi="Times New Roman" w:cs="Times New Roman"/>
          <w:i w:val="0"/>
          <w:iCs w:val="0"/>
          <w:sz w:val="24"/>
          <w:szCs w:val="24"/>
        </w:rPr>
        <w:t xml:space="preserve">which indicates the features the court found on the land. These included an excavated foundation for construction of a building, banana plants, trees and a footpath. He also recorded some features on the adjacent pieces of land including a road, a house, another foundation and eucalyptus trees. I do not find any basis for counsel’s contention that there were coffee trees on the land. This is </w:t>
      </w:r>
      <w:r w:rsidR="003C2456">
        <w:rPr>
          <w:rStyle w:val="Emphasis"/>
          <w:rFonts w:ascii="Times New Roman" w:hAnsi="Times New Roman" w:cs="Times New Roman"/>
          <w:i w:val="0"/>
          <w:iCs w:val="0"/>
          <w:sz w:val="24"/>
          <w:szCs w:val="24"/>
        </w:rPr>
        <w:t>contrary</w:t>
      </w:r>
      <w:r w:rsidR="004D71B2">
        <w:rPr>
          <w:rStyle w:val="Emphasis"/>
          <w:rFonts w:ascii="Times New Roman" w:hAnsi="Times New Roman" w:cs="Times New Roman"/>
          <w:i w:val="0"/>
          <w:iCs w:val="0"/>
          <w:sz w:val="24"/>
          <w:szCs w:val="24"/>
        </w:rPr>
        <w:t xml:space="preserve"> to the features </w:t>
      </w:r>
      <w:r w:rsidR="003C2456">
        <w:rPr>
          <w:rStyle w:val="Emphasis"/>
          <w:rFonts w:ascii="Times New Roman" w:hAnsi="Times New Roman" w:cs="Times New Roman"/>
          <w:i w:val="0"/>
          <w:iCs w:val="0"/>
          <w:sz w:val="24"/>
          <w:szCs w:val="24"/>
        </w:rPr>
        <w:t xml:space="preserve">indicated </w:t>
      </w:r>
      <w:r w:rsidR="004D71B2">
        <w:rPr>
          <w:rStyle w:val="Emphasis"/>
          <w:rFonts w:ascii="Times New Roman" w:hAnsi="Times New Roman" w:cs="Times New Roman"/>
          <w:i w:val="0"/>
          <w:iCs w:val="0"/>
          <w:sz w:val="24"/>
          <w:szCs w:val="24"/>
        </w:rPr>
        <w:t xml:space="preserve">on the sketch map. I do not see any reason why the trial magistrate </w:t>
      </w:r>
      <w:r w:rsidR="003C2456">
        <w:rPr>
          <w:rStyle w:val="Emphasis"/>
          <w:rFonts w:ascii="Times New Roman" w:hAnsi="Times New Roman" w:cs="Times New Roman"/>
          <w:i w:val="0"/>
          <w:iCs w:val="0"/>
          <w:sz w:val="24"/>
          <w:szCs w:val="24"/>
        </w:rPr>
        <w:t xml:space="preserve">would </w:t>
      </w:r>
      <w:r w:rsidR="004D71B2">
        <w:rPr>
          <w:rStyle w:val="Emphasis"/>
          <w:rFonts w:ascii="Times New Roman" w:hAnsi="Times New Roman" w:cs="Times New Roman"/>
          <w:i w:val="0"/>
          <w:iCs w:val="0"/>
          <w:sz w:val="24"/>
          <w:szCs w:val="24"/>
        </w:rPr>
        <w:t xml:space="preserve">omit the coffee trees </w:t>
      </w:r>
      <w:r w:rsidR="003C2456">
        <w:rPr>
          <w:rStyle w:val="Emphasis"/>
          <w:rFonts w:ascii="Times New Roman" w:hAnsi="Times New Roman" w:cs="Times New Roman"/>
          <w:i w:val="0"/>
          <w:iCs w:val="0"/>
          <w:sz w:val="24"/>
          <w:szCs w:val="24"/>
        </w:rPr>
        <w:t xml:space="preserve">from the sketch map </w:t>
      </w:r>
      <w:r w:rsidR="004D71B2">
        <w:rPr>
          <w:rStyle w:val="Emphasis"/>
          <w:rFonts w:ascii="Times New Roman" w:hAnsi="Times New Roman" w:cs="Times New Roman"/>
          <w:i w:val="0"/>
          <w:iCs w:val="0"/>
          <w:sz w:val="24"/>
          <w:szCs w:val="24"/>
        </w:rPr>
        <w:t xml:space="preserve">if they existed at all. I am inclined to believe that they were not indicated on the sketch map only because they did not exist on the land. This is corroborated by the testimony of </w:t>
      </w:r>
      <w:r w:rsidR="004D71B2">
        <w:rPr>
          <w:rFonts w:ascii="Times New Roman" w:hAnsi="Times New Roman" w:cs="Times New Roman"/>
          <w:sz w:val="24"/>
          <w:szCs w:val="24"/>
        </w:rPr>
        <w:t xml:space="preserve">P.W.2 Adule Simon who testified </w:t>
      </w:r>
      <w:r w:rsidR="003C2456">
        <w:rPr>
          <w:rFonts w:ascii="Times New Roman" w:hAnsi="Times New Roman" w:cs="Times New Roman"/>
          <w:sz w:val="24"/>
          <w:szCs w:val="24"/>
        </w:rPr>
        <w:t xml:space="preserve">that </w:t>
      </w:r>
      <w:r w:rsidR="004D71B2">
        <w:rPr>
          <w:rFonts w:ascii="Times New Roman" w:hAnsi="Times New Roman" w:cs="Times New Roman"/>
          <w:sz w:val="24"/>
          <w:szCs w:val="24"/>
        </w:rPr>
        <w:t xml:space="preserve">because of the dispute which broke out between the parties in the </w:t>
      </w:r>
      <w:r w:rsidR="004D71B2">
        <w:rPr>
          <w:rFonts w:ascii="Times New Roman" w:hAnsi="Times New Roman" w:cs="Times New Roman"/>
          <w:sz w:val="24"/>
          <w:szCs w:val="24"/>
        </w:rPr>
        <w:lastRenderedPageBreak/>
        <w:t>year 2002, the L.C.III stopped the appellant from weeding the coffee trees as a result of which they withered away.</w:t>
      </w:r>
      <w:r w:rsidR="004D71B2" w:rsidRPr="004D71B2">
        <w:rPr>
          <w:rFonts w:ascii="Times New Roman" w:hAnsi="Times New Roman" w:cs="Times New Roman"/>
          <w:sz w:val="24"/>
          <w:szCs w:val="24"/>
        </w:rPr>
        <w:t xml:space="preserve"> </w:t>
      </w:r>
      <w:r w:rsidR="004D71B2">
        <w:rPr>
          <w:rFonts w:ascii="Times New Roman" w:hAnsi="Times New Roman" w:cs="Times New Roman"/>
          <w:sz w:val="24"/>
          <w:szCs w:val="24"/>
        </w:rPr>
        <w:t xml:space="preserve">The court visited the </w:t>
      </w:r>
      <w:r w:rsidR="004D71B2" w:rsidRPr="00572A06">
        <w:rPr>
          <w:rFonts w:ascii="Times New Roman" w:hAnsi="Times New Roman" w:cs="Times New Roman"/>
          <w:i/>
          <w:sz w:val="24"/>
          <w:szCs w:val="24"/>
        </w:rPr>
        <w:t>locus in quo</w:t>
      </w:r>
      <w:r w:rsidR="004D71B2">
        <w:rPr>
          <w:rFonts w:ascii="Times New Roman" w:hAnsi="Times New Roman" w:cs="Times New Roman"/>
          <w:sz w:val="24"/>
          <w:szCs w:val="24"/>
        </w:rPr>
        <w:t xml:space="preserve"> on 7</w:t>
      </w:r>
      <w:r w:rsidR="004D71B2" w:rsidRPr="005F3D66">
        <w:rPr>
          <w:rFonts w:ascii="Times New Roman" w:hAnsi="Times New Roman" w:cs="Times New Roman"/>
          <w:sz w:val="24"/>
          <w:szCs w:val="24"/>
          <w:vertAlign w:val="superscript"/>
        </w:rPr>
        <w:t>th</w:t>
      </w:r>
      <w:r w:rsidR="004D71B2">
        <w:rPr>
          <w:rFonts w:ascii="Times New Roman" w:hAnsi="Times New Roman" w:cs="Times New Roman"/>
          <w:sz w:val="24"/>
          <w:szCs w:val="24"/>
        </w:rPr>
        <w:t xml:space="preserve"> December 2010, eight years after the appellant had been stopped from weeding the coffee trees, </w:t>
      </w:r>
      <w:r w:rsidR="003C2456">
        <w:rPr>
          <w:rFonts w:ascii="Times New Roman" w:hAnsi="Times New Roman" w:cs="Times New Roman"/>
          <w:sz w:val="24"/>
          <w:szCs w:val="24"/>
        </w:rPr>
        <w:t>and it</w:t>
      </w:r>
      <w:r w:rsidR="004D71B2">
        <w:rPr>
          <w:rFonts w:ascii="Times New Roman" w:hAnsi="Times New Roman" w:cs="Times New Roman"/>
          <w:sz w:val="24"/>
          <w:szCs w:val="24"/>
        </w:rPr>
        <w:t xml:space="preserve"> is not surprising that the court did not find any evidence of these trees so as to indicate them on the sketch map. This argument therefore is, with due respect, misconceived.</w:t>
      </w:r>
    </w:p>
    <w:p w:rsidR="004D71B2" w:rsidRDefault="004D71B2" w:rsidP="004D71B2">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6F30C4" w:rsidRPr="00D97AE7" w:rsidRDefault="004D71B2" w:rsidP="006F30C4">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However, I have noted that while at the </w:t>
      </w:r>
      <w:r w:rsidRPr="00D97AE7">
        <w:rPr>
          <w:rStyle w:val="Emphasis"/>
          <w:rFonts w:ascii="Times New Roman" w:hAnsi="Times New Roman" w:cs="Times New Roman"/>
          <w:iCs w:val="0"/>
          <w:sz w:val="24"/>
          <w:szCs w:val="24"/>
        </w:rPr>
        <w:t>locus in quo</w:t>
      </w:r>
      <w:r>
        <w:rPr>
          <w:rStyle w:val="Emphasis"/>
          <w:rFonts w:ascii="Times New Roman" w:hAnsi="Times New Roman" w:cs="Times New Roman"/>
          <w:i w:val="0"/>
          <w:iCs w:val="0"/>
          <w:sz w:val="24"/>
          <w:szCs w:val="24"/>
        </w:rPr>
        <w:t xml:space="preserve">, the trial magistrate recorded evidence from three </w:t>
      </w:r>
      <w:r w:rsidR="00D97AE7">
        <w:rPr>
          <w:rStyle w:val="Emphasis"/>
          <w:rFonts w:ascii="Times New Roman" w:hAnsi="Times New Roman" w:cs="Times New Roman"/>
          <w:i w:val="0"/>
          <w:iCs w:val="0"/>
          <w:sz w:val="24"/>
          <w:szCs w:val="24"/>
        </w:rPr>
        <w:t>persons</w:t>
      </w:r>
      <w:r>
        <w:rPr>
          <w:rStyle w:val="Emphasis"/>
          <w:rFonts w:ascii="Times New Roman" w:hAnsi="Times New Roman" w:cs="Times New Roman"/>
          <w:i w:val="0"/>
          <w:iCs w:val="0"/>
          <w:sz w:val="24"/>
          <w:szCs w:val="24"/>
        </w:rPr>
        <w:t xml:space="preserve"> who had not testified in court. These were; </w:t>
      </w:r>
      <w:r w:rsidR="003C2456">
        <w:rPr>
          <w:rFonts w:ascii="Times New Roman" w:hAnsi="Times New Roman" w:cs="Times New Roman"/>
          <w:sz w:val="24"/>
          <w:szCs w:val="24"/>
        </w:rPr>
        <w:t xml:space="preserve">the L.C.I Chairman Mr. Atia Mark, Mr. Okonzi Edward and Ms. Drakuru Lydia. </w:t>
      </w:r>
      <w:r w:rsidR="006F30C4">
        <w:rPr>
          <w:rStyle w:val="Emphasis"/>
          <w:rFonts w:ascii="Times New Roman" w:hAnsi="Times New Roman" w:cs="Times New Roman"/>
          <w:i w:val="0"/>
          <w:iCs w:val="0"/>
          <w:sz w:val="24"/>
          <w:szCs w:val="24"/>
        </w:rPr>
        <w:t xml:space="preserve">There is no indication on record that allowance was made for the </w:t>
      </w:r>
      <w:r w:rsidR="006F30C4" w:rsidRPr="007665D6">
        <w:rPr>
          <w:rStyle w:val="Emphasis"/>
          <w:rFonts w:ascii="Times New Roman" w:hAnsi="Times New Roman" w:cs="Times New Roman"/>
          <w:i w:val="0"/>
          <w:iCs w:val="0"/>
          <w:sz w:val="24"/>
          <w:szCs w:val="24"/>
        </w:rPr>
        <w:t>parties to cross-examine any of the</w:t>
      </w:r>
      <w:r w:rsidR="003C2456">
        <w:rPr>
          <w:rStyle w:val="Emphasis"/>
          <w:rFonts w:ascii="Times New Roman" w:hAnsi="Times New Roman" w:cs="Times New Roman"/>
          <w:i w:val="0"/>
          <w:iCs w:val="0"/>
          <w:sz w:val="24"/>
          <w:szCs w:val="24"/>
        </w:rPr>
        <w:t>se</w:t>
      </w:r>
      <w:r w:rsidR="006F30C4" w:rsidRPr="007665D6">
        <w:rPr>
          <w:rStyle w:val="Emphasis"/>
          <w:rFonts w:ascii="Times New Roman" w:hAnsi="Times New Roman" w:cs="Times New Roman"/>
          <w:i w:val="0"/>
          <w:iCs w:val="0"/>
          <w:sz w:val="24"/>
          <w:szCs w:val="24"/>
        </w:rPr>
        <w:t xml:space="preserve"> witnesses </w:t>
      </w:r>
      <w:r w:rsidR="006F30C4" w:rsidRPr="007665D6">
        <w:rPr>
          <w:rFonts w:ascii="Times New Roman" w:hAnsi="Times New Roman" w:cs="Times New Roman"/>
          <w:sz w:val="24"/>
          <w:szCs w:val="24"/>
        </w:rPr>
        <w:t xml:space="preserve">yet </w:t>
      </w:r>
      <w:r w:rsidR="006F30C4">
        <w:rPr>
          <w:rStyle w:val="Emphasis"/>
          <w:rFonts w:ascii="Times New Roman" w:hAnsi="Times New Roman" w:cs="Times New Roman"/>
          <w:i w:val="0"/>
          <w:iCs w:val="0"/>
          <w:sz w:val="24"/>
          <w:szCs w:val="24"/>
        </w:rPr>
        <w:t>the</w:t>
      </w:r>
      <w:r w:rsidR="003C2456">
        <w:rPr>
          <w:rStyle w:val="Emphasis"/>
          <w:rFonts w:ascii="Times New Roman" w:hAnsi="Times New Roman" w:cs="Times New Roman"/>
          <w:i w:val="0"/>
          <w:iCs w:val="0"/>
          <w:sz w:val="24"/>
          <w:szCs w:val="24"/>
        </w:rPr>
        <w:t xml:space="preserve"> parties</w:t>
      </w:r>
      <w:r w:rsidR="006F30C4">
        <w:rPr>
          <w:rStyle w:val="Emphasis"/>
          <w:rFonts w:ascii="Times New Roman" w:hAnsi="Times New Roman" w:cs="Times New Roman"/>
          <w:i w:val="0"/>
          <w:iCs w:val="0"/>
          <w:sz w:val="24"/>
          <w:szCs w:val="24"/>
        </w:rPr>
        <w:t xml:space="preserve"> were</w:t>
      </w:r>
      <w:r w:rsidR="006F30C4" w:rsidRPr="007665D6">
        <w:rPr>
          <w:rStyle w:val="Emphasis"/>
          <w:rFonts w:ascii="Times New Roman" w:hAnsi="Times New Roman" w:cs="Times New Roman"/>
          <w:i w:val="0"/>
          <w:iCs w:val="0"/>
          <w:sz w:val="24"/>
          <w:szCs w:val="24"/>
        </w:rPr>
        <w:t xml:space="preserve"> entitled to have nothing stated against them in the judgment which was not stated on oath in their presence and which they </w:t>
      </w:r>
      <w:r w:rsidR="006F30C4">
        <w:rPr>
          <w:rStyle w:val="Emphasis"/>
          <w:rFonts w:ascii="Times New Roman" w:hAnsi="Times New Roman" w:cs="Times New Roman"/>
          <w:i w:val="0"/>
          <w:iCs w:val="0"/>
          <w:sz w:val="24"/>
          <w:szCs w:val="24"/>
        </w:rPr>
        <w:t>had</w:t>
      </w:r>
      <w:r w:rsidR="006F30C4" w:rsidRPr="007665D6">
        <w:rPr>
          <w:rStyle w:val="Emphasis"/>
          <w:rFonts w:ascii="Times New Roman" w:hAnsi="Times New Roman" w:cs="Times New Roman"/>
          <w:i w:val="0"/>
          <w:iCs w:val="0"/>
          <w:sz w:val="24"/>
          <w:szCs w:val="24"/>
        </w:rPr>
        <w:t xml:space="preserve"> opportunity of testing by cross-examination and of rebutting</w:t>
      </w:r>
      <w:r w:rsidR="006F30C4">
        <w:rPr>
          <w:rStyle w:val="Emphasis"/>
          <w:rFonts w:ascii="Times New Roman" w:hAnsi="Times New Roman" w:cs="Times New Roman"/>
          <w:i w:val="0"/>
          <w:iCs w:val="0"/>
          <w:sz w:val="24"/>
          <w:szCs w:val="24"/>
        </w:rPr>
        <w:t>.</w:t>
      </w:r>
      <w:r w:rsidR="006F30C4" w:rsidRPr="00BA198D">
        <w:rPr>
          <w:rStyle w:val="Emphasis"/>
          <w:rFonts w:ascii="Times New Roman" w:hAnsi="Times New Roman" w:cs="Times New Roman"/>
          <w:i w:val="0"/>
          <w:iCs w:val="0"/>
          <w:sz w:val="24"/>
          <w:szCs w:val="24"/>
        </w:rPr>
        <w:t xml:space="preserve"> </w:t>
      </w:r>
      <w:r w:rsidR="006F30C4">
        <w:rPr>
          <w:rStyle w:val="Emphasis"/>
          <w:rFonts w:ascii="Times New Roman" w:hAnsi="Times New Roman" w:cs="Times New Roman"/>
          <w:i w:val="0"/>
          <w:iCs w:val="0"/>
          <w:sz w:val="24"/>
          <w:szCs w:val="24"/>
        </w:rPr>
        <w:t>H</w:t>
      </w:r>
      <w:r w:rsidR="006F30C4" w:rsidRPr="00362B60">
        <w:rPr>
          <w:rStyle w:val="Emphasis"/>
          <w:rFonts w:ascii="Times New Roman" w:hAnsi="Times New Roman" w:cs="Times New Roman"/>
          <w:i w:val="0"/>
          <w:iCs w:val="0"/>
          <w:sz w:val="24"/>
          <w:szCs w:val="24"/>
        </w:rPr>
        <w:t xml:space="preserve">e </w:t>
      </w:r>
      <w:r w:rsidR="007D21D6">
        <w:rPr>
          <w:rStyle w:val="Emphasis"/>
          <w:rFonts w:ascii="Times New Roman" w:hAnsi="Times New Roman" w:cs="Times New Roman"/>
          <w:i w:val="0"/>
          <w:iCs w:val="0"/>
          <w:sz w:val="24"/>
          <w:szCs w:val="24"/>
        </w:rPr>
        <w:t xml:space="preserve">erroneously </w:t>
      </w:r>
      <w:r w:rsidR="006F30C4" w:rsidRPr="00362B60">
        <w:rPr>
          <w:rStyle w:val="Emphasis"/>
          <w:rFonts w:ascii="Times New Roman" w:hAnsi="Times New Roman" w:cs="Times New Roman"/>
          <w:i w:val="0"/>
          <w:iCs w:val="0"/>
          <w:sz w:val="24"/>
          <w:szCs w:val="24"/>
        </w:rPr>
        <w:t xml:space="preserve">imported </w:t>
      </w:r>
      <w:r w:rsidR="003C2456">
        <w:rPr>
          <w:rStyle w:val="Emphasis"/>
          <w:rFonts w:ascii="Times New Roman" w:hAnsi="Times New Roman" w:cs="Times New Roman"/>
          <w:i w:val="0"/>
          <w:iCs w:val="0"/>
          <w:sz w:val="24"/>
          <w:szCs w:val="24"/>
        </w:rPr>
        <w:t>this testimony into his judgment</w:t>
      </w:r>
      <w:r w:rsidR="006F30C4" w:rsidRPr="00362B60">
        <w:rPr>
          <w:rStyle w:val="Emphasis"/>
          <w:rFonts w:ascii="Times New Roman" w:hAnsi="Times New Roman" w:cs="Times New Roman"/>
          <w:i w:val="0"/>
          <w:iCs w:val="0"/>
          <w:sz w:val="24"/>
          <w:szCs w:val="24"/>
        </w:rPr>
        <w:t>.</w:t>
      </w:r>
      <w:r w:rsidR="00D97AE7" w:rsidRPr="00D97AE7">
        <w:t xml:space="preserve"> </w:t>
      </w:r>
      <w:r w:rsidR="00D97AE7" w:rsidRPr="00D97AE7">
        <w:rPr>
          <w:rStyle w:val="Emphasis"/>
          <w:rFonts w:ascii="Times New Roman" w:hAnsi="Times New Roman" w:cs="Times New Roman"/>
          <w:i w:val="0"/>
          <w:iCs w:val="0"/>
          <w:sz w:val="24"/>
          <w:szCs w:val="24"/>
        </w:rPr>
        <w:t xml:space="preserve">The practice of visiting the </w:t>
      </w:r>
      <w:r w:rsidR="00D97AE7" w:rsidRPr="00D97AE7">
        <w:rPr>
          <w:rStyle w:val="Emphasis"/>
          <w:rFonts w:ascii="Times New Roman" w:hAnsi="Times New Roman" w:cs="Times New Roman"/>
          <w:iCs w:val="0"/>
          <w:sz w:val="24"/>
          <w:szCs w:val="24"/>
        </w:rPr>
        <w:t>locus in quo</w:t>
      </w:r>
      <w:r w:rsidR="00D97AE7" w:rsidRPr="00D97AE7">
        <w:rPr>
          <w:rStyle w:val="Emphasis"/>
          <w:rFonts w:ascii="Times New Roman" w:hAnsi="Times New Roman" w:cs="Times New Roman"/>
          <w:i w:val="0"/>
          <w:iCs w:val="0"/>
          <w:sz w:val="24"/>
          <w:szCs w:val="24"/>
        </w:rPr>
        <w:t xml:space="preserve"> is </w:t>
      </w:r>
      <w:r w:rsidR="00D97AE7">
        <w:rPr>
          <w:rStyle w:val="Emphasis"/>
          <w:rFonts w:ascii="Times New Roman" w:hAnsi="Times New Roman" w:cs="Times New Roman"/>
          <w:i w:val="0"/>
          <w:iCs w:val="0"/>
          <w:sz w:val="24"/>
          <w:szCs w:val="24"/>
        </w:rPr>
        <w:t xml:space="preserve">intended </w:t>
      </w:r>
      <w:r w:rsidR="00D97AE7" w:rsidRPr="00D97AE7">
        <w:rPr>
          <w:rStyle w:val="Emphasis"/>
          <w:rFonts w:ascii="Times New Roman" w:hAnsi="Times New Roman" w:cs="Times New Roman"/>
          <w:i w:val="0"/>
          <w:iCs w:val="0"/>
          <w:sz w:val="24"/>
          <w:szCs w:val="24"/>
        </w:rPr>
        <w:t xml:space="preserve">to check on the evidence given by witnesses and not to fill gaps </w:t>
      </w:r>
      <w:r w:rsidR="00D97AE7">
        <w:rPr>
          <w:rStyle w:val="Emphasis"/>
          <w:rFonts w:ascii="Times New Roman" w:hAnsi="Times New Roman" w:cs="Times New Roman"/>
          <w:i w:val="0"/>
          <w:iCs w:val="0"/>
          <w:sz w:val="24"/>
          <w:szCs w:val="24"/>
        </w:rPr>
        <w:t xml:space="preserve">by calling upon persons who never testified in court to participate in the proceedings (see </w:t>
      </w:r>
      <w:r w:rsidR="00D97AE7" w:rsidRPr="00540F8A">
        <w:rPr>
          <w:rStyle w:val="Emphasis"/>
          <w:rFonts w:ascii="Times New Roman" w:hAnsi="Times New Roman" w:cs="Times New Roman"/>
          <w:bCs/>
          <w:sz w:val="24"/>
          <w:szCs w:val="24"/>
        </w:rPr>
        <w:t>Nsibambi v Nankya [1980] HCB 81</w:t>
      </w:r>
      <w:r w:rsidR="00D97AE7">
        <w:rPr>
          <w:rStyle w:val="Emphasis"/>
          <w:rFonts w:ascii="Times New Roman" w:hAnsi="Times New Roman" w:cs="Times New Roman"/>
          <w:bCs/>
          <w:i w:val="0"/>
          <w:sz w:val="24"/>
          <w:szCs w:val="24"/>
        </w:rPr>
        <w:t>).</w:t>
      </w:r>
    </w:p>
    <w:p w:rsidR="006F30C4" w:rsidRDefault="006F30C4" w:rsidP="006F30C4">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5314">
        <w:rPr>
          <w:rFonts w:ascii="Times New Roman" w:hAnsi="Times New Roman" w:cs="Times New Roman"/>
          <w:sz w:val="24"/>
          <w:szCs w:val="24"/>
        </w:rPr>
        <w:t xml:space="preserve">hen there is </w:t>
      </w:r>
      <w:r>
        <w:rPr>
          <w:rFonts w:ascii="Times New Roman" w:hAnsi="Times New Roman" w:cs="Times New Roman"/>
          <w:sz w:val="24"/>
          <w:szCs w:val="24"/>
        </w:rPr>
        <w:t xml:space="preserve">such </w:t>
      </w:r>
      <w:r w:rsidRPr="00905314">
        <w:rPr>
          <w:rFonts w:ascii="Times New Roman" w:hAnsi="Times New Roman" w:cs="Times New Roman"/>
          <w:sz w:val="24"/>
          <w:szCs w:val="24"/>
        </w:rPr>
        <w:t xml:space="preserve">a glaring </w:t>
      </w:r>
      <w:r>
        <w:rPr>
          <w:rFonts w:ascii="Times New Roman" w:hAnsi="Times New Roman" w:cs="Times New Roman"/>
          <w:sz w:val="24"/>
          <w:szCs w:val="24"/>
        </w:rPr>
        <w:t>procedural</w:t>
      </w:r>
      <w:r w:rsidRPr="00905314">
        <w:rPr>
          <w:rFonts w:ascii="Times New Roman" w:hAnsi="Times New Roman" w:cs="Times New Roman"/>
          <w:sz w:val="24"/>
          <w:szCs w:val="24"/>
        </w:rPr>
        <w:t xml:space="preserve"> defect of a serious nature </w:t>
      </w:r>
      <w:r>
        <w:rPr>
          <w:rFonts w:ascii="Times New Roman" w:hAnsi="Times New Roman" w:cs="Times New Roman"/>
          <w:sz w:val="24"/>
          <w:szCs w:val="24"/>
        </w:rPr>
        <w:t>by the trial court,</w:t>
      </w:r>
      <w:r w:rsidRPr="00905314">
        <w:rPr>
          <w:rFonts w:ascii="Times New Roman" w:hAnsi="Times New Roman" w:cs="Times New Roman"/>
          <w:sz w:val="24"/>
          <w:szCs w:val="24"/>
        </w:rPr>
        <w:t xml:space="preserve"> the High Court is empowered to direct a retrial</w:t>
      </w:r>
      <w:r>
        <w:rPr>
          <w:rFonts w:ascii="Times New Roman" w:hAnsi="Times New Roman" w:cs="Times New Roman"/>
          <w:sz w:val="24"/>
          <w:szCs w:val="24"/>
        </w:rPr>
        <w:t xml:space="preserve"> if it forms the opinion that the defect</w:t>
      </w:r>
      <w:r w:rsidRPr="00905314">
        <w:rPr>
          <w:rFonts w:ascii="Times New Roman" w:hAnsi="Times New Roman" w:cs="Times New Roman"/>
          <w:sz w:val="24"/>
          <w:szCs w:val="24"/>
        </w:rPr>
        <w:t xml:space="preserve"> resulted in </w:t>
      </w:r>
      <w:r>
        <w:rPr>
          <w:rFonts w:ascii="Times New Roman" w:hAnsi="Times New Roman" w:cs="Times New Roman"/>
          <w:sz w:val="24"/>
          <w:szCs w:val="24"/>
        </w:rPr>
        <w:t xml:space="preserve">a </w:t>
      </w:r>
      <w:r w:rsidRPr="00905314">
        <w:rPr>
          <w:rFonts w:ascii="Times New Roman" w:hAnsi="Times New Roman" w:cs="Times New Roman"/>
          <w:sz w:val="24"/>
          <w:szCs w:val="24"/>
        </w:rPr>
        <w:t>failure of justice</w:t>
      </w:r>
      <w:r>
        <w:rPr>
          <w:rFonts w:ascii="Times New Roman" w:hAnsi="Times New Roman" w:cs="Times New Roman"/>
          <w:sz w:val="24"/>
          <w:szCs w:val="24"/>
        </w:rPr>
        <w:t>,</w:t>
      </w:r>
      <w:r w:rsidRPr="00905314">
        <w:rPr>
          <w:rFonts w:ascii="Times New Roman" w:hAnsi="Times New Roman" w:cs="Times New Roman"/>
          <w:sz w:val="24"/>
          <w:szCs w:val="24"/>
        </w:rPr>
        <w:t xml:space="preserve"> </w:t>
      </w:r>
      <w:r>
        <w:rPr>
          <w:rFonts w:ascii="Times New Roman" w:hAnsi="Times New Roman" w:cs="Times New Roman"/>
          <w:sz w:val="24"/>
          <w:szCs w:val="24"/>
        </w:rPr>
        <w:t>but</w:t>
      </w:r>
      <w:r w:rsidRPr="00905314">
        <w:rPr>
          <w:rFonts w:ascii="Times New Roman" w:hAnsi="Times New Roman" w:cs="Times New Roman"/>
          <w:sz w:val="24"/>
          <w:szCs w:val="24"/>
        </w:rPr>
        <w:t xml:space="preserve"> from the nature of this power</w:t>
      </w:r>
      <w:r>
        <w:rPr>
          <w:rFonts w:ascii="Times New Roman" w:hAnsi="Times New Roman" w:cs="Times New Roman"/>
          <w:sz w:val="24"/>
          <w:szCs w:val="24"/>
        </w:rPr>
        <w:t>,</w:t>
      </w:r>
      <w:r w:rsidRPr="00905314">
        <w:rPr>
          <w:rFonts w:ascii="Times New Roman" w:hAnsi="Times New Roman" w:cs="Times New Roman"/>
          <w:sz w:val="24"/>
          <w:szCs w:val="24"/>
        </w:rPr>
        <w:t xml:space="preserve"> it should be exercised with great care and caution</w:t>
      </w:r>
      <w:r>
        <w:rPr>
          <w:rFonts w:ascii="Times New Roman" w:hAnsi="Times New Roman" w:cs="Times New Roman"/>
          <w:sz w:val="24"/>
          <w:szCs w:val="24"/>
        </w:rPr>
        <w:t>. It should not be made where for example due to</w:t>
      </w:r>
      <w:r w:rsidRPr="00905314">
        <w:rPr>
          <w:rFonts w:ascii="Times New Roman" w:hAnsi="Times New Roman" w:cs="Times New Roman"/>
          <w:sz w:val="24"/>
          <w:szCs w:val="24"/>
        </w:rPr>
        <w:t xml:space="preserve"> the lapse of such a long period</w:t>
      </w:r>
      <w:r>
        <w:rPr>
          <w:rFonts w:ascii="Times New Roman" w:hAnsi="Times New Roman" w:cs="Times New Roman"/>
          <w:sz w:val="24"/>
          <w:szCs w:val="24"/>
        </w:rPr>
        <w:t xml:space="preserve"> of time, it is no longer possible to conduct a fair trial due to loss of evidence, witnesses or such other similar adverse occurrence. </w:t>
      </w:r>
      <w:r w:rsidRPr="008659D9">
        <w:rPr>
          <w:rFonts w:ascii="Times New Roman" w:hAnsi="Times New Roman" w:cs="Times New Roman"/>
          <w:sz w:val="24"/>
          <w:szCs w:val="24"/>
        </w:rPr>
        <w:t xml:space="preserve">It is possible that the witnesses who appeared and testified during the first trial may not be available when the second trial is conducted and the </w:t>
      </w:r>
      <w:r>
        <w:rPr>
          <w:rFonts w:ascii="Times New Roman" w:hAnsi="Times New Roman" w:cs="Times New Roman"/>
          <w:sz w:val="24"/>
          <w:szCs w:val="24"/>
        </w:rPr>
        <w:t>parties</w:t>
      </w:r>
      <w:r w:rsidRPr="008659D9">
        <w:rPr>
          <w:rFonts w:ascii="Times New Roman" w:hAnsi="Times New Roman" w:cs="Times New Roman"/>
          <w:sz w:val="24"/>
          <w:szCs w:val="24"/>
        </w:rPr>
        <w:t xml:space="preserve"> may become handicapped in producing them during the second trial. </w:t>
      </w:r>
      <w:r>
        <w:rPr>
          <w:rFonts w:ascii="Times New Roman" w:hAnsi="Times New Roman" w:cs="Times New Roman"/>
          <w:sz w:val="24"/>
          <w:szCs w:val="24"/>
        </w:rPr>
        <w:t xml:space="preserve">In such situations, the parties would be </w:t>
      </w:r>
      <w:r w:rsidRPr="00121DF7">
        <w:rPr>
          <w:rFonts w:ascii="Times New Roman" w:hAnsi="Times New Roman" w:cs="Times New Roman"/>
          <w:sz w:val="24"/>
          <w:szCs w:val="24"/>
        </w:rPr>
        <w:t xml:space="preserve">prejudiced </w:t>
      </w:r>
      <w:r>
        <w:rPr>
          <w:rFonts w:ascii="Times New Roman" w:hAnsi="Times New Roman" w:cs="Times New Roman"/>
          <w:sz w:val="24"/>
          <w:szCs w:val="24"/>
        </w:rPr>
        <w:t>and</w:t>
      </w:r>
      <w:r w:rsidRPr="00121DF7">
        <w:rPr>
          <w:rFonts w:ascii="Times New Roman" w:hAnsi="Times New Roman" w:cs="Times New Roman"/>
          <w:sz w:val="24"/>
          <w:szCs w:val="24"/>
        </w:rPr>
        <w:t xml:space="preserve"> greatly handicapped in establishing </w:t>
      </w:r>
      <w:r>
        <w:rPr>
          <w:rFonts w:ascii="Times New Roman" w:hAnsi="Times New Roman" w:cs="Times New Roman"/>
          <w:sz w:val="24"/>
          <w:szCs w:val="24"/>
        </w:rPr>
        <w:t>their</w:t>
      </w:r>
      <w:r w:rsidRPr="00121DF7">
        <w:rPr>
          <w:rFonts w:ascii="Times New Roman" w:hAnsi="Times New Roman" w:cs="Times New Roman"/>
          <w:sz w:val="24"/>
          <w:szCs w:val="24"/>
        </w:rPr>
        <w:t xml:space="preserve"> </w:t>
      </w:r>
      <w:r>
        <w:rPr>
          <w:rFonts w:ascii="Times New Roman" w:hAnsi="Times New Roman" w:cs="Times New Roman"/>
          <w:sz w:val="24"/>
          <w:szCs w:val="24"/>
        </w:rPr>
        <w:t xml:space="preserve">respective </w:t>
      </w:r>
      <w:r w:rsidRPr="00121DF7">
        <w:rPr>
          <w:rFonts w:ascii="Times New Roman" w:hAnsi="Times New Roman" w:cs="Times New Roman"/>
          <w:sz w:val="24"/>
          <w:szCs w:val="24"/>
        </w:rPr>
        <w:t>case</w:t>
      </w:r>
      <w:r>
        <w:rPr>
          <w:rFonts w:ascii="Times New Roman" w:hAnsi="Times New Roman" w:cs="Times New Roman"/>
          <w:sz w:val="24"/>
          <w:szCs w:val="24"/>
        </w:rPr>
        <w:t>s</w:t>
      </w:r>
      <w:r w:rsidRPr="00121DF7">
        <w:rPr>
          <w:rFonts w:ascii="Times New Roman" w:hAnsi="Times New Roman" w:cs="Times New Roman"/>
          <w:sz w:val="24"/>
          <w:szCs w:val="24"/>
        </w:rPr>
        <w:t xml:space="preserve"> </w:t>
      </w:r>
      <w:r>
        <w:rPr>
          <w:rFonts w:ascii="Times New Roman" w:hAnsi="Times New Roman" w:cs="Times New Roman"/>
          <w:sz w:val="24"/>
          <w:szCs w:val="24"/>
        </w:rPr>
        <w:t>such that</w:t>
      </w:r>
      <w:r w:rsidRPr="00121DF7">
        <w:rPr>
          <w:rFonts w:ascii="Times New Roman" w:hAnsi="Times New Roman" w:cs="Times New Roman"/>
          <w:sz w:val="24"/>
          <w:szCs w:val="24"/>
        </w:rPr>
        <w:t xml:space="preserve"> the trial would be reduced to a mere formality entailing agony and hardship to the </w:t>
      </w:r>
      <w:r>
        <w:rPr>
          <w:rFonts w:ascii="Times New Roman" w:hAnsi="Times New Roman" w:cs="Times New Roman"/>
          <w:sz w:val="24"/>
          <w:szCs w:val="24"/>
        </w:rPr>
        <w:t>parties</w:t>
      </w:r>
      <w:r w:rsidRPr="00121DF7">
        <w:rPr>
          <w:rFonts w:ascii="Times New Roman" w:hAnsi="Times New Roman" w:cs="Times New Roman"/>
          <w:sz w:val="24"/>
          <w:szCs w:val="24"/>
        </w:rPr>
        <w:t xml:space="preserve"> and </w:t>
      </w:r>
      <w:r>
        <w:rPr>
          <w:rFonts w:ascii="Times New Roman" w:hAnsi="Times New Roman" w:cs="Times New Roman"/>
          <w:sz w:val="24"/>
          <w:szCs w:val="24"/>
        </w:rPr>
        <w:t xml:space="preserve">waste of time, money, energy and other resources. </w:t>
      </w:r>
      <w:r w:rsidRPr="008659D9">
        <w:rPr>
          <w:rFonts w:ascii="Times New Roman" w:hAnsi="Times New Roman" w:cs="Times New Roman"/>
          <w:sz w:val="24"/>
          <w:szCs w:val="24"/>
        </w:rPr>
        <w:t xml:space="preserve">Viewed in this light, the direction that the retrial should be conducted can be given only if it is justified </w:t>
      </w:r>
      <w:r>
        <w:rPr>
          <w:rFonts w:ascii="Times New Roman" w:hAnsi="Times New Roman" w:cs="Times New Roman"/>
          <w:sz w:val="24"/>
          <w:szCs w:val="24"/>
        </w:rPr>
        <w:t>by</w:t>
      </w:r>
      <w:r w:rsidRPr="008659D9">
        <w:rPr>
          <w:rFonts w:ascii="Times New Roman" w:hAnsi="Times New Roman" w:cs="Times New Roman"/>
          <w:sz w:val="24"/>
          <w:szCs w:val="24"/>
        </w:rPr>
        <w:t xml:space="preserve"> the facts and circumstances of the case.</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where</w:t>
      </w:r>
      <w:r w:rsidRPr="00121DF7">
        <w:rPr>
          <w:rFonts w:ascii="Times New Roman" w:hAnsi="Times New Roman" w:cs="Times New Roman"/>
          <w:sz w:val="24"/>
          <w:szCs w:val="24"/>
        </w:rPr>
        <w:t xml:space="preserve"> the time lag between the date of the incident and the date on which the appeal comes up for hearing is short, </w:t>
      </w:r>
      <w:r>
        <w:rPr>
          <w:rFonts w:ascii="Times New Roman" w:hAnsi="Times New Roman" w:cs="Times New Roman"/>
          <w:sz w:val="24"/>
          <w:szCs w:val="24"/>
        </w:rPr>
        <w:t>and there occurred an incurably</w:t>
      </w:r>
      <w:r w:rsidRPr="00FA2F1F">
        <w:rPr>
          <w:rFonts w:ascii="Times New Roman" w:hAnsi="Times New Roman" w:cs="Times New Roman"/>
          <w:sz w:val="24"/>
          <w:szCs w:val="24"/>
        </w:rPr>
        <w:t xml:space="preserve"> fundamental defect in the </w:t>
      </w:r>
      <w:r>
        <w:rPr>
          <w:rFonts w:ascii="Times New Roman" w:hAnsi="Times New Roman" w:cs="Times New Roman"/>
          <w:sz w:val="24"/>
          <w:szCs w:val="24"/>
        </w:rPr>
        <w:lastRenderedPageBreak/>
        <w:t xml:space="preserve">proceedings </w:t>
      </w:r>
      <w:r w:rsidRPr="00FA2F1F">
        <w:rPr>
          <w:rFonts w:ascii="Times New Roman" w:hAnsi="Times New Roman" w:cs="Times New Roman"/>
          <w:sz w:val="24"/>
          <w:szCs w:val="24"/>
        </w:rPr>
        <w:t>which affect</w:t>
      </w:r>
      <w:r>
        <w:rPr>
          <w:rFonts w:ascii="Times New Roman" w:hAnsi="Times New Roman" w:cs="Times New Roman"/>
          <w:sz w:val="24"/>
          <w:szCs w:val="24"/>
        </w:rPr>
        <w:t>ed</w:t>
      </w:r>
      <w:r w:rsidRPr="00FA2F1F">
        <w:rPr>
          <w:rFonts w:ascii="Times New Roman" w:hAnsi="Times New Roman" w:cs="Times New Roman"/>
          <w:sz w:val="24"/>
          <w:szCs w:val="24"/>
        </w:rPr>
        <w:t xml:space="preserve"> the outcome of the </w:t>
      </w:r>
      <w:r>
        <w:rPr>
          <w:rFonts w:ascii="Times New Roman" w:hAnsi="Times New Roman" w:cs="Times New Roman"/>
          <w:sz w:val="24"/>
          <w:szCs w:val="24"/>
        </w:rPr>
        <w:t>suit,</w:t>
      </w:r>
      <w:r w:rsidRPr="00121DF7">
        <w:rPr>
          <w:rFonts w:ascii="Times New Roman" w:hAnsi="Times New Roman" w:cs="Times New Roman"/>
          <w:sz w:val="24"/>
          <w:szCs w:val="24"/>
        </w:rPr>
        <w:t xml:space="preserve"> the proper course would be to direct retrial of the case since </w:t>
      </w:r>
      <w:r>
        <w:rPr>
          <w:rFonts w:ascii="Times New Roman" w:hAnsi="Times New Roman" w:cs="Times New Roman"/>
          <w:sz w:val="24"/>
          <w:szCs w:val="24"/>
        </w:rPr>
        <w:t xml:space="preserve">in that case </w:t>
      </w:r>
      <w:r w:rsidRPr="00121DF7">
        <w:rPr>
          <w:rFonts w:ascii="Times New Roman" w:hAnsi="Times New Roman" w:cs="Times New Roman"/>
          <w:sz w:val="24"/>
          <w:szCs w:val="24"/>
        </w:rPr>
        <w:t xml:space="preserve">witnesses normally would be available and it would not cause undue strain on </w:t>
      </w:r>
      <w:r>
        <w:rPr>
          <w:rFonts w:ascii="Times New Roman" w:hAnsi="Times New Roman" w:cs="Times New Roman"/>
          <w:sz w:val="24"/>
          <w:szCs w:val="24"/>
        </w:rPr>
        <w:t>their memory.</w:t>
      </w:r>
      <w:r w:rsidRPr="00121DF7">
        <w:rPr>
          <w:rFonts w:ascii="Times New Roman" w:hAnsi="Times New Roman" w:cs="Times New Roman"/>
          <w:sz w:val="24"/>
          <w:szCs w:val="24"/>
        </w:rPr>
        <w:t xml:space="preserve"> </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In </w:t>
      </w:r>
      <w:r w:rsidRPr="00F80251">
        <w:rPr>
          <w:rStyle w:val="Emphasis"/>
          <w:rFonts w:ascii="Times New Roman" w:hAnsi="Times New Roman" w:cs="Times New Roman"/>
          <w:bCs/>
          <w:sz w:val="24"/>
          <w:szCs w:val="24"/>
        </w:rPr>
        <w:t>James Nsibambi v Lovinsa Nankya [1980] HCB 81</w:t>
      </w:r>
      <w:r>
        <w:rPr>
          <w:rFonts w:ascii="Times New Roman" w:hAnsi="Times New Roman" w:cs="Times New Roman"/>
          <w:sz w:val="24"/>
          <w:szCs w:val="24"/>
        </w:rPr>
        <w:t xml:space="preserve">, it was </w:t>
      </w:r>
      <w:r w:rsidRPr="00F80251">
        <w:rPr>
          <w:rFonts w:ascii="Times New Roman" w:hAnsi="Times New Roman" w:cs="Times New Roman"/>
          <w:sz w:val="24"/>
          <w:szCs w:val="24"/>
        </w:rPr>
        <w:t xml:space="preserve">held that a failure 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xml:space="preserve">, and yet relying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is a fatal error which occasioned a miscarriage of justice.  </w:t>
      </w:r>
      <w:r>
        <w:rPr>
          <w:rFonts w:ascii="Times New Roman" w:hAnsi="Times New Roman" w:cs="Times New Roman"/>
          <w:sz w:val="24"/>
          <w:szCs w:val="24"/>
        </w:rPr>
        <w:t xml:space="preserve">In that case the error was </w:t>
      </w:r>
      <w:r w:rsidRPr="00F80251">
        <w:rPr>
          <w:rFonts w:ascii="Times New Roman" w:hAnsi="Times New Roman" w:cs="Times New Roman"/>
          <w:sz w:val="24"/>
          <w:szCs w:val="24"/>
        </w:rPr>
        <w:t xml:space="preserve">found </w:t>
      </w:r>
      <w:r>
        <w:rPr>
          <w:rFonts w:ascii="Times New Roman" w:hAnsi="Times New Roman" w:cs="Times New Roman"/>
          <w:sz w:val="24"/>
          <w:szCs w:val="24"/>
        </w:rPr>
        <w:t>to be</w:t>
      </w:r>
      <w:r w:rsidRPr="00F80251">
        <w:rPr>
          <w:rFonts w:ascii="Times New Roman" w:hAnsi="Times New Roman" w:cs="Times New Roman"/>
          <w:sz w:val="24"/>
          <w:szCs w:val="24"/>
        </w:rPr>
        <w:t xml:space="preserve"> a sufficient ground to merit a retrial as there was failure of justice</w:t>
      </w:r>
      <w:r>
        <w:rPr>
          <w:rFonts w:ascii="Times New Roman" w:hAnsi="Times New Roman" w:cs="Times New Roman"/>
          <w:sz w:val="24"/>
          <w:szCs w:val="24"/>
        </w:rPr>
        <w:t xml:space="preserve"> (see also </w:t>
      </w:r>
      <w:r w:rsidRPr="005674ED">
        <w:rPr>
          <w:rFonts w:ascii="Times New Roman" w:hAnsi="Times New Roman" w:cs="Times New Roman"/>
          <w:i/>
          <w:sz w:val="24"/>
          <w:szCs w:val="24"/>
        </w:rPr>
        <w:t>Badiru Kabalega v. Sepiriano Mugangu [1992] 11 KALR 110</w:t>
      </w:r>
      <w:r>
        <w:rPr>
          <w:rFonts w:ascii="Times New Roman" w:hAnsi="Times New Roman" w:cs="Times New Roman"/>
          <w:sz w:val="24"/>
          <w:szCs w:val="24"/>
        </w:rPr>
        <w:t>).</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Pr="005674ED"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where, by the nature of the dispute to be adjudicated, the appellate court finds that the </w:t>
      </w:r>
      <w:r w:rsidRPr="002F43CF">
        <w:rPr>
          <w:rFonts w:ascii="Times New Roman" w:hAnsi="Times New Roman" w:cs="Times New Roman"/>
          <w:sz w:val="24"/>
          <w:szCs w:val="24"/>
        </w:rPr>
        <w:t xml:space="preserve">visit to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w:t>
      </w:r>
      <w:r w:rsidRPr="002F43CF">
        <w:rPr>
          <w:rFonts w:ascii="Times New Roman" w:hAnsi="Times New Roman" w:cs="Times New Roman"/>
          <w:sz w:val="24"/>
          <w:szCs w:val="24"/>
        </w:rPr>
        <w:t xml:space="preserve">was </w:t>
      </w:r>
      <w:r>
        <w:rPr>
          <w:rFonts w:ascii="Times New Roman" w:hAnsi="Times New Roman" w:cs="Times New Roman"/>
          <w:sz w:val="24"/>
          <w:szCs w:val="24"/>
        </w:rPr>
        <w:t>a useless exercise and that</w:t>
      </w:r>
      <w:r w:rsidRPr="002F43CF">
        <w:rPr>
          <w:rFonts w:ascii="Times New Roman" w:hAnsi="Times New Roman" w:cs="Times New Roman"/>
          <w:sz w:val="24"/>
          <w:szCs w:val="24"/>
        </w:rPr>
        <w:t xml:space="preserve"> </w:t>
      </w:r>
      <w:r>
        <w:rPr>
          <w:rFonts w:ascii="Times New Roman" w:hAnsi="Times New Roman" w:cs="Times New Roman"/>
          <w:sz w:val="24"/>
          <w:szCs w:val="24"/>
        </w:rPr>
        <w:t>the</w:t>
      </w:r>
      <w:r w:rsidRPr="002F43CF">
        <w:rPr>
          <w:rFonts w:ascii="Times New Roman" w:hAnsi="Times New Roman" w:cs="Times New Roman"/>
          <w:sz w:val="24"/>
          <w:szCs w:val="24"/>
        </w:rPr>
        <w:t xml:space="preserve"> case could have been decided without visiting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such that w</w:t>
      </w:r>
      <w:r w:rsidRPr="002F43CF">
        <w:rPr>
          <w:rFonts w:ascii="Times New Roman" w:hAnsi="Times New Roman" w:cs="Times New Roman"/>
          <w:sz w:val="24"/>
          <w:szCs w:val="24"/>
        </w:rPr>
        <w:t xml:space="preserve">ithout </w:t>
      </w:r>
      <w:r>
        <w:rPr>
          <w:rFonts w:ascii="Times New Roman" w:hAnsi="Times New Roman" w:cs="Times New Roman"/>
          <w:sz w:val="24"/>
          <w:szCs w:val="24"/>
        </w:rPr>
        <w:t>reliance</w:t>
      </w:r>
      <w:r w:rsidRPr="002F43CF">
        <w:rPr>
          <w:rFonts w:ascii="Times New Roman" w:hAnsi="Times New Roman" w:cs="Times New Roman"/>
          <w:sz w:val="24"/>
          <w:szCs w:val="24"/>
        </w:rPr>
        <w:t xml:space="preserve"> on </w:t>
      </w:r>
      <w:r>
        <w:rPr>
          <w:rFonts w:ascii="Times New Roman" w:hAnsi="Times New Roman" w:cs="Times New Roman"/>
          <w:sz w:val="24"/>
          <w:szCs w:val="24"/>
        </w:rPr>
        <w:t>its</w:t>
      </w:r>
      <w:r w:rsidRPr="002F43CF">
        <w:rPr>
          <w:rFonts w:ascii="Times New Roman" w:hAnsi="Times New Roman" w:cs="Times New Roman"/>
          <w:sz w:val="24"/>
          <w:szCs w:val="24"/>
        </w:rPr>
        <w:t xml:space="preserve"> findings at the locus, the </w:t>
      </w:r>
      <w:r>
        <w:rPr>
          <w:rFonts w:ascii="Times New Roman" w:hAnsi="Times New Roman" w:cs="Times New Roman"/>
          <w:sz w:val="24"/>
          <w:szCs w:val="24"/>
        </w:rPr>
        <w:t>trial court</w:t>
      </w:r>
      <w:r w:rsidRPr="002F43CF">
        <w:rPr>
          <w:rFonts w:ascii="Times New Roman" w:hAnsi="Times New Roman" w:cs="Times New Roman"/>
          <w:sz w:val="24"/>
          <w:szCs w:val="24"/>
        </w:rPr>
        <w:t xml:space="preserve"> would have properly come to the same decisions on a proper evaluation and s</w:t>
      </w:r>
      <w:r>
        <w:rPr>
          <w:rFonts w:ascii="Times New Roman" w:hAnsi="Times New Roman" w:cs="Times New Roman"/>
          <w:sz w:val="24"/>
          <w:szCs w:val="24"/>
        </w:rPr>
        <w:t>crutiny</w:t>
      </w:r>
      <w:r w:rsidRPr="002F43CF">
        <w:rPr>
          <w:rFonts w:ascii="Times New Roman" w:hAnsi="Times New Roman" w:cs="Times New Roman"/>
          <w:sz w:val="24"/>
          <w:szCs w:val="24"/>
        </w:rPr>
        <w:t xml:space="preserve"> of the evidence which was alr</w:t>
      </w:r>
      <w:r>
        <w:rPr>
          <w:rFonts w:ascii="Times New Roman" w:hAnsi="Times New Roman" w:cs="Times New Roman"/>
          <w:sz w:val="24"/>
          <w:szCs w:val="24"/>
        </w:rPr>
        <w:t xml:space="preserve">eady available on record, a re-trial will not be directed. The erroneous proceedings at the locus in quo will be disregarded. For example in the case, </w:t>
      </w:r>
      <w:r w:rsidRPr="002F43CF">
        <w:rPr>
          <w:rFonts w:ascii="Times New Roman" w:hAnsi="Times New Roman" w:cs="Times New Roman"/>
          <w:i/>
          <w:sz w:val="24"/>
          <w:szCs w:val="24"/>
        </w:rPr>
        <w:t xml:space="preserve">Basaliza v. Mujwisa Chris, H.C. Civil </w:t>
      </w:r>
      <w:r>
        <w:rPr>
          <w:rFonts w:ascii="Times New Roman" w:hAnsi="Times New Roman" w:cs="Times New Roman"/>
          <w:i/>
          <w:sz w:val="24"/>
          <w:szCs w:val="24"/>
        </w:rPr>
        <w:t>Appeal</w:t>
      </w:r>
      <w:r w:rsidRPr="002F43CF">
        <w:rPr>
          <w:rFonts w:ascii="Times New Roman" w:hAnsi="Times New Roman" w:cs="Times New Roman"/>
          <w:i/>
          <w:sz w:val="24"/>
          <w:szCs w:val="24"/>
        </w:rPr>
        <w:t xml:space="preserve"> No. 16 of 2003</w:t>
      </w:r>
      <w:r>
        <w:rPr>
          <w:rFonts w:ascii="Times New Roman" w:hAnsi="Times New Roman" w:cs="Times New Roman"/>
          <w:sz w:val="24"/>
          <w:szCs w:val="24"/>
        </w:rPr>
        <w:t>, the court observed;</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ind w:left="576" w:right="576"/>
        <w:jc w:val="both"/>
        <w:rPr>
          <w:rFonts w:ascii="Times New Roman" w:hAnsi="Times New Roman" w:cs="Times New Roman"/>
          <w:sz w:val="24"/>
          <w:szCs w:val="24"/>
        </w:rPr>
      </w:pPr>
      <w:r w:rsidRPr="002F43CF">
        <w:rPr>
          <w:rFonts w:ascii="Times New Roman" w:hAnsi="Times New Roman" w:cs="Times New Roman"/>
          <w:sz w:val="24"/>
          <w:szCs w:val="24"/>
        </w:rPr>
        <w:t>There w</w:t>
      </w:r>
      <w:r>
        <w:rPr>
          <w:rFonts w:ascii="Times New Roman" w:hAnsi="Times New Roman" w:cs="Times New Roman"/>
          <w:sz w:val="24"/>
          <w:szCs w:val="24"/>
        </w:rPr>
        <w:t>as no dispute over boundaries.</w:t>
      </w:r>
      <w:r w:rsidRPr="002F43CF">
        <w:rPr>
          <w:rFonts w:ascii="Times New Roman" w:hAnsi="Times New Roman" w:cs="Times New Roman"/>
          <w:sz w:val="24"/>
          <w:szCs w:val="24"/>
        </w:rPr>
        <w:t xml:space="preserve"> The visit to the locus was in the circumstances a useless exercise.  This case could have been decided without visiting the locus.  </w:t>
      </w:r>
      <w:r w:rsidRPr="005674ED">
        <w:rPr>
          <w:rFonts w:ascii="Times New Roman" w:hAnsi="Times New Roman" w:cs="Times New Roman"/>
          <w:sz w:val="24"/>
          <w:szCs w:val="24"/>
        </w:rPr>
        <w:t>Without basing himself on his findings at the locus, the learned Chief Magistrate would have properly come to the same decisions on a proper evaluation and security of the evidence which was already available to him on record.</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a re-trial was not ordered. In the instant case, I am of the view that the defect has not occasioned a miscarriage of justice since the case can still be decided on basis of the available evidence without having to rely on comments and observations of the trial court made as a result of the impugned visit to the </w:t>
      </w:r>
      <w:r w:rsidRPr="00213A06">
        <w:rPr>
          <w:rFonts w:ascii="Times New Roman" w:hAnsi="Times New Roman" w:cs="Times New Roman"/>
          <w:i/>
          <w:sz w:val="24"/>
          <w:szCs w:val="24"/>
        </w:rPr>
        <w:t>locus in quo</w:t>
      </w:r>
      <w:r>
        <w:rPr>
          <w:rFonts w:ascii="Times New Roman" w:hAnsi="Times New Roman" w:cs="Times New Roman"/>
          <w:sz w:val="24"/>
          <w:szCs w:val="24"/>
        </w:rPr>
        <w:t xml:space="preserve">. </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Pr="00B56A2C"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essence of the dispute between the parties in the instant appeal is conflicting claims to ownership of the disputed land with each party tracing the history of its ownership to their </w:t>
      </w:r>
      <w:r>
        <w:rPr>
          <w:rFonts w:ascii="Times New Roman" w:hAnsi="Times New Roman" w:cs="Times New Roman"/>
          <w:sz w:val="24"/>
          <w:szCs w:val="24"/>
        </w:rPr>
        <w:lastRenderedPageBreak/>
        <w:t xml:space="preserve">respective ancestors. When the trial court visited the </w:t>
      </w:r>
      <w:r w:rsidRPr="00702D9B">
        <w:rPr>
          <w:rFonts w:ascii="Times New Roman" w:hAnsi="Times New Roman" w:cs="Times New Roman"/>
          <w:i/>
          <w:sz w:val="24"/>
          <w:szCs w:val="24"/>
        </w:rPr>
        <w:t>locus in quo</w:t>
      </w:r>
      <w:r>
        <w:rPr>
          <w:rFonts w:ascii="Times New Roman" w:hAnsi="Times New Roman" w:cs="Times New Roman"/>
          <w:sz w:val="24"/>
          <w:szCs w:val="24"/>
        </w:rPr>
        <w:t xml:space="preserve">, it was not for purposes of solving a subsisting boundary dispute but rather for the court to observe features such </w:t>
      </w:r>
      <w:r w:rsidR="00D97AE7">
        <w:rPr>
          <w:rFonts w:ascii="Times New Roman" w:hAnsi="Times New Roman" w:cs="Times New Roman"/>
          <w:sz w:val="24"/>
          <w:szCs w:val="24"/>
        </w:rPr>
        <w:t>a</w:t>
      </w:r>
      <w:r>
        <w:rPr>
          <w:rFonts w:ascii="Times New Roman" w:hAnsi="Times New Roman" w:cs="Times New Roman"/>
          <w:sz w:val="24"/>
          <w:szCs w:val="24"/>
        </w:rPr>
        <w:t xml:space="preserve">s </w:t>
      </w:r>
      <w:r w:rsidR="00D97AE7">
        <w:rPr>
          <w:rFonts w:ascii="Times New Roman" w:hAnsi="Times New Roman" w:cs="Times New Roman"/>
          <w:sz w:val="24"/>
          <w:szCs w:val="24"/>
        </w:rPr>
        <w:t>trees</w:t>
      </w:r>
      <w:r>
        <w:rPr>
          <w:rFonts w:ascii="Times New Roman" w:hAnsi="Times New Roman" w:cs="Times New Roman"/>
          <w:sz w:val="24"/>
          <w:szCs w:val="24"/>
        </w:rPr>
        <w:t xml:space="preserve"> a</w:t>
      </w:r>
      <w:r w:rsidR="00D97AE7">
        <w:rPr>
          <w:rFonts w:ascii="Times New Roman" w:hAnsi="Times New Roman" w:cs="Times New Roman"/>
          <w:sz w:val="24"/>
          <w:szCs w:val="24"/>
        </w:rPr>
        <w:t>nd a foundation for the construction of a building,</w:t>
      </w:r>
      <w:r>
        <w:rPr>
          <w:rFonts w:ascii="Times New Roman" w:hAnsi="Times New Roman" w:cs="Times New Roman"/>
          <w:sz w:val="24"/>
          <w:szCs w:val="24"/>
        </w:rPr>
        <w:t xml:space="preserve"> which had been mentioned by the parties and their witnesses as landmarks in the history of ownership of the land. The visit was therefore intended to enable the trial magistrate understand</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during the testimony of witnesses in court and not for purposes of </w:t>
      </w:r>
      <w:r w:rsidRPr="00723491">
        <w:rPr>
          <w:rFonts w:ascii="Times New Roman" w:hAnsi="Times New Roman" w:cs="Times New Roman"/>
          <w:sz w:val="24"/>
          <w:szCs w:val="24"/>
        </w:rPr>
        <w:t xml:space="preserve">enabling </w:t>
      </w:r>
      <w:r>
        <w:rPr>
          <w:rFonts w:ascii="Times New Roman" w:hAnsi="Times New Roman" w:cs="Times New Roman"/>
          <w:sz w:val="24"/>
          <w:szCs w:val="24"/>
        </w:rPr>
        <w:t>him</w:t>
      </w:r>
      <w:r w:rsidRPr="00723491">
        <w:rPr>
          <w:rFonts w:ascii="Times New Roman" w:hAnsi="Times New Roman" w:cs="Times New Roman"/>
          <w:sz w:val="24"/>
          <w:szCs w:val="24"/>
        </w:rPr>
        <w:t xml:space="preserve"> make up his or her mind on disputed points raised as to something to be seen there.</w:t>
      </w:r>
      <w:r>
        <w:rPr>
          <w:rFonts w:ascii="Times New Roman" w:hAnsi="Times New Roman" w:cs="Times New Roman"/>
          <w:sz w:val="24"/>
          <w:szCs w:val="24"/>
        </w:rPr>
        <w:t xml:space="preserve"> The visit was therefore not meant to aid the determination of the question of ownership of the land based on existing features to be seen at the </w:t>
      </w:r>
      <w:r w:rsidRPr="00702D9B">
        <w:rPr>
          <w:rFonts w:ascii="Times New Roman" w:hAnsi="Times New Roman" w:cs="Times New Roman"/>
          <w:i/>
          <w:sz w:val="24"/>
          <w:szCs w:val="24"/>
        </w:rPr>
        <w:t>locus in quo</w:t>
      </w:r>
      <w:r>
        <w:rPr>
          <w:rFonts w:ascii="Times New Roman" w:hAnsi="Times New Roman" w:cs="Times New Roman"/>
          <w:sz w:val="24"/>
          <w:szCs w:val="24"/>
        </w:rPr>
        <w:t xml:space="preserve">, a decision which could be made based only on the evidence adduced in court. Scrutiny of the judgment of the trial court does reveal though some reliance on evidence gathered at the </w:t>
      </w:r>
      <w:r w:rsidRPr="00702D9B">
        <w:rPr>
          <w:rFonts w:ascii="Times New Roman" w:hAnsi="Times New Roman" w:cs="Times New Roman"/>
          <w:i/>
          <w:sz w:val="24"/>
          <w:szCs w:val="24"/>
        </w:rPr>
        <w:t>locus in quo</w:t>
      </w:r>
      <w:r>
        <w:rPr>
          <w:rFonts w:ascii="Times New Roman" w:hAnsi="Times New Roman" w:cs="Times New Roman"/>
          <w:sz w:val="24"/>
          <w:szCs w:val="24"/>
        </w:rPr>
        <w:t xml:space="preserve"> in the determination of the issue of ownership of the disputed land. This error though should not be considered in isolation but rather within the context of the trial as a whole. Having considered the evidence as a whole and for other reasons to be explained later in this judgment, I do not find that the trial court’s erroneous conduct of proceedings at the </w:t>
      </w:r>
      <w:r w:rsidRPr="00702D9B">
        <w:rPr>
          <w:rFonts w:ascii="Times New Roman" w:hAnsi="Times New Roman" w:cs="Times New Roman"/>
          <w:i/>
          <w:sz w:val="24"/>
          <w:szCs w:val="24"/>
        </w:rPr>
        <w:t>locus in quo</w:t>
      </w:r>
      <w:r>
        <w:rPr>
          <w:rFonts w:ascii="Times New Roman" w:hAnsi="Times New Roman" w:cs="Times New Roman"/>
          <w:sz w:val="24"/>
          <w:szCs w:val="24"/>
        </w:rPr>
        <w:t xml:space="preserve"> caused a miscarriage of justice and for that reason ground </w:t>
      </w:r>
      <w:r w:rsidR="00A10AFE">
        <w:rPr>
          <w:rFonts w:ascii="Times New Roman" w:hAnsi="Times New Roman" w:cs="Times New Roman"/>
          <w:sz w:val="24"/>
          <w:szCs w:val="24"/>
        </w:rPr>
        <w:t>four</w:t>
      </w:r>
      <w:r>
        <w:rPr>
          <w:rFonts w:ascii="Times New Roman" w:hAnsi="Times New Roman" w:cs="Times New Roman"/>
          <w:sz w:val="24"/>
          <w:szCs w:val="24"/>
        </w:rPr>
        <w:t xml:space="preserve"> of the appeal fails.</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Pr="009A4040"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w:t>
      </w:r>
      <w:r w:rsidR="00A10AFE">
        <w:rPr>
          <w:rFonts w:ascii="Times New Roman" w:hAnsi="Times New Roman" w:cs="Times New Roman"/>
          <w:sz w:val="24"/>
          <w:szCs w:val="24"/>
        </w:rPr>
        <w:t>1</w:t>
      </w:r>
      <w:r>
        <w:rPr>
          <w:rFonts w:ascii="Times New Roman" w:hAnsi="Times New Roman" w:cs="Times New Roman"/>
          <w:sz w:val="24"/>
          <w:szCs w:val="24"/>
        </w:rPr>
        <w:t xml:space="preserve">, </w:t>
      </w:r>
      <w:r w:rsidR="00A10AFE">
        <w:rPr>
          <w:rFonts w:ascii="Times New Roman" w:hAnsi="Times New Roman" w:cs="Times New Roman"/>
          <w:sz w:val="24"/>
          <w:szCs w:val="24"/>
        </w:rPr>
        <w:t>2</w:t>
      </w:r>
      <w:r>
        <w:rPr>
          <w:rFonts w:ascii="Times New Roman" w:hAnsi="Times New Roman" w:cs="Times New Roman"/>
          <w:sz w:val="24"/>
          <w:szCs w:val="24"/>
        </w:rPr>
        <w:t xml:space="preserve"> and </w:t>
      </w:r>
      <w:r w:rsidR="00A10AFE">
        <w:rPr>
          <w:rFonts w:ascii="Times New Roman" w:hAnsi="Times New Roman" w:cs="Times New Roman"/>
          <w:sz w:val="24"/>
          <w:szCs w:val="24"/>
        </w:rPr>
        <w:t>3</w:t>
      </w:r>
      <w:r>
        <w:rPr>
          <w:rFonts w:ascii="Times New Roman" w:hAnsi="Times New Roman" w:cs="Times New Roman"/>
          <w:sz w:val="24"/>
          <w:szCs w:val="24"/>
        </w:rPr>
        <w:t xml:space="preserve"> of the appeal assail the trial court’s evaluation of the evidence as having led it to wrongly </w:t>
      </w:r>
      <w:r w:rsidR="00A10AFE">
        <w:rPr>
          <w:rFonts w:ascii="Times New Roman" w:hAnsi="Times New Roman" w:cs="Times New Roman"/>
          <w:sz w:val="24"/>
          <w:szCs w:val="24"/>
        </w:rPr>
        <w:t>find that the land belongs to government and not either party</w:t>
      </w:r>
      <w:r>
        <w:rPr>
          <w:rFonts w:ascii="Times New Roman" w:hAnsi="Times New Roman" w:cs="Times New Roman"/>
          <w:sz w:val="24"/>
          <w:szCs w:val="24"/>
        </w:rPr>
        <w:t>. Since there is no standard method of evaluation of evidence, an appellate court will interfere with the</w:t>
      </w:r>
      <w:r w:rsidRPr="009A4040">
        <w:rPr>
          <w:rFonts w:ascii="Times New Roman" w:hAnsi="Times New Roman" w:cs="Times New Roman"/>
          <w:sz w:val="24"/>
          <w:szCs w:val="24"/>
        </w:rPr>
        <w:t xml:space="preserve"> </w:t>
      </w:r>
      <w:r>
        <w:rPr>
          <w:rFonts w:ascii="Times New Roman" w:hAnsi="Times New Roman" w:cs="Times New Roman"/>
          <w:sz w:val="24"/>
          <w:szCs w:val="24"/>
        </w:rPr>
        <w:t xml:space="preserve">findings made and </w:t>
      </w:r>
      <w:r w:rsidRPr="009A4040">
        <w:rPr>
          <w:rFonts w:ascii="Times New Roman" w:hAnsi="Times New Roman" w:cs="Times New Roman"/>
          <w:sz w:val="24"/>
          <w:szCs w:val="24"/>
        </w:rPr>
        <w:t>conclusion</w:t>
      </w:r>
      <w:r>
        <w:rPr>
          <w:rFonts w:ascii="Times New Roman" w:hAnsi="Times New Roman" w:cs="Times New Roman"/>
          <w:sz w:val="24"/>
          <w:szCs w:val="24"/>
        </w:rPr>
        <w:t>s</w:t>
      </w:r>
      <w:r w:rsidRPr="009A4040">
        <w:rPr>
          <w:rFonts w:ascii="Times New Roman" w:hAnsi="Times New Roman" w:cs="Times New Roman"/>
          <w:sz w:val="24"/>
          <w:szCs w:val="24"/>
        </w:rPr>
        <w:t xml:space="preserve"> arrived at by the trial court </w:t>
      </w:r>
      <w:r>
        <w:rPr>
          <w:rFonts w:ascii="Times New Roman" w:hAnsi="Times New Roman" w:cs="Times New Roman"/>
          <w:sz w:val="24"/>
          <w:szCs w:val="24"/>
        </w:rPr>
        <w:t>only if it forms the opinion that in the process of coming to those conclusions the trial court did not</w:t>
      </w:r>
      <w:r w:rsidRPr="009A4040">
        <w:rPr>
          <w:rFonts w:ascii="Times New Roman" w:hAnsi="Times New Roman" w:cs="Times New Roman"/>
          <w:sz w:val="24"/>
          <w:szCs w:val="24"/>
        </w:rPr>
        <w:t xml:space="preserve"> back </w:t>
      </w:r>
      <w:r>
        <w:rPr>
          <w:rFonts w:ascii="Times New Roman" w:hAnsi="Times New Roman" w:cs="Times New Roman"/>
          <w:sz w:val="24"/>
          <w:szCs w:val="24"/>
        </w:rPr>
        <w:t>them with</w:t>
      </w:r>
      <w:r w:rsidRPr="009A4040">
        <w:rPr>
          <w:rFonts w:ascii="Times New Roman" w:hAnsi="Times New Roman" w:cs="Times New Roman"/>
          <w:sz w:val="24"/>
          <w:szCs w:val="24"/>
        </w:rPr>
        <w:t xml:space="preserve"> acceptable reasoning based on </w:t>
      </w:r>
      <w:r>
        <w:rPr>
          <w:rFonts w:ascii="Times New Roman" w:hAnsi="Times New Roman" w:cs="Times New Roman"/>
          <w:sz w:val="24"/>
          <w:szCs w:val="24"/>
        </w:rPr>
        <w:t>a</w:t>
      </w:r>
      <w:r w:rsidRPr="009A4040">
        <w:rPr>
          <w:rFonts w:ascii="Times New Roman" w:hAnsi="Times New Roman" w:cs="Times New Roman"/>
          <w:sz w:val="24"/>
          <w:szCs w:val="24"/>
        </w:rPr>
        <w:t xml:space="preserve"> proper evaluation of evidence</w:t>
      </w:r>
      <w:r>
        <w:rPr>
          <w:rFonts w:ascii="Times New Roman" w:hAnsi="Times New Roman" w:cs="Times New Roman"/>
          <w:sz w:val="24"/>
          <w:szCs w:val="24"/>
        </w:rPr>
        <w:t>,</w:t>
      </w:r>
      <w:r w:rsidRPr="009A4040">
        <w:rPr>
          <w:rFonts w:ascii="Times New Roman" w:hAnsi="Times New Roman" w:cs="Times New Roman"/>
          <w:sz w:val="24"/>
          <w:szCs w:val="24"/>
        </w:rPr>
        <w:t xml:space="preserve"> which </w:t>
      </w:r>
      <w:r>
        <w:rPr>
          <w:rFonts w:ascii="Times New Roman" w:hAnsi="Times New Roman" w:cs="Times New Roman"/>
          <w:sz w:val="24"/>
          <w:szCs w:val="24"/>
        </w:rPr>
        <w:t>evidence as a result was not</w:t>
      </w:r>
      <w:r w:rsidRPr="009A4040">
        <w:rPr>
          <w:rFonts w:ascii="Times New Roman" w:hAnsi="Times New Roman" w:cs="Times New Roman"/>
          <w:sz w:val="24"/>
          <w:szCs w:val="24"/>
        </w:rPr>
        <w:t xml:space="preserve"> considered in </w:t>
      </w:r>
      <w:r>
        <w:rPr>
          <w:rFonts w:ascii="Times New Roman" w:hAnsi="Times New Roman" w:cs="Times New Roman"/>
          <w:sz w:val="24"/>
          <w:szCs w:val="24"/>
        </w:rPr>
        <w:t>its</w:t>
      </w:r>
      <w:r w:rsidRPr="009A4040">
        <w:rPr>
          <w:rFonts w:ascii="Times New Roman" w:hAnsi="Times New Roman" w:cs="Times New Roman"/>
          <w:sz w:val="24"/>
          <w:szCs w:val="24"/>
        </w:rPr>
        <w:t xml:space="preserve"> proper perspective</w:t>
      </w:r>
      <w:r>
        <w:rPr>
          <w:rFonts w:ascii="Times New Roman" w:hAnsi="Times New Roman" w:cs="Times New Roman"/>
          <w:sz w:val="24"/>
          <w:szCs w:val="24"/>
        </w:rPr>
        <w:t>. This being the first</w:t>
      </w:r>
      <w:r w:rsidRPr="009A4040">
        <w:rPr>
          <w:rFonts w:ascii="Times New Roman" w:hAnsi="Times New Roman" w:cs="Times New Roman"/>
          <w:sz w:val="24"/>
          <w:szCs w:val="24"/>
        </w:rPr>
        <w:t xml:space="preserve"> appellate court</w:t>
      </w:r>
      <w:r>
        <w:rPr>
          <w:rFonts w:ascii="Times New Roman" w:hAnsi="Times New Roman" w:cs="Times New Roman"/>
          <w:sz w:val="24"/>
          <w:szCs w:val="24"/>
        </w:rPr>
        <w:t>,</w:t>
      </w:r>
      <w:r w:rsidRPr="009A4040">
        <w:rPr>
          <w:rFonts w:ascii="Times New Roman" w:hAnsi="Times New Roman" w:cs="Times New Roman"/>
          <w:sz w:val="24"/>
          <w:szCs w:val="24"/>
        </w:rPr>
        <w:t xml:space="preserve"> findings of fact </w:t>
      </w:r>
      <w:r>
        <w:rPr>
          <w:rFonts w:ascii="Times New Roman" w:hAnsi="Times New Roman" w:cs="Times New Roman"/>
          <w:sz w:val="24"/>
          <w:szCs w:val="24"/>
        </w:rPr>
        <w:t>which</w:t>
      </w:r>
      <w:r w:rsidRPr="009A4040">
        <w:rPr>
          <w:rFonts w:ascii="Times New Roman" w:hAnsi="Times New Roman" w:cs="Times New Roman"/>
          <w:sz w:val="24"/>
          <w:szCs w:val="24"/>
        </w:rPr>
        <w:t xml:space="preserve"> were based on no evidence, or on a misapprehension of the evidence, or </w:t>
      </w:r>
      <w:r>
        <w:rPr>
          <w:rFonts w:ascii="Times New Roman" w:hAnsi="Times New Roman" w:cs="Times New Roman"/>
          <w:sz w:val="24"/>
          <w:szCs w:val="24"/>
        </w:rPr>
        <w:t>in respec</w:t>
      </w:r>
      <w:r w:rsidRPr="009A4040">
        <w:rPr>
          <w:rFonts w:ascii="Times New Roman" w:hAnsi="Times New Roman" w:cs="Times New Roman"/>
          <w:sz w:val="24"/>
          <w:szCs w:val="24"/>
        </w:rPr>
        <w:t xml:space="preserve">t </w:t>
      </w:r>
      <w:r>
        <w:rPr>
          <w:rFonts w:ascii="Times New Roman" w:hAnsi="Times New Roman" w:cs="Times New Roman"/>
          <w:sz w:val="24"/>
          <w:szCs w:val="24"/>
        </w:rPr>
        <w:t xml:space="preserve">of which </w:t>
      </w:r>
      <w:r w:rsidRPr="009A4040">
        <w:rPr>
          <w:rFonts w:ascii="Times New Roman" w:hAnsi="Times New Roman" w:cs="Times New Roman"/>
          <w:sz w:val="24"/>
          <w:szCs w:val="24"/>
        </w:rPr>
        <w:t xml:space="preserve">the trial court demonstrably acted on the wrong principles in reaching those findings </w:t>
      </w:r>
      <w:r>
        <w:rPr>
          <w:rFonts w:ascii="Times New Roman" w:hAnsi="Times New Roman" w:cs="Times New Roman"/>
          <w:sz w:val="24"/>
          <w:szCs w:val="24"/>
        </w:rPr>
        <w:t xml:space="preserve">may be reversed </w:t>
      </w:r>
      <w:r w:rsidRPr="009A4040">
        <w:rPr>
          <w:rFonts w:ascii="Times New Roman" w:hAnsi="Times New Roman" w:cs="Times New Roman"/>
          <w:sz w:val="24"/>
          <w:szCs w:val="24"/>
        </w:rPr>
        <w:t xml:space="preserve">(See </w:t>
      </w:r>
      <w:r w:rsidRPr="009A4040">
        <w:rPr>
          <w:rFonts w:ascii="Times New Roman" w:hAnsi="Times New Roman" w:cs="Times New Roman"/>
          <w:i/>
          <w:sz w:val="24"/>
          <w:szCs w:val="24"/>
        </w:rPr>
        <w:t>Peters v Sunday Post Ltd [1958] E.A. 429</w:t>
      </w:r>
      <w:r w:rsidRPr="009A4040">
        <w:rPr>
          <w:rFonts w:ascii="Times New Roman" w:hAnsi="Times New Roman" w:cs="Times New Roman"/>
          <w:sz w:val="24"/>
          <w:szCs w:val="24"/>
        </w:rPr>
        <w:t>).</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trial, the burden of proof lay with the appellant. To decide in favour of the appellant, the court had to be satisfied that the appellant had furnished evidence whose level of probity was not just of equal degree</w:t>
      </w:r>
      <w:r w:rsidRPr="009A4040">
        <w:rPr>
          <w:rFonts w:ascii="Times New Roman" w:hAnsi="Times New Roman" w:cs="Times New Roman"/>
          <w:sz w:val="24"/>
          <w:szCs w:val="24"/>
        </w:rPr>
        <w:t xml:space="preserve"> of probability </w:t>
      </w:r>
      <w:r>
        <w:rPr>
          <w:rFonts w:ascii="Times New Roman" w:hAnsi="Times New Roman" w:cs="Times New Roman"/>
          <w:sz w:val="24"/>
          <w:szCs w:val="24"/>
        </w:rPr>
        <w:t>with</w:t>
      </w:r>
      <w:r w:rsidR="00A10AFE">
        <w:rPr>
          <w:rFonts w:ascii="Times New Roman" w:hAnsi="Times New Roman" w:cs="Times New Roman"/>
          <w:sz w:val="24"/>
          <w:szCs w:val="24"/>
        </w:rPr>
        <w:t xml:space="preserve"> that adduced by the respondent</w:t>
      </w:r>
      <w:r>
        <w:rPr>
          <w:rFonts w:ascii="Times New Roman" w:hAnsi="Times New Roman" w:cs="Times New Roman"/>
          <w:sz w:val="24"/>
          <w:szCs w:val="24"/>
        </w:rPr>
        <w:t xml:space="preserve"> such </w:t>
      </w:r>
      <w:r w:rsidRPr="009A4040">
        <w:rPr>
          <w:rFonts w:ascii="Times New Roman" w:hAnsi="Times New Roman" w:cs="Times New Roman"/>
          <w:sz w:val="24"/>
          <w:szCs w:val="24"/>
        </w:rPr>
        <w:t xml:space="preserve">that the choice between </w:t>
      </w:r>
      <w:r>
        <w:rPr>
          <w:rFonts w:ascii="Times New Roman" w:hAnsi="Times New Roman" w:cs="Times New Roman"/>
          <w:sz w:val="24"/>
          <w:szCs w:val="24"/>
        </w:rPr>
        <w:t>his version and</w:t>
      </w:r>
      <w:r w:rsidR="00A10AFE">
        <w:rPr>
          <w:rFonts w:ascii="Times New Roman" w:hAnsi="Times New Roman" w:cs="Times New Roman"/>
          <w:sz w:val="24"/>
          <w:szCs w:val="24"/>
        </w:rPr>
        <w:t xml:space="preserve"> that of the appellant</w:t>
      </w:r>
      <w:r>
        <w:rPr>
          <w:rFonts w:ascii="Times New Roman" w:hAnsi="Times New Roman" w:cs="Times New Roman"/>
          <w:sz w:val="24"/>
          <w:szCs w:val="24"/>
        </w:rPr>
        <w:t xml:space="preserve"> would be a</w:t>
      </w:r>
      <w:r w:rsidRPr="009A4040">
        <w:rPr>
          <w:rFonts w:ascii="Times New Roman" w:hAnsi="Times New Roman" w:cs="Times New Roman"/>
          <w:sz w:val="24"/>
          <w:szCs w:val="24"/>
        </w:rPr>
        <w:t xml:space="preserve"> matter of </w:t>
      </w:r>
      <w:r>
        <w:rPr>
          <w:rFonts w:ascii="Times New Roman" w:hAnsi="Times New Roman" w:cs="Times New Roman"/>
          <w:sz w:val="24"/>
          <w:szCs w:val="24"/>
        </w:rPr>
        <w:t xml:space="preserve">mere </w:t>
      </w:r>
      <w:r w:rsidRPr="009A4040">
        <w:rPr>
          <w:rFonts w:ascii="Times New Roman" w:hAnsi="Times New Roman" w:cs="Times New Roman"/>
          <w:sz w:val="24"/>
          <w:szCs w:val="24"/>
        </w:rPr>
        <w:t>conjecture</w:t>
      </w:r>
      <w:r>
        <w:rPr>
          <w:rFonts w:ascii="Times New Roman" w:hAnsi="Times New Roman" w:cs="Times New Roman"/>
          <w:sz w:val="24"/>
          <w:szCs w:val="24"/>
        </w:rPr>
        <w:t xml:space="preserve">, but rather of </w:t>
      </w:r>
      <w:r>
        <w:rPr>
          <w:rFonts w:ascii="Times New Roman" w:hAnsi="Times New Roman" w:cs="Times New Roman"/>
          <w:sz w:val="24"/>
          <w:szCs w:val="24"/>
        </w:rPr>
        <w:lastRenderedPageBreak/>
        <w:t xml:space="preserve">a quality which </w:t>
      </w:r>
      <w:r w:rsidRPr="009A4040">
        <w:rPr>
          <w:rFonts w:ascii="Times New Roman" w:hAnsi="Times New Roman" w:cs="Times New Roman"/>
          <w:sz w:val="24"/>
          <w:szCs w:val="24"/>
        </w:rPr>
        <w:t>a reasonable man</w:t>
      </w:r>
      <w:r>
        <w:rPr>
          <w:rFonts w:ascii="Times New Roman" w:hAnsi="Times New Roman" w:cs="Times New Roman"/>
          <w:sz w:val="24"/>
          <w:szCs w:val="24"/>
        </w:rPr>
        <w:t>, after comparing it with that adduced by the respondent,</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was</w:t>
      </w:r>
      <w:r w:rsidRPr="009A4040">
        <w:rPr>
          <w:rFonts w:ascii="Times New Roman" w:hAnsi="Times New Roman" w:cs="Times New Roman"/>
          <w:sz w:val="24"/>
          <w:szCs w:val="24"/>
        </w:rPr>
        <w:t xml:space="preserve"> that for which the </w:t>
      </w:r>
      <w:r>
        <w:rPr>
          <w:rFonts w:ascii="Times New Roman" w:hAnsi="Times New Roman" w:cs="Times New Roman"/>
          <w:sz w:val="24"/>
          <w:szCs w:val="24"/>
        </w:rPr>
        <w:t>appellant</w:t>
      </w:r>
      <w:r w:rsidRPr="009A4040">
        <w:rPr>
          <w:rFonts w:ascii="Times New Roman" w:hAnsi="Times New Roman" w:cs="Times New Roman"/>
          <w:sz w:val="24"/>
          <w:szCs w:val="24"/>
        </w:rPr>
        <w:t xml:space="preserve"> contend</w:t>
      </w:r>
      <w:r>
        <w:rPr>
          <w:rFonts w:ascii="Times New Roman" w:hAnsi="Times New Roman" w:cs="Times New Roman"/>
          <w:sz w:val="24"/>
          <w:szCs w:val="24"/>
        </w:rPr>
        <w:t>ed. That in essence is the balance of probability / preponderance of evidence standard applied in civil trials.</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8F44F6" w:rsidRDefault="006F30C4" w:rsidP="008F44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version as pleaded in his plaint was that </w:t>
      </w:r>
      <w:r w:rsidR="00A10AFE">
        <w:rPr>
          <w:rFonts w:ascii="Times New Roman" w:hAnsi="Times New Roman" w:cs="Times New Roman"/>
          <w:sz w:val="24"/>
          <w:szCs w:val="24"/>
        </w:rPr>
        <w:t>originally belonged to his late grandfather, a one Drayi who was born on that land and upon his death, it was inherited by the appellant’s father, Elikude Mark who too was born on that land during the year 1909</w:t>
      </w:r>
      <w:r>
        <w:rPr>
          <w:rFonts w:ascii="Times New Roman" w:hAnsi="Times New Roman" w:cs="Times New Roman"/>
          <w:sz w:val="24"/>
          <w:szCs w:val="24"/>
        </w:rPr>
        <w:t>.</w:t>
      </w:r>
      <w:r w:rsidR="008F44F6" w:rsidRPr="008F44F6">
        <w:rPr>
          <w:rFonts w:ascii="Times New Roman" w:hAnsi="Times New Roman" w:cs="Times New Roman"/>
          <w:sz w:val="24"/>
          <w:szCs w:val="24"/>
        </w:rPr>
        <w:t xml:space="preserve"> </w:t>
      </w:r>
      <w:r w:rsidR="008F44F6">
        <w:rPr>
          <w:rFonts w:ascii="Times New Roman" w:hAnsi="Times New Roman" w:cs="Times New Roman"/>
          <w:sz w:val="24"/>
          <w:szCs w:val="24"/>
        </w:rPr>
        <w:t xml:space="preserve">In his testimony, the appellant stated that he was using the land in dispute jointly with his father until his death in 1981 whereupon he inherited it and continued using it. He sought and obtained a lease offer over that land. During the year 2000, the respondent trespassed on the land by planting an avocado tree and laying a foundation for a building without his consent. In that process, the respondent destroyed the appellant’s coffee trees. Sometime before his death, the appellant’s father had permitted the Public Works Department of the Ministry of Works to temporarily occupy the land. Although P.W.2 Adule Simon testified that the land in dispute belongs to the appellant having inherited it from his late father in Lunkinda who died in 1981 and planted 1000 coffee trees on the land staring in the year 1999, he also said that the Public Works Department of the Ministry of Works temporarily occupied the land but vacated it in 1995. </w:t>
      </w:r>
    </w:p>
    <w:p w:rsidR="008F44F6" w:rsidRDefault="008F44F6" w:rsidP="008F44F6">
      <w:pPr>
        <w:spacing w:after="0" w:line="360" w:lineRule="auto"/>
        <w:jc w:val="both"/>
        <w:rPr>
          <w:rFonts w:ascii="Times New Roman" w:hAnsi="Times New Roman" w:cs="Times New Roman"/>
          <w:sz w:val="24"/>
          <w:szCs w:val="24"/>
        </w:rPr>
      </w:pPr>
    </w:p>
    <w:p w:rsidR="006F30C4" w:rsidRDefault="008F44F6" w:rsidP="008F44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the respondent testified that the land previously belonged to his grandfather and he inherited it from his father upon his death in the year 2001. His great grandfather Obiti had in the year 1910 allowed the Public Works Department of the Ministry of Works to occupy the land and the department had vacated the land in the year 2001 whereupon the respondent entered into possession and began digging a foundation for the construction of a building but was stopped by the L.Cs. The respondent filed a case of criminal trespass against the appellant, the latter was convicted and fined by the Grade II Court at Odumi. D.W.2 Tikodri Abele testified that the land originally belonged to the respondent’s grandfather, Obiti Asara but in 1935, the then Local Government established a camp on the land until the year 2000 when the appellant attempted to enter onto the land and he was arrested. To him, the land is the property of government. D.W.3 John Onyua testified that it previously belonged to the respondent’s late grandfather Obiti who in 1935, gave it to the government to establish a camp and to-date it belongs to the sub-county. </w:t>
      </w:r>
    </w:p>
    <w:p w:rsidR="006F30C4" w:rsidRDefault="006F30C4" w:rsidP="006F30C4">
      <w:pPr>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Comparing the two versions, I find that </w:t>
      </w:r>
      <w:r w:rsidR="008F44F6">
        <w:rPr>
          <w:rFonts w:ascii="Times New Roman" w:hAnsi="Times New Roman" w:cs="Times New Roman"/>
          <w:sz w:val="24"/>
          <w:szCs w:val="24"/>
        </w:rPr>
        <w:t xml:space="preserve">although the appellant attributed the historical ownership of the land </w:t>
      </w:r>
      <w:r w:rsidR="008F2363">
        <w:rPr>
          <w:rFonts w:ascii="Times New Roman" w:hAnsi="Times New Roman" w:cs="Times New Roman"/>
          <w:sz w:val="24"/>
          <w:szCs w:val="24"/>
        </w:rPr>
        <w:t xml:space="preserve">in dispute </w:t>
      </w:r>
      <w:r w:rsidR="008F44F6">
        <w:rPr>
          <w:rFonts w:ascii="Times New Roman" w:hAnsi="Times New Roman" w:cs="Times New Roman"/>
          <w:sz w:val="24"/>
          <w:szCs w:val="24"/>
        </w:rPr>
        <w:t xml:space="preserve">to his grandfather Drayi and through inheritance he himself subsequently acquired it in 1981 upon the death of his father, Elikude Mark, the respondent </w:t>
      </w:r>
      <w:r w:rsidR="008F2363">
        <w:rPr>
          <w:rFonts w:ascii="Times New Roman" w:hAnsi="Times New Roman" w:cs="Times New Roman"/>
          <w:sz w:val="24"/>
          <w:szCs w:val="24"/>
        </w:rPr>
        <w:t>on his part</w:t>
      </w:r>
      <w:r w:rsidR="008F44F6">
        <w:rPr>
          <w:rFonts w:ascii="Times New Roman" w:hAnsi="Times New Roman" w:cs="Times New Roman"/>
          <w:sz w:val="24"/>
          <w:szCs w:val="24"/>
        </w:rPr>
        <w:t xml:space="preserve"> ascribed the historical ownership of the land to his great grandfather Obiti Asara and through inheritance he himself subsequently acquired it the year 2001 when the Public Works Department of the Ministry of Works vacated the land which they had </w:t>
      </w:r>
      <w:r w:rsidR="008F2363">
        <w:rPr>
          <w:rFonts w:ascii="Times New Roman" w:hAnsi="Times New Roman" w:cs="Times New Roman"/>
          <w:sz w:val="24"/>
          <w:szCs w:val="24"/>
        </w:rPr>
        <w:t xml:space="preserve">occupied since 1935. </w:t>
      </w:r>
    </w:p>
    <w:p w:rsidR="006E2A5F" w:rsidRDefault="006E2A5F"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E2A5F" w:rsidP="006E2A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burden of proof in the court below lay on the appellant, he being the plaintiff. He had to prove acquisition of the land in dispute as a customary owner on the balance of probabilities.  </w:t>
      </w:r>
      <w:r w:rsidR="006F30C4" w:rsidRPr="00E14050">
        <w:rPr>
          <w:rFonts w:ascii="Times New Roman" w:hAnsi="Times New Roman" w:cs="Times New Roman"/>
          <w:sz w:val="24"/>
          <w:szCs w:val="24"/>
        </w:rPr>
        <w:t>Customary</w:t>
      </w:r>
      <w:r w:rsidR="006F30C4">
        <w:rPr>
          <w:rFonts w:ascii="Times New Roman" w:hAnsi="Times New Roman" w:cs="Times New Roman"/>
          <w:sz w:val="24"/>
          <w:szCs w:val="24"/>
        </w:rPr>
        <w:t xml:space="preserve"> tenure is recognized by</w:t>
      </w:r>
      <w:r w:rsidR="006F30C4" w:rsidRPr="00E14050">
        <w:rPr>
          <w:rFonts w:ascii="Times New Roman" w:hAnsi="Times New Roman" w:cs="Times New Roman"/>
          <w:sz w:val="24"/>
          <w:szCs w:val="24"/>
        </w:rPr>
        <w:t xml:space="preserve"> Article 237 (3) (a) of </w:t>
      </w:r>
      <w:r w:rsidR="006F30C4" w:rsidRPr="002B1EDE">
        <w:rPr>
          <w:rFonts w:ascii="Times New Roman" w:hAnsi="Times New Roman" w:cs="Times New Roman"/>
          <w:i/>
          <w:sz w:val="24"/>
          <w:szCs w:val="24"/>
        </w:rPr>
        <w:t>The Constitution of the Republic of Uganda 1995</w:t>
      </w:r>
      <w:r w:rsidR="006F30C4">
        <w:rPr>
          <w:rFonts w:ascii="Times New Roman" w:hAnsi="Times New Roman" w:cs="Times New Roman"/>
          <w:sz w:val="24"/>
          <w:szCs w:val="24"/>
        </w:rPr>
        <w:t xml:space="preserve">, and s. 2 of the </w:t>
      </w:r>
      <w:r w:rsidR="006F30C4" w:rsidRPr="002B1EDE">
        <w:rPr>
          <w:rFonts w:ascii="Times New Roman" w:hAnsi="Times New Roman" w:cs="Times New Roman"/>
          <w:i/>
          <w:sz w:val="24"/>
          <w:szCs w:val="24"/>
        </w:rPr>
        <w:t>Land Act</w:t>
      </w:r>
      <w:r w:rsidR="006F30C4">
        <w:rPr>
          <w:rFonts w:ascii="Times New Roman" w:hAnsi="Times New Roman" w:cs="Times New Roman"/>
          <w:sz w:val="24"/>
          <w:szCs w:val="24"/>
        </w:rPr>
        <w:t>, Cap 227 as one of the four tenure systems of Uganda. It is defined by s. 1 (</w:t>
      </w:r>
      <w:r w:rsidR="006F30C4" w:rsidRPr="007F6400">
        <w:rPr>
          <w:rFonts w:ascii="Times New Roman" w:hAnsi="Times New Roman" w:cs="Times New Roman"/>
          <w:i/>
          <w:sz w:val="24"/>
          <w:szCs w:val="24"/>
        </w:rPr>
        <w:t>l</w:t>
      </w:r>
      <w:r w:rsidR="006F30C4">
        <w:rPr>
          <w:rFonts w:ascii="Times New Roman" w:hAnsi="Times New Roman" w:cs="Times New Roman"/>
          <w:sz w:val="24"/>
          <w:szCs w:val="24"/>
        </w:rPr>
        <w:t xml:space="preserve">) together with s. 3 of the </w:t>
      </w:r>
      <w:r w:rsidR="006F30C4" w:rsidRPr="007F6400">
        <w:rPr>
          <w:rFonts w:ascii="Times New Roman" w:hAnsi="Times New Roman" w:cs="Times New Roman"/>
          <w:i/>
          <w:sz w:val="24"/>
          <w:szCs w:val="24"/>
        </w:rPr>
        <w:t>Land Act</w:t>
      </w:r>
      <w:r w:rsidR="006F30C4">
        <w:rPr>
          <w:rFonts w:ascii="Times New Roman" w:hAnsi="Times New Roman" w:cs="Times New Roman"/>
          <w:sz w:val="24"/>
          <w:szCs w:val="24"/>
        </w:rPr>
        <w:t xml:space="preserve"> as </w:t>
      </w:r>
      <w:r w:rsidR="006F30C4" w:rsidRPr="007F6400">
        <w:rPr>
          <w:rFonts w:ascii="Times New Roman" w:hAnsi="Times New Roman" w:cs="Times New Roman"/>
          <w:sz w:val="24"/>
          <w:szCs w:val="24"/>
        </w:rPr>
        <w:t>system of land tenure regulated by customary rules which are limited in their operation to a particular description or class of persons the incidents</w:t>
      </w:r>
      <w:r w:rsidR="006F30C4" w:rsidRPr="00E14050">
        <w:rPr>
          <w:rFonts w:ascii="Times New Roman" w:hAnsi="Times New Roman" w:cs="Times New Roman"/>
          <w:sz w:val="24"/>
          <w:szCs w:val="24"/>
        </w:rPr>
        <w:t xml:space="preserve"> </w:t>
      </w:r>
      <w:r w:rsidR="006F30C4" w:rsidRPr="007F6400">
        <w:rPr>
          <w:rFonts w:ascii="Times New Roman" w:hAnsi="Times New Roman" w:cs="Times New Roman"/>
          <w:sz w:val="24"/>
          <w:szCs w:val="24"/>
        </w:rPr>
        <w:t>of which</w:t>
      </w:r>
      <w:r w:rsidR="006F30C4">
        <w:rPr>
          <w:rFonts w:ascii="Times New Roman" w:hAnsi="Times New Roman" w:cs="Times New Roman"/>
          <w:sz w:val="24"/>
          <w:szCs w:val="24"/>
        </w:rPr>
        <w:t xml:space="preserve"> include; </w:t>
      </w:r>
      <w:r w:rsidR="006F30C4" w:rsidRPr="007F6400">
        <w:rPr>
          <w:rFonts w:ascii="Times New Roman" w:hAnsi="Times New Roman" w:cs="Times New Roman"/>
          <w:sz w:val="24"/>
          <w:szCs w:val="24"/>
        </w:rPr>
        <w:t>(a) applicable to a specific area of land and a specific description or</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class of persons;</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(b) governed by rules generally accepted as</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binding and authoritative by the class of persons to which it</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applies;</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(c) applicable to any persons acquiring land in that area in accordance with those rules;</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(d) characterised by local customary</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regulation;</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(e) applying local customary regulation and management to</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individual and household ownership, use and occupation of, and</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transactions in, land;</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(f) providing for communal ownership and use of land;</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(g) in which parcels of land may be recognised as subdivisions</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belonging to a person, a family or a traditional institution; and</w:t>
      </w:r>
      <w:r w:rsidR="006F30C4">
        <w:rPr>
          <w:rFonts w:ascii="Times New Roman" w:hAnsi="Times New Roman" w:cs="Times New Roman"/>
          <w:sz w:val="24"/>
          <w:szCs w:val="24"/>
        </w:rPr>
        <w:t xml:space="preserve"> </w:t>
      </w:r>
      <w:r w:rsidR="006F30C4" w:rsidRPr="007F6400">
        <w:rPr>
          <w:rFonts w:ascii="Times New Roman" w:hAnsi="Times New Roman" w:cs="Times New Roman"/>
          <w:sz w:val="24"/>
          <w:szCs w:val="24"/>
        </w:rPr>
        <w:t>(h) which is owned in perpetuity.</w:t>
      </w:r>
      <w:r w:rsidR="006F30C4">
        <w:rPr>
          <w:rFonts w:ascii="Times New Roman" w:hAnsi="Times New Roman" w:cs="Times New Roman"/>
          <w:sz w:val="24"/>
          <w:szCs w:val="24"/>
        </w:rPr>
        <w:t xml:space="preserve"> </w:t>
      </w:r>
    </w:p>
    <w:p w:rsidR="006F30C4" w:rsidRDefault="006F30C4" w:rsidP="006F30C4">
      <w:pPr>
        <w:spacing w:after="0" w:line="360" w:lineRule="auto"/>
        <w:jc w:val="both"/>
        <w:rPr>
          <w:rFonts w:ascii="Times New Roman" w:hAnsi="Times New Roman" w:cs="Times New Roman"/>
          <w:sz w:val="24"/>
          <w:szCs w:val="24"/>
        </w:rPr>
      </w:pPr>
    </w:p>
    <w:p w:rsidR="006F30C4" w:rsidRPr="00C7775D" w:rsidRDefault="006F30C4" w:rsidP="006F3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Customary tenure is </w:t>
      </w:r>
      <w:r w:rsidRPr="007F6400">
        <w:rPr>
          <w:rFonts w:ascii="Times New Roman" w:hAnsi="Times New Roman" w:cs="Times New Roman"/>
          <w:sz w:val="24"/>
          <w:szCs w:val="24"/>
        </w:rPr>
        <w:t>characterised by local customary</w:t>
      </w:r>
      <w:r>
        <w:rPr>
          <w:rFonts w:ascii="Times New Roman" w:hAnsi="Times New Roman" w:cs="Times New Roman"/>
          <w:sz w:val="24"/>
          <w:szCs w:val="24"/>
        </w:rPr>
        <w:t xml:space="preserve"> rules </w:t>
      </w:r>
      <w:r w:rsidRPr="007F6400">
        <w:rPr>
          <w:rFonts w:ascii="Times New Roman" w:hAnsi="Times New Roman" w:cs="Times New Roman"/>
          <w:sz w:val="24"/>
          <w:szCs w:val="24"/>
        </w:rPr>
        <w:t>regulati</w:t>
      </w:r>
      <w:r>
        <w:rPr>
          <w:rFonts w:ascii="Times New Roman" w:hAnsi="Times New Roman" w:cs="Times New Roman"/>
          <w:sz w:val="24"/>
          <w:szCs w:val="24"/>
        </w:rPr>
        <w:t xml:space="preserve">ng transactions in land, </w:t>
      </w:r>
      <w:r w:rsidRPr="007F6400">
        <w:rPr>
          <w:rFonts w:ascii="Times New Roman" w:hAnsi="Times New Roman" w:cs="Times New Roman"/>
          <w:sz w:val="24"/>
          <w:szCs w:val="24"/>
        </w:rPr>
        <w:t>individual</w:t>
      </w:r>
      <w:r>
        <w:rPr>
          <w:rFonts w:ascii="Times New Roman" w:hAnsi="Times New Roman" w:cs="Times New Roman"/>
          <w:sz w:val="24"/>
          <w:szCs w:val="24"/>
        </w:rPr>
        <w:t>,</w:t>
      </w:r>
      <w:r w:rsidRPr="007F6400">
        <w:rPr>
          <w:rFonts w:ascii="Times New Roman" w:hAnsi="Times New Roman" w:cs="Times New Roman"/>
          <w:sz w:val="24"/>
          <w:szCs w:val="24"/>
        </w:rPr>
        <w:t xml:space="preserve"> household</w:t>
      </w:r>
      <w:r>
        <w:rPr>
          <w:rFonts w:ascii="Times New Roman" w:hAnsi="Times New Roman" w:cs="Times New Roman"/>
          <w:sz w:val="24"/>
          <w:szCs w:val="24"/>
        </w:rPr>
        <w:t>, communal and traditional institutional</w:t>
      </w:r>
      <w:r w:rsidRPr="007F6400">
        <w:rPr>
          <w:rFonts w:ascii="Times New Roman" w:hAnsi="Times New Roman" w:cs="Times New Roman"/>
          <w:sz w:val="24"/>
          <w:szCs w:val="24"/>
        </w:rPr>
        <w:t xml:space="preserve"> 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occupation of</w:t>
      </w:r>
      <w:r>
        <w:rPr>
          <w:rFonts w:ascii="Times New Roman" w:hAnsi="Times New Roman" w:cs="Times New Roman"/>
          <w:sz w:val="24"/>
          <w:szCs w:val="24"/>
        </w:rPr>
        <w:t xml:space="preserve"> land</w:t>
      </w:r>
      <w:r w:rsidRPr="007F6400">
        <w:rPr>
          <w:rFonts w:ascii="Times New Roman" w:hAnsi="Times New Roman" w:cs="Times New Roman"/>
          <w:sz w:val="24"/>
          <w:szCs w:val="24"/>
        </w:rPr>
        <w:t xml:space="preserve">, which </w:t>
      </w:r>
      <w:r>
        <w:rPr>
          <w:rFonts w:ascii="Times New Roman" w:hAnsi="Times New Roman" w:cs="Times New Roman"/>
          <w:sz w:val="24"/>
          <w:szCs w:val="24"/>
        </w:rPr>
        <w:t xml:space="preserve">rules are limited in their operation </w:t>
      </w:r>
      <w:r w:rsidRPr="007F6400">
        <w:rPr>
          <w:rFonts w:ascii="Times New Roman" w:hAnsi="Times New Roman" w:cs="Times New Roman"/>
          <w:sz w:val="24"/>
          <w:szCs w:val="24"/>
        </w:rPr>
        <w:t>to a specific area of land and a specific description or</w:t>
      </w:r>
      <w:r>
        <w:rPr>
          <w:rFonts w:ascii="Times New Roman" w:hAnsi="Times New Roman" w:cs="Times New Roman"/>
          <w:sz w:val="24"/>
          <w:szCs w:val="24"/>
        </w:rPr>
        <w:t xml:space="preserve"> </w:t>
      </w:r>
      <w:r w:rsidRPr="007F6400">
        <w:rPr>
          <w:rFonts w:ascii="Times New Roman" w:hAnsi="Times New Roman" w:cs="Times New Roman"/>
          <w:sz w:val="24"/>
          <w:szCs w:val="24"/>
        </w:rPr>
        <w:t>class of persons</w:t>
      </w:r>
      <w:r>
        <w:rPr>
          <w:rFonts w:ascii="Times New Roman" w:hAnsi="Times New Roman" w:cs="Times New Roman"/>
          <w:sz w:val="24"/>
          <w:szCs w:val="24"/>
        </w:rPr>
        <w:t>,</w:t>
      </w:r>
      <w:r w:rsidRPr="007F6400">
        <w:rPr>
          <w:rFonts w:ascii="Times New Roman" w:hAnsi="Times New Roman" w:cs="Times New Roman"/>
          <w:sz w:val="24"/>
          <w:szCs w:val="24"/>
        </w:rPr>
        <w:t xml:space="preserve"> </w:t>
      </w:r>
      <w:r>
        <w:rPr>
          <w:rFonts w:ascii="Times New Roman" w:hAnsi="Times New Roman" w:cs="Times New Roman"/>
          <w:sz w:val="24"/>
          <w:szCs w:val="24"/>
        </w:rPr>
        <w:t xml:space="preserve">but are </w:t>
      </w:r>
      <w:r w:rsidRPr="007F6400">
        <w:rPr>
          <w:rFonts w:ascii="Times New Roman" w:hAnsi="Times New Roman" w:cs="Times New Roman"/>
          <w:sz w:val="24"/>
          <w:szCs w:val="24"/>
        </w:rPr>
        <w:t>generally 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 by th</w:t>
      </w:r>
      <w:r>
        <w:rPr>
          <w:rFonts w:ascii="Times New Roman" w:hAnsi="Times New Roman" w:cs="Times New Roman"/>
          <w:sz w:val="24"/>
          <w:szCs w:val="24"/>
        </w:rPr>
        <w:t>at</w:t>
      </w:r>
      <w:r w:rsidRPr="007F6400">
        <w:rPr>
          <w:rFonts w:ascii="Times New Roman" w:hAnsi="Times New Roman" w:cs="Times New Roman"/>
          <w:sz w:val="24"/>
          <w:szCs w:val="24"/>
        </w:rPr>
        <w:t xml:space="preserve"> class of persons</w:t>
      </w:r>
      <w:r>
        <w:rPr>
          <w:rFonts w:ascii="Times New Roman" w:hAnsi="Times New Roman" w:cs="Times New Roman"/>
          <w:sz w:val="24"/>
          <w:szCs w:val="24"/>
        </w:rPr>
        <w:t xml:space="preserve"> or</w:t>
      </w:r>
      <w:r w:rsidRPr="007F6400">
        <w:rPr>
          <w:rFonts w:ascii="Times New Roman" w:hAnsi="Times New Roman" w:cs="Times New Roman"/>
          <w:sz w:val="24"/>
          <w:szCs w:val="24"/>
        </w:rPr>
        <w:t xml:space="preserve"> </w:t>
      </w:r>
      <w:r>
        <w:rPr>
          <w:rFonts w:ascii="Times New Roman" w:hAnsi="Times New Roman" w:cs="Times New Roman"/>
          <w:sz w:val="24"/>
          <w:szCs w:val="24"/>
        </w:rPr>
        <w:t>upon</w:t>
      </w:r>
      <w:r w:rsidRPr="007F6400">
        <w:rPr>
          <w:rFonts w:ascii="Times New Roman" w:hAnsi="Times New Roman" w:cs="Times New Roman"/>
          <w:sz w:val="24"/>
          <w:szCs w:val="24"/>
        </w:rPr>
        <w:t xml:space="preserve"> any persons acquiring </w:t>
      </w:r>
      <w:r>
        <w:rPr>
          <w:rFonts w:ascii="Times New Roman" w:hAnsi="Times New Roman" w:cs="Times New Roman"/>
          <w:sz w:val="24"/>
          <w:szCs w:val="24"/>
        </w:rPr>
        <w:t xml:space="preserve">any part of that specific </w:t>
      </w:r>
      <w:r w:rsidRPr="007F6400">
        <w:rPr>
          <w:rFonts w:ascii="Times New Roman" w:hAnsi="Times New Roman" w:cs="Times New Roman"/>
          <w:sz w:val="24"/>
          <w:szCs w:val="24"/>
        </w:rPr>
        <w:t xml:space="preserve">land in </w:t>
      </w:r>
      <w:r>
        <w:rPr>
          <w:rFonts w:ascii="Times New Roman" w:hAnsi="Times New Roman" w:cs="Times New Roman"/>
          <w:sz w:val="24"/>
          <w:szCs w:val="24"/>
        </w:rPr>
        <w:t xml:space="preserve">accordance with those rules. Therefore, a person seeking to establish customary ownership of land has the onus of proving that he or she belongs to a specific description or class of persons to whom customary rules limited in their operation, regulating </w:t>
      </w:r>
      <w:r w:rsidRPr="007F6400">
        <w:rPr>
          <w:rFonts w:ascii="Times New Roman" w:hAnsi="Times New Roman" w:cs="Times New Roman"/>
          <w:sz w:val="24"/>
          <w:szCs w:val="24"/>
        </w:rPr>
        <w:t>ownership</w:t>
      </w:r>
      <w:r>
        <w:rPr>
          <w:rFonts w:ascii="Times New Roman" w:hAnsi="Times New Roman" w:cs="Times New Roman"/>
          <w:sz w:val="24"/>
          <w:szCs w:val="24"/>
        </w:rPr>
        <w:t xml:space="preserve">, </w:t>
      </w:r>
      <w:r w:rsidRPr="007F6400">
        <w:rPr>
          <w:rFonts w:ascii="Times New Roman" w:hAnsi="Times New Roman" w:cs="Times New Roman"/>
          <w:sz w:val="24"/>
          <w:szCs w:val="24"/>
        </w:rPr>
        <w:t>use</w:t>
      </w:r>
      <w:r>
        <w:rPr>
          <w:rFonts w:ascii="Times New Roman" w:hAnsi="Times New Roman" w:cs="Times New Roman"/>
          <w:sz w:val="24"/>
          <w:szCs w:val="24"/>
        </w:rPr>
        <w:t>, management</w:t>
      </w:r>
      <w:r w:rsidRPr="007F6400">
        <w:rPr>
          <w:rFonts w:ascii="Times New Roman" w:hAnsi="Times New Roman" w:cs="Times New Roman"/>
          <w:sz w:val="24"/>
          <w:szCs w:val="24"/>
        </w:rPr>
        <w:t xml:space="preserve"> and </w:t>
      </w:r>
      <w:r w:rsidRPr="007F6400">
        <w:rPr>
          <w:rFonts w:ascii="Times New Roman" w:hAnsi="Times New Roman" w:cs="Times New Roman"/>
          <w:sz w:val="24"/>
          <w:szCs w:val="24"/>
        </w:rPr>
        <w:lastRenderedPageBreak/>
        <w:t>occupation of</w:t>
      </w:r>
      <w:r>
        <w:rPr>
          <w:rFonts w:ascii="Times New Roman" w:hAnsi="Times New Roman" w:cs="Times New Roman"/>
          <w:sz w:val="24"/>
          <w:szCs w:val="24"/>
        </w:rPr>
        <w:t xml:space="preserve"> land, apply in respect of a specific area of land or that he or she is a person who acquired a part of that specific land to </w:t>
      </w:r>
      <w:r w:rsidRPr="00C7775D">
        <w:rPr>
          <w:rFonts w:ascii="Times New Roman" w:hAnsi="Times New Roman" w:cs="Times New Roman"/>
          <w:sz w:val="24"/>
          <w:szCs w:val="24"/>
        </w:rPr>
        <w:t>which such rules apply and that he or she acquired the land in accordance with those rules. 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 Review of judicial practice in this area presents three modes of proof</w:t>
      </w:r>
      <w:r>
        <w:rPr>
          <w:rFonts w:ascii="Times New Roman" w:hAnsi="Times New Roman" w:cs="Times New Roman"/>
          <w:sz w:val="24"/>
          <w:szCs w:val="24"/>
        </w:rPr>
        <w:t xml:space="preserve"> of customary ownership</w:t>
      </w:r>
      <w:r w:rsidRPr="00C7775D">
        <w:rPr>
          <w:rFonts w:ascii="Times New Roman" w:hAnsi="Times New Roman" w:cs="Times New Roman"/>
          <w:sz w:val="24"/>
          <w:szCs w:val="24"/>
        </w:rPr>
        <w:t>.</w:t>
      </w:r>
    </w:p>
    <w:p w:rsidR="006F30C4" w:rsidRDefault="006F30C4" w:rsidP="006F30C4">
      <w:pPr>
        <w:pStyle w:val="NormalWeb"/>
        <w:spacing w:line="360" w:lineRule="auto"/>
        <w:jc w:val="both"/>
      </w:pPr>
      <w:r>
        <w:t xml:space="preserve">In the first category, are customary rules that over the years, in the legislative history of land legislation in Uganda, have attained documentation by way of codification. These include persons holding under the </w:t>
      </w:r>
      <w:r w:rsidRPr="009A1246">
        <w:rPr>
          <w:i/>
        </w:rPr>
        <w:t>Ankole Landlord and Tenant Law of 1937</w:t>
      </w:r>
      <w:r>
        <w:rPr>
          <w:i/>
        </w:rPr>
        <w:t xml:space="preserve">, </w:t>
      </w:r>
      <w:r>
        <w:t xml:space="preserve">the </w:t>
      </w:r>
      <w:r w:rsidRPr="00C7775D">
        <w:rPr>
          <w:i/>
        </w:rPr>
        <w:t>Toro Landlord and Tenant Law of 1937</w:t>
      </w:r>
      <w:r w:rsidRPr="00C7775D">
        <w:t xml:space="preserve"> </w:t>
      </w:r>
      <w:r>
        <w:t xml:space="preserve">or Bibanja holdings by virtue of the </w:t>
      </w:r>
      <w:r w:rsidRPr="001938BF">
        <w:rPr>
          <w:i/>
        </w:rPr>
        <w:t>Busuulu and Envujjo Law 1928</w:t>
      </w:r>
      <w:r>
        <w:t xml:space="preserve"> the latter of which under s. 8 (1) provided that </w:t>
      </w:r>
      <w:r w:rsidRPr="009A1246">
        <w:t>except a wife or a child of the holder of a kibanja, or a person who succeeds to a Kibanja in accordance with native custom upon the death of the holder thereo</w:t>
      </w:r>
      <w:r>
        <w:t xml:space="preserve">f, no </w:t>
      </w:r>
      <w:r w:rsidRPr="009A1246">
        <w:t xml:space="preserve">person </w:t>
      </w:r>
      <w:r>
        <w:t xml:space="preserve">had </w:t>
      </w:r>
      <w:r w:rsidRPr="009A1246">
        <w:t>the right to reside upon the land of a mailo owner without first obtaining the consent of the mailo owner</w:t>
      </w:r>
      <w:r>
        <w:t xml:space="preserve">. Under s. 29 (1) (a) of the </w:t>
      </w:r>
      <w:r w:rsidRPr="00C7775D">
        <w:rPr>
          <w:i/>
        </w:rPr>
        <w:t>Land Act</w:t>
      </w:r>
      <w:r>
        <w:t xml:space="preserve">, such former customary tenants on land now have the status of lawful tenants. In such cases, there is no need to prove the nature and scope of the applicable customary rules and their </w:t>
      </w:r>
      <w:r w:rsidRPr="007F6400">
        <w:t>binding and authoritative</w:t>
      </w:r>
      <w:r>
        <w:t xml:space="preserve"> character but rather the production of evidence to show that the specific land is question is one to which such rules apply and that the acquisition</w:t>
      </w:r>
      <w:r w:rsidRPr="001938BF">
        <w:t xml:space="preserve"> </w:t>
      </w:r>
      <w:r>
        <w:t>was in accordance with those rules, for example by production of Busuulu Tickets, as was done in</w:t>
      </w:r>
      <w:r w:rsidRPr="00E13F7A">
        <w:rPr>
          <w:i/>
        </w:rPr>
        <w:t xml:space="preserve"> </w:t>
      </w:r>
      <w:r w:rsidRPr="00635B46">
        <w:rPr>
          <w:i/>
        </w:rPr>
        <w:t>John Busuulwa v John Kityo and others C.A. Civil Appeal No. 112 of 2003</w:t>
      </w:r>
      <w:r>
        <w:rPr>
          <w:i/>
        </w:rPr>
        <w:t xml:space="preserve">, </w:t>
      </w:r>
      <w:r>
        <w:t xml:space="preserve">and in </w:t>
      </w:r>
      <w:r w:rsidRPr="00E13F7A">
        <w:rPr>
          <w:i/>
        </w:rPr>
        <w:t>Kiwalabye v Kifamba H.C. Civil Suit No. 458 of 2012</w:t>
      </w:r>
      <w:r>
        <w:t xml:space="preserve">. For such interests, production of </w:t>
      </w:r>
      <w:r w:rsidRPr="00840698">
        <w:t xml:space="preserve">an agreement purporting to sell and transfer a Kibanja holding </w:t>
      </w:r>
      <w:r>
        <w:t>is</w:t>
      </w:r>
      <w:r w:rsidRPr="00840698">
        <w:t xml:space="preserve"> not sufficient proof of acquisition of a lawful holding</w:t>
      </w:r>
      <w:r>
        <w:t>. There is an additional need to prove co</w:t>
      </w:r>
      <w:r w:rsidRPr="00840698">
        <w:t>nsent of the mailo owner</w:t>
      </w:r>
      <w:r>
        <w:t xml:space="preserve">, e.g. introduction to the registered owner and payment of a “Kanzu” (see </w:t>
      </w:r>
      <w:r w:rsidRPr="00840698">
        <w:rPr>
          <w:i/>
        </w:rPr>
        <w:t>Muluta Joseph v Katama Sylvano S.C. Civil Appeal No. 11 of 1999</w:t>
      </w:r>
      <w:r>
        <w:t>)</w:t>
      </w:r>
      <w:r w:rsidRPr="00840698">
        <w:t>.</w:t>
      </w:r>
    </w:p>
    <w:p w:rsidR="006F30C4" w:rsidRDefault="006F30C4" w:rsidP="006F30C4">
      <w:pPr>
        <w:pStyle w:val="NormalWeb"/>
        <w:spacing w:line="360" w:lineRule="auto"/>
        <w:jc w:val="both"/>
      </w:pPr>
      <w:r>
        <w:t xml:space="preserve">In the second category, are instances where because of the more or less homogeneous nature of the community in a specific area, the customary practices </w:t>
      </w:r>
      <w:r w:rsidRPr="007F6400">
        <w:t>regulati</w:t>
      </w:r>
      <w:r>
        <w:t xml:space="preserve">ng transactions in land, </w:t>
      </w:r>
      <w:r w:rsidRPr="007F6400">
        <w:t>individual</w:t>
      </w:r>
      <w:r>
        <w:t>,</w:t>
      </w:r>
      <w:r w:rsidRPr="007F6400">
        <w:t xml:space="preserve"> household</w:t>
      </w:r>
      <w:r>
        <w:t>, communal and traditional institutional</w:t>
      </w:r>
      <w:r w:rsidRPr="007F6400">
        <w:t xml:space="preserve"> ownership</w:t>
      </w:r>
      <w:r>
        <w:t xml:space="preserve">, </w:t>
      </w:r>
      <w:r w:rsidRPr="007F6400">
        <w:t>use</w:t>
      </w:r>
      <w:r>
        <w:t>, management</w:t>
      </w:r>
      <w:r w:rsidRPr="007F6400">
        <w:t xml:space="preserve"> and occupation of</w:t>
      </w:r>
      <w:r>
        <w:t xml:space="preserve"> the specific parcel of land in that area have attained notoriety that court would be justified in taking judicial notice of such practices under section 56 (3) of the </w:t>
      </w:r>
      <w:r w:rsidRPr="00DA7938">
        <w:rPr>
          <w:i/>
        </w:rPr>
        <w:t>Evidence Act</w:t>
      </w:r>
      <w:r>
        <w:t xml:space="preserve">. In </w:t>
      </w:r>
      <w:r>
        <w:lastRenderedPageBreak/>
        <w:t xml:space="preserve">such situations, a court would take </w:t>
      </w:r>
      <w:r w:rsidRPr="00DA7938">
        <w:t>judicial notice a</w:t>
      </w:r>
      <w:r>
        <w:t>s</w:t>
      </w:r>
      <w:r w:rsidRPr="00DA7938">
        <w:t xml:space="preserve"> </w:t>
      </w:r>
      <w:r>
        <w:t xml:space="preserve">a </w:t>
      </w:r>
      <w:r w:rsidRPr="00DA7938">
        <w:t>fact</w:t>
      </w:r>
      <w:r>
        <w:t>,</w:t>
      </w:r>
      <w:r w:rsidRPr="00DA7938">
        <w:t xml:space="preserve"> </w:t>
      </w:r>
      <w:r>
        <w:t>the existence of such practices</w:t>
      </w:r>
      <w:r w:rsidRPr="00DA7938">
        <w:t xml:space="preserve"> </w:t>
      </w:r>
      <w:r>
        <w:t xml:space="preserve">which are </w:t>
      </w:r>
      <w:r w:rsidRPr="00DA7938">
        <w:t xml:space="preserve">not subject to reasonable dispute because </w:t>
      </w:r>
      <w:r>
        <w:t>they are</w:t>
      </w:r>
      <w:r w:rsidRPr="00DA7938">
        <w:t xml:space="preserve"> generally known within the trial court’s territo</w:t>
      </w:r>
      <w:r>
        <w:t xml:space="preserve">rial jurisdiction. Such judicial notice has been taken in matters of distribution of land as part of an estate of a deceased person such as in the case of </w:t>
      </w:r>
      <w:r w:rsidRPr="00AE55A4">
        <w:rPr>
          <w:i/>
        </w:rPr>
        <w:t>Geoffrey Mugambi and two others v David K. M'mugambi and three others, C.A. No. 153 of 1989</w:t>
      </w:r>
      <w:r>
        <w:t xml:space="preserve"> (K) (unreported), where </w:t>
      </w:r>
      <w:r w:rsidRPr="00AE55A4">
        <w:t xml:space="preserve">the parties did not adduce evidence to prove the relevant Meru customary law of land distribution. But </w:t>
      </w:r>
      <w:r>
        <w:t xml:space="preserve">the Court of Appeal of Kenya held that </w:t>
      </w:r>
      <w:r w:rsidRPr="00AE55A4">
        <w:t xml:space="preserve">as the custom </w:t>
      </w:r>
      <w:r>
        <w:t>was</w:t>
      </w:r>
      <w:r w:rsidRPr="00AE55A4">
        <w:t xml:space="preserve"> not only notorious but </w:t>
      </w:r>
      <w:r>
        <w:t>was</w:t>
      </w:r>
      <w:r w:rsidRPr="00AE55A4">
        <w:t xml:space="preserve"> also documented</w:t>
      </w:r>
      <w:r>
        <w:t xml:space="preserve">, the </w:t>
      </w:r>
      <w:r w:rsidRPr="00AE55A4">
        <w:t>t</w:t>
      </w:r>
      <w:r>
        <w:t>rial</w:t>
      </w:r>
      <w:r w:rsidRPr="00AE55A4">
        <w:t xml:space="preserve"> Judge was perfectly entitled to take judicial notice of it and it was not therefore necessary to call evidence to prove it.</w:t>
      </w:r>
      <w:r>
        <w:t xml:space="preserve"> The Court held thus;</w:t>
      </w:r>
    </w:p>
    <w:p w:rsidR="006F30C4" w:rsidRDefault="006F30C4" w:rsidP="006F30C4">
      <w:pPr>
        <w:pStyle w:val="NormalWeb"/>
        <w:spacing w:line="276" w:lineRule="auto"/>
        <w:ind w:left="576" w:right="576"/>
        <w:jc w:val="both"/>
      </w:pPr>
      <w:r>
        <w:t>“Inheritance under Meru law is patrilineal. The pattern of inheritance is based on the equal distribution of a man’s property among his sons, subject to the proviso that the eldest son generally gets a slightly larger share. In a polygamous household, the distribution of land is by reference to the house of each wife equally, irrespective of the number of sons in the house.” This is the Meru customary law which the Judge applied in an attempt to distribute the deceased’s land among his sons. There was no evidence to suggest either that the deceased had divided his land among the houses of his wives or among his sons. The respondents’ claim was made in their capacity as the sons of the deceased and not on the basis of membership of the various houses of the deceased’s wives. There is no doubt that the Judge understood the custom and applied it correctly in this case. The respondents had shown that no provision had been made for them by the deceased. This ground of appeal therefore must fail.</w:t>
      </w:r>
    </w:p>
    <w:p w:rsidR="006F30C4" w:rsidRDefault="006F30C4" w:rsidP="006F30C4">
      <w:pPr>
        <w:pStyle w:val="NormalWeb"/>
        <w:spacing w:line="360" w:lineRule="auto"/>
        <w:jc w:val="both"/>
      </w:pPr>
      <w:r>
        <w:t xml:space="preserve">In the last category, are cases </w:t>
      </w:r>
      <w:r w:rsidRPr="00AE55A4">
        <w:t xml:space="preserve">where </w:t>
      </w:r>
      <w:r>
        <w:t>the</w:t>
      </w:r>
      <w:r w:rsidRPr="00AE55A4">
        <w:t xml:space="preserve"> customary </w:t>
      </w:r>
      <w:r>
        <w:t>rules</w:t>
      </w:r>
      <w:r w:rsidRPr="00AE55A4">
        <w:t xml:space="preserve"> </w:t>
      </w:r>
      <w:r>
        <w:t>are</w:t>
      </w:r>
      <w:r w:rsidRPr="00AE55A4">
        <w:t xml:space="preserve"> neither notorious nor documented</w:t>
      </w:r>
      <w:r>
        <w:t>. In such cases,</w:t>
      </w:r>
      <w:r w:rsidRPr="00AE55A4">
        <w:t xml:space="preserve"> </w:t>
      </w:r>
      <w:r>
        <w:t>the customary law</w:t>
      </w:r>
      <w:r w:rsidRPr="00AE55A4">
        <w:t xml:space="preserve"> must be established for the Court’s guidance by the party intending to rely on it</w:t>
      </w:r>
      <w:r>
        <w:t>. A</w:t>
      </w:r>
      <w:r w:rsidRPr="00AE55A4">
        <w:t xml:space="preserve">s a matter of practice and convenience in civil cases the relevant customary law, if it is incapable of being judicially noticed, </w:t>
      </w:r>
      <w:r w:rsidRPr="00C13EFA">
        <w:t xml:space="preserve">should be proved by evidence of </w:t>
      </w:r>
      <w:r>
        <w:t>persons who would be likely to know of its existence, if it existed,</w:t>
      </w:r>
      <w:r w:rsidRPr="00C13EFA">
        <w:t xml:space="preserve"> </w:t>
      </w:r>
      <w:r>
        <w:t xml:space="preserve">or by way of </w:t>
      </w:r>
      <w:r w:rsidRPr="00C13EFA">
        <w:t xml:space="preserve">expert opinion adduced by the parties </w:t>
      </w:r>
      <w:r>
        <w:t xml:space="preserve">since under s. 46 of the </w:t>
      </w:r>
      <w:r w:rsidRPr="00F13ABB">
        <w:rPr>
          <w:i/>
        </w:rPr>
        <w:t>Evidence Act</w:t>
      </w:r>
      <w:r>
        <w:t xml:space="preserve">, which permits the court to receive such evidence when the court has to form an opinion as to the existence of any general custom or right, such opinions as to the existence of that custom or right, are relevant. In </w:t>
      </w:r>
      <w:r w:rsidRPr="00F13ABB">
        <w:rPr>
          <w:rStyle w:val="Strong"/>
          <w:b w:val="0"/>
          <w:i/>
        </w:rPr>
        <w:t>Ernest Kinyanjui Kimani v Muira Gikanga [1965] EA 735 at 789</w:t>
      </w:r>
      <w:r>
        <w:rPr>
          <w:rStyle w:val="Strong"/>
          <w:b w:val="0"/>
        </w:rPr>
        <w:t>, the court stated</w:t>
      </w:r>
      <w:r>
        <w:t>:</w:t>
      </w:r>
    </w:p>
    <w:p w:rsidR="006F30C4" w:rsidRPr="00F13ABB" w:rsidRDefault="006F30C4" w:rsidP="006F30C4">
      <w:pPr>
        <w:pStyle w:val="NormalWeb"/>
        <w:spacing w:line="276" w:lineRule="auto"/>
        <w:ind w:left="576" w:right="576"/>
        <w:jc w:val="both"/>
        <w:rPr>
          <w:b/>
        </w:rPr>
      </w:pPr>
      <w:r w:rsidRPr="00FD4368">
        <w:rPr>
          <w:rStyle w:val="Strong"/>
          <w:b w:val="0"/>
        </w:rPr>
        <w:t xml:space="preserve">As a matter of necessity, the customary law must be accurately and definitely established. ...The onus to do so is on the party who puts forward the customary law. </w:t>
      </w:r>
      <w:r w:rsidRPr="00FD4368">
        <w:rPr>
          <w:rStyle w:val="Strong"/>
          <w:b w:val="0"/>
        </w:rPr>
        <w:lastRenderedPageBreak/>
        <w:t xml:space="preserve">...This would in practice usually mean that the party propounding the customary law would have to call evidence to prove the customary law as he would prove the </w:t>
      </w:r>
      <w:r w:rsidRPr="00F13ABB">
        <w:rPr>
          <w:rStyle w:val="Strong"/>
          <w:b w:val="0"/>
        </w:rPr>
        <w:t>relevant facts of his case</w:t>
      </w:r>
      <w:r w:rsidRPr="00F13ABB">
        <w:t>.</w:t>
      </w:r>
    </w:p>
    <w:p w:rsidR="006E2A5F"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customary law under which the </w:t>
      </w:r>
      <w:r w:rsidR="006E2A5F">
        <w:rPr>
          <w:rFonts w:ascii="Times New Roman" w:hAnsi="Times New Roman" w:cs="Times New Roman"/>
          <w:sz w:val="24"/>
          <w:szCs w:val="24"/>
        </w:rPr>
        <w:t>appelant</w:t>
      </w:r>
      <w:r>
        <w:rPr>
          <w:rFonts w:ascii="Times New Roman" w:hAnsi="Times New Roman" w:cs="Times New Roman"/>
          <w:sz w:val="24"/>
          <w:szCs w:val="24"/>
        </w:rPr>
        <w:t xml:space="preserve"> acquired the land is neither documented nor of such notoriety as would have justified the trial court to take judicial notice of. It was therefore incumbent upon the appellant to adduce evidence of the customary law. It was not enough for him to claim to have inherited the land. He had the onus of adducing evidence of the customary procedures, practices and rules by virtue of which he is recognised as such. Having failed to do so, the trial magistrate was justified in his finding that the appellant had failed to prove his case. </w:t>
      </w:r>
    </w:p>
    <w:p w:rsidR="006E2A5F" w:rsidRDefault="006E2A5F" w:rsidP="006F30C4">
      <w:pPr>
        <w:autoSpaceDE w:val="0"/>
        <w:autoSpaceDN w:val="0"/>
        <w:adjustRightInd w:val="0"/>
        <w:spacing w:after="0" w:line="360" w:lineRule="auto"/>
        <w:jc w:val="both"/>
        <w:rPr>
          <w:rFonts w:ascii="Times New Roman" w:hAnsi="Times New Roman" w:cs="Times New Roman"/>
          <w:sz w:val="24"/>
          <w:szCs w:val="24"/>
        </w:rPr>
      </w:pPr>
    </w:p>
    <w:p w:rsidR="006E2A5F" w:rsidRDefault="006E2A5F"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although the parties were at variance as to the historical origins of their claimed customary ownership of the land, it was common ground between them that the most recent occupant of the land was the Public Works Department of the Ministry of works. Both parties attempted to take possession of the land upon the departure of that department which, according to the respondent’s evidence had occupied the land since 1935. Although the appellant did not disclose the period for which the land was under the occupancy of that department, I am inclined to believe the respondent’s evidence that it was from 1935 to 2001, a period of 66 years. </w:t>
      </w:r>
    </w:p>
    <w:p w:rsidR="006E2A5F" w:rsidRDefault="006E2A5F" w:rsidP="006F30C4">
      <w:pPr>
        <w:autoSpaceDE w:val="0"/>
        <w:autoSpaceDN w:val="0"/>
        <w:adjustRightInd w:val="0"/>
        <w:spacing w:after="0" w:line="360" w:lineRule="auto"/>
        <w:jc w:val="both"/>
        <w:rPr>
          <w:rFonts w:ascii="Times New Roman" w:hAnsi="Times New Roman" w:cs="Times New Roman"/>
          <w:sz w:val="24"/>
          <w:szCs w:val="24"/>
        </w:rPr>
      </w:pPr>
    </w:p>
    <w:p w:rsidR="00673768" w:rsidRDefault="006E2A5F" w:rsidP="006737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none of the </w:t>
      </w:r>
      <w:r w:rsidR="00673768">
        <w:rPr>
          <w:rFonts w:ascii="Times New Roman" w:hAnsi="Times New Roman" w:cs="Times New Roman"/>
          <w:sz w:val="24"/>
          <w:szCs w:val="24"/>
        </w:rPr>
        <w:t>parties ancestors were in direct physical occupation of the disputed land for that long, whatever claims of customary ownership the parties’ ancestors may have had in the disputed land were extinguished by either abandonment of the land to the department or by the doctrine of adverse possession.</w:t>
      </w:r>
      <w:r w:rsidR="00673768" w:rsidRPr="00673768">
        <w:rPr>
          <w:rFonts w:ascii="Times New Roman" w:hAnsi="Times New Roman" w:cs="Times New Roman"/>
          <w:sz w:val="24"/>
          <w:szCs w:val="24"/>
        </w:rPr>
        <w:t xml:space="preserve"> </w:t>
      </w:r>
      <w:r w:rsidR="00673768" w:rsidRPr="006A23E1">
        <w:rPr>
          <w:rFonts w:ascii="Times New Roman" w:hAnsi="Times New Roman" w:cs="Times New Roman"/>
          <w:sz w:val="24"/>
          <w:szCs w:val="24"/>
        </w:rPr>
        <w:t>Uninterrupted and unconte</w:t>
      </w:r>
      <w:r w:rsidR="00673768">
        <w:rPr>
          <w:rFonts w:ascii="Times New Roman" w:hAnsi="Times New Roman" w:cs="Times New Roman"/>
          <w:sz w:val="24"/>
          <w:szCs w:val="24"/>
        </w:rPr>
        <w:t xml:space="preserve">sted possession for a specified </w:t>
      </w:r>
      <w:r w:rsidR="00673768" w:rsidRPr="006A23E1">
        <w:rPr>
          <w:rFonts w:ascii="Times New Roman" w:hAnsi="Times New Roman" w:cs="Times New Roman"/>
          <w:sz w:val="24"/>
          <w:szCs w:val="24"/>
        </w:rPr>
        <w:t>period, hostile to the rights and interests of true owner, is considered to be one of the legally recognized modes</w:t>
      </w:r>
      <w:r w:rsidR="00673768">
        <w:rPr>
          <w:rFonts w:ascii="Times New Roman" w:hAnsi="Times New Roman" w:cs="Times New Roman"/>
          <w:sz w:val="24"/>
          <w:szCs w:val="24"/>
        </w:rPr>
        <w:t xml:space="preserve"> of acquisition of ownership (see </w:t>
      </w:r>
      <w:r w:rsidR="00673768" w:rsidRPr="00C04A46">
        <w:rPr>
          <w:rFonts w:ascii="Times New Roman" w:hAnsi="Times New Roman" w:cs="Times New Roman"/>
          <w:i/>
          <w:sz w:val="24"/>
          <w:szCs w:val="24"/>
        </w:rPr>
        <w:t>Perry v Clissold [1907] AC 73, at 79</w:t>
      </w:r>
      <w:r w:rsidR="00673768">
        <w:rPr>
          <w:rFonts w:ascii="Times New Roman" w:hAnsi="Times New Roman" w:cs="Times New Roman"/>
          <w:sz w:val="24"/>
          <w:szCs w:val="24"/>
        </w:rPr>
        <w:t>). In respect of unregistered land, t</w:t>
      </w:r>
      <w:r w:rsidR="00673768" w:rsidRPr="008D6627">
        <w:rPr>
          <w:rFonts w:ascii="Times New Roman" w:hAnsi="Times New Roman" w:cs="Times New Roman"/>
          <w:sz w:val="24"/>
          <w:szCs w:val="24"/>
        </w:rPr>
        <w:t xml:space="preserve">he adverse possessor of land acquires </w:t>
      </w:r>
      <w:r w:rsidR="00673768">
        <w:rPr>
          <w:rFonts w:ascii="Times New Roman" w:hAnsi="Times New Roman" w:cs="Times New Roman"/>
          <w:sz w:val="24"/>
          <w:szCs w:val="24"/>
        </w:rPr>
        <w:t>ownership</w:t>
      </w:r>
      <w:r w:rsidR="00673768" w:rsidRPr="008D6627">
        <w:rPr>
          <w:rFonts w:ascii="Times New Roman" w:hAnsi="Times New Roman" w:cs="Times New Roman"/>
          <w:sz w:val="24"/>
          <w:szCs w:val="24"/>
        </w:rPr>
        <w:t xml:space="preserve"> when the right of action to terminate the adverse possession expires</w:t>
      </w:r>
      <w:r w:rsidR="00673768">
        <w:rPr>
          <w:rFonts w:ascii="Times New Roman" w:hAnsi="Times New Roman" w:cs="Times New Roman"/>
          <w:sz w:val="24"/>
          <w:szCs w:val="24"/>
        </w:rPr>
        <w:t>,</w:t>
      </w:r>
      <w:r w:rsidR="00673768" w:rsidRPr="0080567D">
        <w:rPr>
          <w:rFonts w:ascii="Times New Roman" w:hAnsi="Times New Roman" w:cs="Times New Roman"/>
          <w:sz w:val="24"/>
          <w:szCs w:val="24"/>
        </w:rPr>
        <w:t xml:space="preserve"> </w:t>
      </w:r>
      <w:r w:rsidR="00673768">
        <w:rPr>
          <w:rFonts w:ascii="Times New Roman" w:hAnsi="Times New Roman" w:cs="Times New Roman"/>
          <w:sz w:val="24"/>
          <w:szCs w:val="24"/>
        </w:rPr>
        <w:t>under the concept of “e</w:t>
      </w:r>
      <w:r w:rsidR="00673768" w:rsidRPr="00BC42FF">
        <w:rPr>
          <w:rFonts w:ascii="Times New Roman" w:hAnsi="Times New Roman" w:cs="Times New Roman"/>
          <w:sz w:val="24"/>
          <w:szCs w:val="24"/>
        </w:rPr>
        <w:t>xtinctive prescription</w:t>
      </w:r>
      <w:r w:rsidR="00673768">
        <w:rPr>
          <w:rFonts w:ascii="Times New Roman" w:hAnsi="Times New Roman" w:cs="Times New Roman"/>
          <w:sz w:val="24"/>
          <w:szCs w:val="24"/>
        </w:rPr>
        <w:t xml:space="preserve">” reflected in sections 5 and 16 of </w:t>
      </w:r>
      <w:r w:rsidR="00673768" w:rsidRPr="000D5823">
        <w:rPr>
          <w:rFonts w:ascii="Times New Roman" w:hAnsi="Times New Roman" w:cs="Times New Roman"/>
          <w:i/>
          <w:sz w:val="24"/>
          <w:szCs w:val="24"/>
        </w:rPr>
        <w:t>The Limitation Act</w:t>
      </w:r>
      <w:r w:rsidR="00673768">
        <w:rPr>
          <w:rFonts w:ascii="Times New Roman" w:hAnsi="Times New Roman" w:cs="Times New Roman"/>
          <w:i/>
          <w:sz w:val="24"/>
          <w:szCs w:val="24"/>
        </w:rPr>
        <w:t>.</w:t>
      </w:r>
      <w:r w:rsidR="00673768">
        <w:rPr>
          <w:rFonts w:ascii="Times New Roman" w:hAnsi="Times New Roman" w:cs="Times New Roman"/>
          <w:sz w:val="24"/>
          <w:szCs w:val="24"/>
        </w:rPr>
        <w:t xml:space="preserve"> </w:t>
      </w:r>
      <w:r w:rsidR="00673768" w:rsidRPr="00F56D98">
        <w:rPr>
          <w:rFonts w:ascii="Times New Roman" w:hAnsi="Times New Roman" w:cs="Times New Roman"/>
          <w:sz w:val="24"/>
          <w:szCs w:val="24"/>
        </w:rPr>
        <w:t>Where a claim of adverse possession succeeds, it has the effect of terminating the title of</w:t>
      </w:r>
      <w:r w:rsidR="00673768">
        <w:rPr>
          <w:rFonts w:ascii="Times New Roman" w:hAnsi="Times New Roman" w:cs="Times New Roman"/>
          <w:sz w:val="24"/>
          <w:szCs w:val="24"/>
        </w:rPr>
        <w:t xml:space="preserve"> the original owner of the land (see</w:t>
      </w:r>
      <w:r w:rsidR="00673768" w:rsidRPr="00F56D98">
        <w:rPr>
          <w:rFonts w:ascii="Times New Roman" w:hAnsi="Times New Roman" w:cs="Times New Roman"/>
          <w:sz w:val="24"/>
          <w:szCs w:val="24"/>
        </w:rPr>
        <w:t xml:space="preserve"> for example </w:t>
      </w:r>
      <w:r w:rsidR="00673768" w:rsidRPr="00F56D98">
        <w:rPr>
          <w:rFonts w:ascii="Times New Roman" w:hAnsi="Times New Roman" w:cs="Times New Roman"/>
          <w:i/>
          <w:sz w:val="24"/>
          <w:szCs w:val="24"/>
        </w:rPr>
        <w:t>Rwajuma v Jingo Mukasa</w:t>
      </w:r>
      <w:r w:rsidR="00673768">
        <w:rPr>
          <w:rFonts w:ascii="Times New Roman" w:hAnsi="Times New Roman" w:cs="Times New Roman"/>
          <w:i/>
          <w:sz w:val="24"/>
          <w:szCs w:val="24"/>
        </w:rPr>
        <w:t>,</w:t>
      </w:r>
      <w:r w:rsidR="00673768" w:rsidRPr="00F56D98">
        <w:rPr>
          <w:rFonts w:ascii="Times New Roman" w:hAnsi="Times New Roman" w:cs="Times New Roman"/>
          <w:i/>
          <w:sz w:val="24"/>
          <w:szCs w:val="24"/>
        </w:rPr>
        <w:t xml:space="preserve"> H.C. Civil Suit No. 508 of 2012</w:t>
      </w:r>
      <w:r w:rsidR="00673768">
        <w:rPr>
          <w:rFonts w:ascii="Times New Roman" w:hAnsi="Times New Roman" w:cs="Times New Roman"/>
          <w:sz w:val="24"/>
          <w:szCs w:val="24"/>
        </w:rPr>
        <w:t>). A</w:t>
      </w:r>
      <w:r w:rsidR="00673768" w:rsidRPr="00F56D98">
        <w:rPr>
          <w:rFonts w:ascii="Times New Roman" w:hAnsi="Times New Roman" w:cs="Times New Roman"/>
          <w:sz w:val="24"/>
          <w:szCs w:val="24"/>
        </w:rPr>
        <w:t>s a rule, limitation not only cut</w:t>
      </w:r>
      <w:r w:rsidR="00673768">
        <w:rPr>
          <w:rFonts w:ascii="Times New Roman" w:hAnsi="Times New Roman" w:cs="Times New Roman"/>
          <w:sz w:val="24"/>
          <w:szCs w:val="24"/>
        </w:rPr>
        <w:t>s</w:t>
      </w:r>
      <w:r w:rsidR="00673768" w:rsidRPr="00F56D98">
        <w:rPr>
          <w:rFonts w:ascii="Times New Roman" w:hAnsi="Times New Roman" w:cs="Times New Roman"/>
          <w:sz w:val="24"/>
          <w:szCs w:val="24"/>
        </w:rPr>
        <w:t xml:space="preserve"> off the </w:t>
      </w:r>
      <w:r w:rsidR="00673768">
        <w:rPr>
          <w:rFonts w:ascii="Times New Roman" w:hAnsi="Times New Roman" w:cs="Times New Roman"/>
          <w:sz w:val="24"/>
          <w:szCs w:val="24"/>
        </w:rPr>
        <w:t>owner</w:t>
      </w:r>
      <w:r w:rsidR="00673768" w:rsidRPr="00F56D98">
        <w:rPr>
          <w:rFonts w:ascii="Times New Roman" w:hAnsi="Times New Roman" w:cs="Times New Roman"/>
          <w:sz w:val="24"/>
          <w:szCs w:val="24"/>
        </w:rPr>
        <w:t xml:space="preserve">’s right to bring an action for the recovery of the suit land that has been in </w:t>
      </w:r>
      <w:r w:rsidR="00673768" w:rsidRPr="00F56D98">
        <w:rPr>
          <w:rFonts w:ascii="Times New Roman" w:hAnsi="Times New Roman" w:cs="Times New Roman"/>
          <w:sz w:val="24"/>
          <w:szCs w:val="24"/>
        </w:rPr>
        <w:lastRenderedPageBreak/>
        <w:t>adverse possession for over twelve years</w:t>
      </w:r>
      <w:r w:rsidR="00673768">
        <w:rPr>
          <w:rFonts w:ascii="Times New Roman" w:hAnsi="Times New Roman" w:cs="Times New Roman"/>
          <w:sz w:val="24"/>
          <w:szCs w:val="24"/>
        </w:rPr>
        <w:t xml:space="preserve">, </w:t>
      </w:r>
      <w:r w:rsidR="00673768" w:rsidRPr="00F56D98">
        <w:rPr>
          <w:rFonts w:ascii="Times New Roman" w:hAnsi="Times New Roman" w:cs="Times New Roman"/>
          <w:sz w:val="24"/>
          <w:szCs w:val="24"/>
        </w:rPr>
        <w:t xml:space="preserve">but also the possessor </w:t>
      </w:r>
      <w:r w:rsidR="00673768">
        <w:rPr>
          <w:rFonts w:ascii="Times New Roman" w:hAnsi="Times New Roman" w:cs="Times New Roman"/>
          <w:sz w:val="24"/>
          <w:szCs w:val="24"/>
        </w:rPr>
        <w:t xml:space="preserve">is </w:t>
      </w:r>
      <w:r w:rsidR="00673768" w:rsidRPr="00F56D98">
        <w:rPr>
          <w:rFonts w:ascii="Times New Roman" w:hAnsi="Times New Roman" w:cs="Times New Roman"/>
          <w:sz w:val="24"/>
          <w:szCs w:val="24"/>
        </w:rPr>
        <w:t>vested with title</w:t>
      </w:r>
      <w:r w:rsidR="00673768">
        <w:rPr>
          <w:rFonts w:ascii="Times New Roman" w:hAnsi="Times New Roman" w:cs="Times New Roman"/>
          <w:sz w:val="24"/>
          <w:szCs w:val="24"/>
        </w:rPr>
        <w:t>. From 1935, the Public Works Department of the Ministry of works was in open, continuous, u</w:t>
      </w:r>
      <w:r w:rsidR="00673768" w:rsidRPr="006A23E1">
        <w:rPr>
          <w:rFonts w:ascii="Times New Roman" w:hAnsi="Times New Roman" w:cs="Times New Roman"/>
          <w:sz w:val="24"/>
          <w:szCs w:val="24"/>
        </w:rPr>
        <w:t>ninterrupted and unconte</w:t>
      </w:r>
      <w:r w:rsidR="00673768">
        <w:rPr>
          <w:rFonts w:ascii="Times New Roman" w:hAnsi="Times New Roman" w:cs="Times New Roman"/>
          <w:sz w:val="24"/>
          <w:szCs w:val="24"/>
        </w:rPr>
        <w:t xml:space="preserve">sted possession of the disputed land for 71 years by 2006 when the suit was filed. By that time, the appellant had not only lost the </w:t>
      </w:r>
      <w:r w:rsidR="00673768" w:rsidRPr="00F56D98">
        <w:rPr>
          <w:rFonts w:ascii="Times New Roman" w:hAnsi="Times New Roman" w:cs="Times New Roman"/>
          <w:sz w:val="24"/>
          <w:szCs w:val="24"/>
        </w:rPr>
        <w:t xml:space="preserve">right to bring an action for recovery of the </w:t>
      </w:r>
      <w:r w:rsidR="00673768">
        <w:rPr>
          <w:rFonts w:ascii="Times New Roman" w:hAnsi="Times New Roman" w:cs="Times New Roman"/>
          <w:sz w:val="24"/>
          <w:szCs w:val="24"/>
        </w:rPr>
        <w:t xml:space="preserve">land, if he had any in the first place, </w:t>
      </w:r>
      <w:r w:rsidR="00673768" w:rsidRPr="00F56D98">
        <w:rPr>
          <w:rFonts w:ascii="Times New Roman" w:hAnsi="Times New Roman" w:cs="Times New Roman"/>
          <w:sz w:val="24"/>
          <w:szCs w:val="24"/>
        </w:rPr>
        <w:t xml:space="preserve">but also </w:t>
      </w:r>
      <w:r w:rsidR="00673768">
        <w:rPr>
          <w:rFonts w:ascii="Times New Roman" w:hAnsi="Times New Roman" w:cs="Times New Roman"/>
          <w:sz w:val="24"/>
          <w:szCs w:val="24"/>
        </w:rPr>
        <w:t xml:space="preserve">Government was </w:t>
      </w:r>
      <w:r w:rsidR="00673768" w:rsidRPr="00F56D98">
        <w:rPr>
          <w:rFonts w:ascii="Times New Roman" w:hAnsi="Times New Roman" w:cs="Times New Roman"/>
          <w:sz w:val="24"/>
          <w:szCs w:val="24"/>
        </w:rPr>
        <w:t>vested with title</w:t>
      </w:r>
      <w:r w:rsidR="00673768">
        <w:rPr>
          <w:rFonts w:ascii="Times New Roman" w:hAnsi="Times New Roman" w:cs="Times New Roman"/>
          <w:sz w:val="24"/>
          <w:szCs w:val="24"/>
        </w:rPr>
        <w:t xml:space="preserve"> thereto. </w:t>
      </w:r>
    </w:p>
    <w:p w:rsidR="006E2A5F" w:rsidRDefault="006E2A5F" w:rsidP="006F30C4">
      <w:pPr>
        <w:autoSpaceDE w:val="0"/>
        <w:autoSpaceDN w:val="0"/>
        <w:adjustRightInd w:val="0"/>
        <w:spacing w:after="0" w:line="360" w:lineRule="auto"/>
        <w:jc w:val="both"/>
        <w:rPr>
          <w:rFonts w:ascii="Times New Roman" w:hAnsi="Times New Roman" w:cs="Times New Roman"/>
          <w:sz w:val="24"/>
          <w:szCs w:val="24"/>
        </w:rPr>
      </w:pPr>
    </w:p>
    <w:p w:rsidR="006F776E" w:rsidRDefault="00673768" w:rsidP="006F77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6F776E">
        <w:rPr>
          <w:rFonts w:ascii="Times New Roman" w:hAnsi="Times New Roman" w:cs="Times New Roman"/>
          <w:sz w:val="24"/>
          <w:szCs w:val="24"/>
        </w:rPr>
        <w:t>it is trite law that a</w:t>
      </w:r>
      <w:r w:rsidR="006F776E" w:rsidRPr="00600F3E">
        <w:rPr>
          <w:rFonts w:ascii="Times New Roman" w:hAnsi="Times New Roman" w:cs="Times New Roman"/>
          <w:sz w:val="24"/>
          <w:szCs w:val="24"/>
        </w:rPr>
        <w:t>ll rights and interest</w:t>
      </w:r>
      <w:r w:rsidR="006F776E">
        <w:rPr>
          <w:rFonts w:ascii="Times New Roman" w:hAnsi="Times New Roman" w:cs="Times New Roman"/>
          <w:sz w:val="24"/>
          <w:szCs w:val="24"/>
        </w:rPr>
        <w:t>s</w:t>
      </w:r>
      <w:r w:rsidR="006F776E" w:rsidRPr="00600F3E">
        <w:rPr>
          <w:rFonts w:ascii="Times New Roman" w:hAnsi="Times New Roman" w:cs="Times New Roman"/>
          <w:sz w:val="24"/>
          <w:szCs w:val="24"/>
        </w:rPr>
        <w:t xml:space="preserve"> in unregistered</w:t>
      </w:r>
      <w:r w:rsidR="006F776E">
        <w:rPr>
          <w:rFonts w:ascii="Times New Roman" w:hAnsi="Times New Roman" w:cs="Times New Roman"/>
          <w:sz w:val="24"/>
          <w:szCs w:val="24"/>
        </w:rPr>
        <w:t xml:space="preserve"> land</w:t>
      </w:r>
      <w:r w:rsidR="006F776E" w:rsidRPr="00600F3E">
        <w:rPr>
          <w:rFonts w:ascii="Times New Roman" w:hAnsi="Times New Roman" w:cs="Times New Roman"/>
          <w:sz w:val="24"/>
          <w:szCs w:val="24"/>
        </w:rPr>
        <w:t xml:space="preserve"> may be lost by abandonment.</w:t>
      </w:r>
      <w:r w:rsidR="006F776E">
        <w:rPr>
          <w:rFonts w:ascii="Times New Roman" w:hAnsi="Times New Roman" w:cs="Times New Roman"/>
          <w:sz w:val="24"/>
          <w:szCs w:val="24"/>
        </w:rPr>
        <w:t xml:space="preserve"> For example, and by way of analogy, under section 37 (1) (a) of </w:t>
      </w:r>
      <w:r w:rsidR="006F776E" w:rsidRPr="002A2ED5">
        <w:rPr>
          <w:rFonts w:ascii="Times New Roman" w:hAnsi="Times New Roman" w:cs="Times New Roman"/>
          <w:i/>
          <w:sz w:val="24"/>
          <w:szCs w:val="24"/>
        </w:rPr>
        <w:t>The Land Act, Cap 227</w:t>
      </w:r>
      <w:r w:rsidR="006F776E">
        <w:rPr>
          <w:rFonts w:ascii="Times New Roman" w:hAnsi="Times New Roman" w:cs="Times New Roman"/>
          <w:sz w:val="24"/>
          <w:szCs w:val="24"/>
        </w:rPr>
        <w:t xml:space="preserve">, when </w:t>
      </w:r>
      <w:r w:rsidR="006F776E" w:rsidRPr="002A2ED5">
        <w:rPr>
          <w:rFonts w:ascii="Times New Roman" w:hAnsi="Times New Roman" w:cs="Times New Roman"/>
          <w:sz w:val="24"/>
          <w:szCs w:val="24"/>
        </w:rPr>
        <w:t>a tenant by occupancy voluntarily aba</w:t>
      </w:r>
      <w:r w:rsidR="006F776E">
        <w:rPr>
          <w:rFonts w:ascii="Times New Roman" w:hAnsi="Times New Roman" w:cs="Times New Roman"/>
          <w:sz w:val="24"/>
          <w:szCs w:val="24"/>
        </w:rPr>
        <w:t xml:space="preserve">ndons his or her occupancy, </w:t>
      </w:r>
      <w:r w:rsidR="006F776E" w:rsidRPr="002A2ED5">
        <w:rPr>
          <w:rFonts w:ascii="Times New Roman" w:hAnsi="Times New Roman" w:cs="Times New Roman"/>
          <w:sz w:val="24"/>
          <w:szCs w:val="24"/>
        </w:rPr>
        <w:t>the right of occupancy lapse</w:t>
      </w:r>
      <w:r w:rsidR="006F776E">
        <w:rPr>
          <w:rFonts w:ascii="Times New Roman" w:hAnsi="Times New Roman" w:cs="Times New Roman"/>
          <w:sz w:val="24"/>
          <w:szCs w:val="24"/>
        </w:rPr>
        <w:t>s. Under that section, abandonment occurs where</w:t>
      </w:r>
      <w:r w:rsidR="006F776E" w:rsidRPr="002A2ED5">
        <w:rPr>
          <w:rFonts w:ascii="Times New Roman" w:hAnsi="Times New Roman" w:cs="Times New Roman"/>
          <w:sz w:val="24"/>
          <w:szCs w:val="24"/>
        </w:rPr>
        <w:t xml:space="preserve"> he or she leaves the whole of the land unattended to by himself or herself or a member of his or her family or his or her</w:t>
      </w:r>
      <w:r w:rsidR="006F776E">
        <w:rPr>
          <w:rFonts w:ascii="Times New Roman" w:hAnsi="Times New Roman" w:cs="Times New Roman"/>
          <w:sz w:val="24"/>
          <w:szCs w:val="24"/>
        </w:rPr>
        <w:t xml:space="preserve"> </w:t>
      </w:r>
      <w:r w:rsidR="006F776E" w:rsidRPr="002A2ED5">
        <w:rPr>
          <w:rFonts w:ascii="Times New Roman" w:hAnsi="Times New Roman" w:cs="Times New Roman"/>
          <w:sz w:val="24"/>
          <w:szCs w:val="24"/>
        </w:rPr>
        <w:t>authorised agent for three years or more</w:t>
      </w:r>
      <w:r w:rsidR="006F776E">
        <w:rPr>
          <w:rFonts w:ascii="Times New Roman" w:hAnsi="Times New Roman" w:cs="Times New Roman"/>
          <w:sz w:val="24"/>
          <w:szCs w:val="24"/>
        </w:rPr>
        <w:t xml:space="preserve">. Although in respect of tenancies by occupancy abandonment is deemed to have </w:t>
      </w:r>
      <w:r w:rsidR="003C7B2A">
        <w:rPr>
          <w:rFonts w:ascii="Times New Roman" w:hAnsi="Times New Roman" w:cs="Times New Roman"/>
          <w:sz w:val="24"/>
          <w:szCs w:val="24"/>
        </w:rPr>
        <w:t>occurred</w:t>
      </w:r>
      <w:r w:rsidR="006F776E">
        <w:rPr>
          <w:rFonts w:ascii="Times New Roman" w:hAnsi="Times New Roman" w:cs="Times New Roman"/>
          <w:sz w:val="24"/>
          <w:szCs w:val="24"/>
        </w:rPr>
        <w:t xml:space="preserve"> after the lapse of three years of leaving the </w:t>
      </w:r>
      <w:r w:rsidR="006F776E" w:rsidRPr="002A2ED5">
        <w:rPr>
          <w:rFonts w:ascii="Times New Roman" w:hAnsi="Times New Roman" w:cs="Times New Roman"/>
          <w:sz w:val="24"/>
          <w:szCs w:val="24"/>
        </w:rPr>
        <w:t xml:space="preserve">whole of the land unattended to by </w:t>
      </w:r>
      <w:r w:rsidR="006F776E">
        <w:rPr>
          <w:rFonts w:ascii="Times New Roman" w:hAnsi="Times New Roman" w:cs="Times New Roman"/>
          <w:sz w:val="24"/>
          <w:szCs w:val="24"/>
        </w:rPr>
        <w:t>occupant</w:t>
      </w:r>
      <w:r w:rsidR="006F776E" w:rsidRPr="002A2ED5">
        <w:rPr>
          <w:rFonts w:ascii="Times New Roman" w:hAnsi="Times New Roman" w:cs="Times New Roman"/>
          <w:sz w:val="24"/>
          <w:szCs w:val="24"/>
        </w:rPr>
        <w:t xml:space="preserve"> or a member of </w:t>
      </w:r>
      <w:r w:rsidR="006F776E">
        <w:rPr>
          <w:rFonts w:ascii="Times New Roman" w:hAnsi="Times New Roman" w:cs="Times New Roman"/>
          <w:sz w:val="24"/>
          <w:szCs w:val="24"/>
        </w:rPr>
        <w:t>occupant’s</w:t>
      </w:r>
      <w:r w:rsidR="006F776E" w:rsidRPr="002A2ED5">
        <w:rPr>
          <w:rFonts w:ascii="Times New Roman" w:hAnsi="Times New Roman" w:cs="Times New Roman"/>
          <w:sz w:val="24"/>
          <w:szCs w:val="24"/>
        </w:rPr>
        <w:t xml:space="preserve"> family or his or her</w:t>
      </w:r>
      <w:r w:rsidR="006F776E">
        <w:rPr>
          <w:rFonts w:ascii="Times New Roman" w:hAnsi="Times New Roman" w:cs="Times New Roman"/>
          <w:sz w:val="24"/>
          <w:szCs w:val="24"/>
        </w:rPr>
        <w:t xml:space="preserve"> </w:t>
      </w:r>
      <w:r w:rsidR="006F776E" w:rsidRPr="002A2ED5">
        <w:rPr>
          <w:rFonts w:ascii="Times New Roman" w:hAnsi="Times New Roman" w:cs="Times New Roman"/>
          <w:sz w:val="24"/>
          <w:szCs w:val="24"/>
        </w:rPr>
        <w:t>authorised agent</w:t>
      </w:r>
      <w:r w:rsidR="006F776E">
        <w:rPr>
          <w:rFonts w:ascii="Times New Roman" w:hAnsi="Times New Roman" w:cs="Times New Roman"/>
          <w:sz w:val="24"/>
          <w:szCs w:val="24"/>
        </w:rPr>
        <w:t>, there is no similar temporal delimitation in respect of land held under customary tenure.</w:t>
      </w:r>
    </w:p>
    <w:p w:rsidR="006F776E" w:rsidRDefault="006F776E" w:rsidP="006F776E">
      <w:pPr>
        <w:autoSpaceDE w:val="0"/>
        <w:autoSpaceDN w:val="0"/>
        <w:adjustRightInd w:val="0"/>
        <w:spacing w:after="0" w:line="360" w:lineRule="auto"/>
        <w:jc w:val="both"/>
        <w:rPr>
          <w:rFonts w:ascii="Times New Roman" w:hAnsi="Times New Roman" w:cs="Times New Roman"/>
          <w:sz w:val="24"/>
          <w:szCs w:val="24"/>
        </w:rPr>
      </w:pPr>
    </w:p>
    <w:p w:rsidR="006F776E" w:rsidRDefault="006F776E" w:rsidP="006F776E">
      <w:pPr>
        <w:autoSpaceDE w:val="0"/>
        <w:autoSpaceDN w:val="0"/>
        <w:adjustRightInd w:val="0"/>
        <w:spacing w:after="0" w:line="360" w:lineRule="auto"/>
        <w:jc w:val="both"/>
      </w:pPr>
      <w:r>
        <w:rPr>
          <w:rFonts w:ascii="Times New Roman" w:hAnsi="Times New Roman" w:cs="Times New Roman"/>
          <w:sz w:val="24"/>
          <w:szCs w:val="24"/>
        </w:rPr>
        <w:t xml:space="preserve">At common law, abandonment as a mechanism of termination of interests in unregistered land generally requires </w:t>
      </w:r>
      <w:r w:rsidRPr="001253B5">
        <w:rPr>
          <w:rFonts w:ascii="Times New Roman" w:hAnsi="Times New Roman" w:cs="Times New Roman"/>
          <w:sz w:val="24"/>
          <w:szCs w:val="24"/>
        </w:rPr>
        <w:t>proof of intent to abandon; non</w:t>
      </w:r>
      <w:r>
        <w:rPr>
          <w:rFonts w:ascii="Times New Roman" w:hAnsi="Times New Roman" w:cs="Times New Roman"/>
          <w:sz w:val="24"/>
          <w:szCs w:val="24"/>
        </w:rPr>
        <w:t>-</w:t>
      </w:r>
      <w:r w:rsidRPr="001253B5">
        <w:rPr>
          <w:rFonts w:ascii="Times New Roman" w:hAnsi="Times New Roman" w:cs="Times New Roman"/>
          <w:sz w:val="24"/>
          <w:szCs w:val="24"/>
        </w:rPr>
        <w:t xml:space="preserve">use of </w:t>
      </w:r>
      <w:r>
        <w:rPr>
          <w:rFonts w:ascii="Times New Roman" w:hAnsi="Times New Roman" w:cs="Times New Roman"/>
          <w:sz w:val="24"/>
          <w:szCs w:val="24"/>
        </w:rPr>
        <w:t>the land</w:t>
      </w:r>
      <w:r w:rsidRPr="001253B5">
        <w:rPr>
          <w:rFonts w:ascii="Times New Roman" w:hAnsi="Times New Roman" w:cs="Times New Roman"/>
          <w:sz w:val="24"/>
          <w:szCs w:val="24"/>
        </w:rPr>
        <w:t xml:space="preserve"> alone is not sufficient evidence of intent to abandon</w:t>
      </w:r>
      <w:r>
        <w:rPr>
          <w:rFonts w:ascii="Times New Roman" w:hAnsi="Times New Roman" w:cs="Times New Roman"/>
          <w:sz w:val="24"/>
          <w:szCs w:val="24"/>
        </w:rPr>
        <w:t xml:space="preserve">. The legal definition requires a </w:t>
      </w:r>
      <w:r w:rsidRPr="00961285">
        <w:rPr>
          <w:rFonts w:ascii="Times New Roman" w:hAnsi="Times New Roman" w:cs="Times New Roman"/>
          <w:sz w:val="24"/>
          <w:szCs w:val="24"/>
        </w:rPr>
        <w:t>two-part</w:t>
      </w:r>
      <w:r>
        <w:rPr>
          <w:rFonts w:ascii="Times New Roman" w:hAnsi="Times New Roman" w:cs="Times New Roman"/>
          <w:sz w:val="24"/>
          <w:szCs w:val="24"/>
        </w:rPr>
        <w:t xml:space="preserve"> assessment</w:t>
      </w:r>
      <w:r w:rsidRPr="00961285">
        <w:rPr>
          <w:rFonts w:ascii="Times New Roman" w:hAnsi="Times New Roman" w:cs="Times New Roman"/>
          <w:sz w:val="24"/>
          <w:szCs w:val="24"/>
        </w:rPr>
        <w:t>; one objective, the other subjective. The objective part is the intentional relinquishment of possession without</w:t>
      </w:r>
      <w:r>
        <w:rPr>
          <w:rFonts w:ascii="Times New Roman" w:hAnsi="Times New Roman" w:cs="Times New Roman"/>
          <w:sz w:val="24"/>
          <w:szCs w:val="24"/>
        </w:rPr>
        <w:t xml:space="preserve"> vesting ownership in another. </w:t>
      </w:r>
      <w:r w:rsidRPr="00961285">
        <w:rPr>
          <w:rFonts w:ascii="Times New Roman" w:hAnsi="Times New Roman" w:cs="Times New Roman"/>
          <w:sz w:val="24"/>
          <w:szCs w:val="24"/>
        </w:rPr>
        <w:t>The relinqui</w:t>
      </w:r>
      <w:r>
        <w:rPr>
          <w:rFonts w:ascii="Times New Roman" w:hAnsi="Times New Roman" w:cs="Times New Roman"/>
          <w:sz w:val="24"/>
          <w:szCs w:val="24"/>
        </w:rPr>
        <w:t xml:space="preserve">shment may be manifested by </w:t>
      </w:r>
      <w:r w:rsidRPr="00961285">
        <w:rPr>
          <w:rFonts w:ascii="Times New Roman" w:hAnsi="Times New Roman" w:cs="Times New Roman"/>
          <w:sz w:val="24"/>
          <w:szCs w:val="24"/>
        </w:rPr>
        <w:t xml:space="preserve">absence over time. The subjective test </w:t>
      </w:r>
      <w:r>
        <w:rPr>
          <w:rFonts w:ascii="Times New Roman" w:hAnsi="Times New Roman" w:cs="Times New Roman"/>
          <w:sz w:val="24"/>
          <w:szCs w:val="24"/>
        </w:rPr>
        <w:t>requires that the o</w:t>
      </w:r>
      <w:r w:rsidRPr="00961285">
        <w:rPr>
          <w:rFonts w:ascii="Times New Roman" w:hAnsi="Times New Roman" w:cs="Times New Roman"/>
          <w:sz w:val="24"/>
          <w:szCs w:val="24"/>
        </w:rPr>
        <w:t>wner</w:t>
      </w:r>
      <w:r>
        <w:rPr>
          <w:rFonts w:ascii="Times New Roman" w:hAnsi="Times New Roman" w:cs="Times New Roman"/>
          <w:sz w:val="24"/>
          <w:szCs w:val="24"/>
        </w:rPr>
        <w:t xml:space="preserve"> must have no intent </w:t>
      </w:r>
      <w:r w:rsidRPr="00961285">
        <w:rPr>
          <w:rFonts w:ascii="Times New Roman" w:hAnsi="Times New Roman" w:cs="Times New Roman"/>
          <w:sz w:val="24"/>
          <w:szCs w:val="24"/>
        </w:rPr>
        <w:t xml:space="preserve">to return and repossess the property or exercise </w:t>
      </w:r>
      <w:r>
        <w:rPr>
          <w:rFonts w:ascii="Times New Roman" w:hAnsi="Times New Roman" w:cs="Times New Roman"/>
          <w:sz w:val="24"/>
          <w:szCs w:val="24"/>
        </w:rPr>
        <w:t>his or her</w:t>
      </w:r>
      <w:r w:rsidRPr="00961285">
        <w:rPr>
          <w:rFonts w:ascii="Times New Roman" w:hAnsi="Times New Roman" w:cs="Times New Roman"/>
          <w:sz w:val="24"/>
          <w:szCs w:val="24"/>
        </w:rPr>
        <w:t xml:space="preserve"> property rights.  </w:t>
      </w:r>
      <w:r>
        <w:rPr>
          <w:rFonts w:ascii="Times New Roman" w:hAnsi="Times New Roman" w:cs="Times New Roman"/>
          <w:sz w:val="24"/>
          <w:szCs w:val="24"/>
        </w:rPr>
        <w:t xml:space="preserve">A person against whom abandonment is alleged may testify as </w:t>
      </w:r>
      <w:r w:rsidRPr="00961285">
        <w:rPr>
          <w:rFonts w:ascii="Times New Roman" w:hAnsi="Times New Roman" w:cs="Times New Roman"/>
          <w:sz w:val="24"/>
          <w:szCs w:val="24"/>
        </w:rPr>
        <w:t xml:space="preserve">to intent but cannot evade the effect of </w:t>
      </w:r>
      <w:r>
        <w:rPr>
          <w:rFonts w:ascii="Times New Roman" w:hAnsi="Times New Roman" w:cs="Times New Roman"/>
          <w:sz w:val="24"/>
          <w:szCs w:val="24"/>
        </w:rPr>
        <w:t>his or her</w:t>
      </w:r>
      <w:r w:rsidRPr="00961285">
        <w:rPr>
          <w:rFonts w:ascii="Times New Roman" w:hAnsi="Times New Roman" w:cs="Times New Roman"/>
          <w:sz w:val="24"/>
          <w:szCs w:val="24"/>
        </w:rPr>
        <w:t xml:space="preserve"> conduct.</w:t>
      </w:r>
      <w:r>
        <w:rPr>
          <w:rFonts w:ascii="Times New Roman" w:hAnsi="Times New Roman" w:cs="Times New Roman"/>
          <w:sz w:val="24"/>
          <w:szCs w:val="24"/>
        </w:rPr>
        <w:t xml:space="preserve"> </w:t>
      </w:r>
      <w:r w:rsidRPr="00600F3E">
        <w:rPr>
          <w:rFonts w:ascii="Times New Roman" w:hAnsi="Times New Roman" w:cs="Times New Roman"/>
          <w:sz w:val="24"/>
          <w:szCs w:val="24"/>
        </w:rPr>
        <w:t>The court</w:t>
      </w:r>
      <w:r>
        <w:rPr>
          <w:rFonts w:ascii="Times New Roman" w:hAnsi="Times New Roman" w:cs="Times New Roman"/>
          <w:sz w:val="24"/>
          <w:szCs w:val="24"/>
        </w:rPr>
        <w:t xml:space="preserve"> ascertains the owner’s </w:t>
      </w:r>
      <w:r w:rsidRPr="00927AEB">
        <w:rPr>
          <w:rFonts w:ascii="Times New Roman" w:hAnsi="Times New Roman" w:cs="Times New Roman"/>
          <w:sz w:val="24"/>
          <w:szCs w:val="24"/>
        </w:rPr>
        <w:t xml:space="preserve">intent by considering all of the facts and circumstances. </w:t>
      </w:r>
      <w:r>
        <w:rPr>
          <w:rFonts w:ascii="Times New Roman" w:hAnsi="Times New Roman" w:cs="Times New Roman"/>
          <w:sz w:val="24"/>
          <w:szCs w:val="24"/>
        </w:rPr>
        <w:t>T</w:t>
      </w:r>
      <w:r w:rsidRPr="00600F3E">
        <w:rPr>
          <w:rFonts w:ascii="Times New Roman" w:hAnsi="Times New Roman" w:cs="Times New Roman"/>
          <w:sz w:val="24"/>
          <w:szCs w:val="24"/>
        </w:rPr>
        <w:t>he passage of time in and of itself cannot constitute abandonment</w:t>
      </w:r>
      <w:r>
        <w:rPr>
          <w:rFonts w:ascii="Times New Roman" w:hAnsi="Times New Roman" w:cs="Times New Roman"/>
          <w:sz w:val="24"/>
          <w:szCs w:val="24"/>
        </w:rPr>
        <w:t xml:space="preserve">. For example, the non-use of an easement for </w:t>
      </w:r>
      <w:r w:rsidRPr="00600F3E">
        <w:rPr>
          <w:rFonts w:ascii="Times New Roman" w:hAnsi="Times New Roman" w:cs="Times New Roman"/>
          <w:sz w:val="24"/>
          <w:szCs w:val="24"/>
        </w:rPr>
        <w:t>22</w:t>
      </w:r>
      <w:r>
        <w:rPr>
          <w:rFonts w:ascii="Times New Roman" w:hAnsi="Times New Roman" w:cs="Times New Roman"/>
          <w:sz w:val="24"/>
          <w:szCs w:val="24"/>
        </w:rPr>
        <w:t xml:space="preserve"> </w:t>
      </w:r>
      <w:r w:rsidRPr="00600F3E">
        <w:rPr>
          <w:rFonts w:ascii="Times New Roman" w:hAnsi="Times New Roman" w:cs="Times New Roman"/>
          <w:sz w:val="24"/>
          <w:szCs w:val="24"/>
        </w:rPr>
        <w:t>years</w:t>
      </w:r>
      <w:r>
        <w:rPr>
          <w:rFonts w:ascii="Times New Roman" w:hAnsi="Times New Roman" w:cs="Times New Roman"/>
          <w:sz w:val="24"/>
          <w:szCs w:val="24"/>
        </w:rPr>
        <w:t xml:space="preserve"> was </w:t>
      </w:r>
      <w:r w:rsidRPr="00600F3E">
        <w:rPr>
          <w:rFonts w:ascii="Times New Roman" w:hAnsi="Times New Roman" w:cs="Times New Roman"/>
          <w:sz w:val="24"/>
          <w:szCs w:val="24"/>
        </w:rPr>
        <w:t xml:space="preserve">insufficient </w:t>
      </w:r>
      <w:r>
        <w:rPr>
          <w:rFonts w:ascii="Times New Roman" w:hAnsi="Times New Roman" w:cs="Times New Roman"/>
          <w:sz w:val="24"/>
          <w:szCs w:val="24"/>
        </w:rPr>
        <w:t>on its own</w:t>
      </w:r>
      <w:r w:rsidRPr="00600F3E">
        <w:rPr>
          <w:rFonts w:ascii="Times New Roman" w:hAnsi="Times New Roman" w:cs="Times New Roman"/>
          <w:sz w:val="24"/>
          <w:szCs w:val="24"/>
        </w:rPr>
        <w:t>, to raise the issue of intent to abandon</w:t>
      </w:r>
      <w:r>
        <w:rPr>
          <w:rFonts w:ascii="Times New Roman" w:hAnsi="Times New Roman" w:cs="Times New Roman"/>
          <w:sz w:val="24"/>
          <w:szCs w:val="24"/>
        </w:rPr>
        <w:t xml:space="preserve"> in the case of </w:t>
      </w:r>
      <w:r w:rsidRPr="00927AEB">
        <w:rPr>
          <w:rFonts w:ascii="Times New Roman" w:hAnsi="Times New Roman" w:cs="Times New Roman"/>
          <w:i/>
          <w:sz w:val="24"/>
          <w:szCs w:val="24"/>
        </w:rPr>
        <w:t>Strauch v Coastal State Crude Gathering Co., 424 S.W.  2d 677</w:t>
      </w:r>
      <w:r w:rsidRPr="00600F3E">
        <w:rPr>
          <w:rFonts w:ascii="Times New Roman" w:hAnsi="Times New Roman" w:cs="Times New Roman"/>
          <w:sz w:val="24"/>
          <w:szCs w:val="24"/>
        </w:rPr>
        <w:t>.</w:t>
      </w:r>
      <w:r w:rsidRPr="00600F3E">
        <w:t xml:space="preserve"> </w:t>
      </w:r>
    </w:p>
    <w:p w:rsidR="006F776E" w:rsidRDefault="006F776E" w:rsidP="006F776E">
      <w:pPr>
        <w:autoSpaceDE w:val="0"/>
        <w:autoSpaceDN w:val="0"/>
        <w:adjustRightInd w:val="0"/>
        <w:spacing w:after="0" w:line="360" w:lineRule="auto"/>
        <w:jc w:val="both"/>
      </w:pPr>
    </w:p>
    <w:p w:rsidR="006F776E" w:rsidRDefault="006F776E" w:rsidP="006F77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doctrine </w:t>
      </w:r>
      <w:r w:rsidRPr="006D57F1">
        <w:rPr>
          <w:rFonts w:ascii="Times New Roman" w:hAnsi="Times New Roman" w:cs="Times New Roman"/>
          <w:sz w:val="24"/>
          <w:szCs w:val="24"/>
        </w:rPr>
        <w:t xml:space="preserve">enables extinguishment of dormant interests </w:t>
      </w:r>
      <w:r>
        <w:rPr>
          <w:rFonts w:ascii="Times New Roman" w:hAnsi="Times New Roman" w:cs="Times New Roman"/>
          <w:sz w:val="24"/>
          <w:szCs w:val="24"/>
        </w:rPr>
        <w:t>in land</w:t>
      </w:r>
      <w:r w:rsidRPr="006D57F1">
        <w:rPr>
          <w:rFonts w:ascii="Times New Roman" w:hAnsi="Times New Roman" w:cs="Times New Roman"/>
          <w:sz w:val="24"/>
          <w:szCs w:val="24"/>
        </w:rPr>
        <w:t xml:space="preserve"> on the basis of non</w:t>
      </w:r>
      <w:r>
        <w:rPr>
          <w:rFonts w:ascii="Times New Roman" w:hAnsi="Times New Roman" w:cs="Times New Roman"/>
          <w:sz w:val="24"/>
          <w:szCs w:val="24"/>
        </w:rPr>
        <w:t>-</w:t>
      </w:r>
      <w:r w:rsidRPr="006D57F1">
        <w:rPr>
          <w:rFonts w:ascii="Times New Roman" w:hAnsi="Times New Roman" w:cs="Times New Roman"/>
          <w:sz w:val="24"/>
          <w:szCs w:val="24"/>
        </w:rPr>
        <w:t>use</w:t>
      </w:r>
      <w:r>
        <w:rPr>
          <w:rFonts w:ascii="Times New Roman" w:hAnsi="Times New Roman" w:cs="Times New Roman"/>
          <w:sz w:val="24"/>
          <w:szCs w:val="24"/>
        </w:rPr>
        <w:t xml:space="preserve"> coupled with intent to abandon. A summary </w:t>
      </w:r>
      <w:r w:rsidRPr="00600F3E">
        <w:rPr>
          <w:rFonts w:ascii="Times New Roman" w:hAnsi="Times New Roman" w:cs="Times New Roman"/>
          <w:sz w:val="24"/>
          <w:szCs w:val="24"/>
        </w:rPr>
        <w:t xml:space="preserve">of  </w:t>
      </w:r>
      <w:r>
        <w:rPr>
          <w:rFonts w:ascii="Times New Roman" w:hAnsi="Times New Roman" w:cs="Times New Roman"/>
          <w:sz w:val="24"/>
          <w:szCs w:val="24"/>
        </w:rPr>
        <w:t xml:space="preserve">the doctrine of </w:t>
      </w:r>
      <w:r w:rsidRPr="00600F3E">
        <w:rPr>
          <w:rFonts w:ascii="Times New Roman" w:hAnsi="Times New Roman" w:cs="Times New Roman"/>
          <w:sz w:val="24"/>
          <w:szCs w:val="24"/>
        </w:rPr>
        <w:t>abandonment  was presented  in  the  case  of  Anson  v</w:t>
      </w:r>
      <w:r>
        <w:rPr>
          <w:rFonts w:ascii="Times New Roman" w:hAnsi="Times New Roman" w:cs="Times New Roman"/>
          <w:sz w:val="24"/>
          <w:szCs w:val="24"/>
        </w:rPr>
        <w:t xml:space="preserve"> </w:t>
      </w:r>
      <w:r w:rsidRPr="00600F3E">
        <w:rPr>
          <w:rFonts w:ascii="Times New Roman" w:hAnsi="Times New Roman" w:cs="Times New Roman"/>
          <w:sz w:val="24"/>
          <w:szCs w:val="24"/>
        </w:rPr>
        <w:t>Arnett,  250  S.W.  2d 450</w:t>
      </w:r>
      <w:r>
        <w:rPr>
          <w:rFonts w:ascii="Times New Roman" w:hAnsi="Times New Roman" w:cs="Times New Roman"/>
          <w:sz w:val="24"/>
          <w:szCs w:val="24"/>
        </w:rPr>
        <w:t>, thus; -</w:t>
      </w:r>
    </w:p>
    <w:p w:rsidR="006F776E" w:rsidRDefault="006F776E" w:rsidP="006F776E">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To abandon is </w:t>
      </w:r>
      <w:r w:rsidRPr="00600F3E">
        <w:rPr>
          <w:rFonts w:ascii="Times New Roman" w:hAnsi="Times New Roman" w:cs="Times New Roman"/>
          <w:sz w:val="24"/>
          <w:szCs w:val="24"/>
        </w:rPr>
        <w:t>to give up, desert, or to</w:t>
      </w:r>
      <w:r>
        <w:rPr>
          <w:rFonts w:ascii="Times New Roman" w:hAnsi="Times New Roman" w:cs="Times New Roman"/>
          <w:sz w:val="24"/>
          <w:szCs w:val="24"/>
        </w:rPr>
        <w:t xml:space="preserve"> </w:t>
      </w:r>
      <w:r w:rsidRPr="00600F3E">
        <w:rPr>
          <w:rFonts w:ascii="Times New Roman" w:hAnsi="Times New Roman" w:cs="Times New Roman"/>
          <w:sz w:val="24"/>
          <w:szCs w:val="24"/>
        </w:rPr>
        <w:t>relinquish voluntarily and absolutely</w:t>
      </w:r>
      <w:r>
        <w:rPr>
          <w:rFonts w:ascii="Times New Roman" w:hAnsi="Times New Roman" w:cs="Times New Roman"/>
          <w:sz w:val="24"/>
          <w:szCs w:val="24"/>
        </w:rPr>
        <w:t xml:space="preserve">. The question of abandonment is one </w:t>
      </w:r>
      <w:r w:rsidRPr="00600F3E">
        <w:rPr>
          <w:rFonts w:ascii="Times New Roman" w:hAnsi="Times New Roman" w:cs="Times New Roman"/>
          <w:sz w:val="24"/>
          <w:szCs w:val="24"/>
        </w:rPr>
        <w:t>of</w:t>
      </w:r>
      <w:r>
        <w:rPr>
          <w:rFonts w:ascii="Times New Roman" w:hAnsi="Times New Roman" w:cs="Times New Roman"/>
          <w:sz w:val="24"/>
          <w:szCs w:val="24"/>
        </w:rPr>
        <w:t xml:space="preserve"> fact to be determined in </w:t>
      </w:r>
      <w:r w:rsidRPr="00600F3E">
        <w:rPr>
          <w:rFonts w:ascii="Times New Roman" w:hAnsi="Times New Roman" w:cs="Times New Roman"/>
          <w:sz w:val="24"/>
          <w:szCs w:val="24"/>
        </w:rPr>
        <w:t>each case</w:t>
      </w:r>
      <w:r>
        <w:rPr>
          <w:rFonts w:ascii="Times New Roman" w:hAnsi="Times New Roman" w:cs="Times New Roman"/>
          <w:sz w:val="24"/>
          <w:szCs w:val="24"/>
        </w:rPr>
        <w:t xml:space="preserve"> </w:t>
      </w:r>
      <w:r w:rsidRPr="00600F3E">
        <w:rPr>
          <w:rFonts w:ascii="Times New Roman" w:hAnsi="Times New Roman" w:cs="Times New Roman"/>
          <w:sz w:val="24"/>
          <w:szCs w:val="24"/>
        </w:rPr>
        <w:t>from all the evidence in the record</w:t>
      </w:r>
      <w:r>
        <w:rPr>
          <w:rFonts w:ascii="Times New Roman" w:hAnsi="Times New Roman" w:cs="Times New Roman"/>
          <w:sz w:val="24"/>
          <w:szCs w:val="24"/>
        </w:rPr>
        <w:t xml:space="preserve">. An essential element of </w:t>
      </w:r>
      <w:r w:rsidRPr="00600F3E">
        <w:rPr>
          <w:rFonts w:ascii="Times New Roman" w:hAnsi="Times New Roman" w:cs="Times New Roman"/>
          <w:sz w:val="24"/>
          <w:szCs w:val="24"/>
        </w:rPr>
        <w:t>abandonmen</w:t>
      </w:r>
      <w:r>
        <w:rPr>
          <w:rFonts w:ascii="Times New Roman" w:hAnsi="Times New Roman" w:cs="Times New Roman"/>
          <w:sz w:val="24"/>
          <w:szCs w:val="24"/>
        </w:rPr>
        <w:t xml:space="preserve">t is the intention </w:t>
      </w:r>
      <w:r w:rsidRPr="00600F3E">
        <w:rPr>
          <w:rFonts w:ascii="Times New Roman" w:hAnsi="Times New Roman" w:cs="Times New Roman"/>
          <w:sz w:val="24"/>
          <w:szCs w:val="24"/>
        </w:rPr>
        <w:t>to abandon,</w:t>
      </w:r>
      <w:r w:rsidRPr="00600F3E">
        <w:t xml:space="preserve"> </w:t>
      </w:r>
      <w:r>
        <w:rPr>
          <w:rFonts w:ascii="Times New Roman" w:hAnsi="Times New Roman" w:cs="Times New Roman"/>
          <w:sz w:val="24"/>
          <w:szCs w:val="24"/>
        </w:rPr>
        <w:t xml:space="preserve">and </w:t>
      </w:r>
      <w:r w:rsidRPr="00600F3E">
        <w:rPr>
          <w:rFonts w:ascii="Times New Roman" w:hAnsi="Times New Roman" w:cs="Times New Roman"/>
          <w:sz w:val="24"/>
          <w:szCs w:val="24"/>
        </w:rPr>
        <w:t>such intention must be shown by clear and satisfactory evidence</w:t>
      </w:r>
      <w:r>
        <w:rPr>
          <w:rFonts w:ascii="Times New Roman" w:hAnsi="Times New Roman" w:cs="Times New Roman"/>
          <w:sz w:val="24"/>
          <w:szCs w:val="24"/>
        </w:rPr>
        <w:t xml:space="preserve">. Abandonment may be shown </w:t>
      </w:r>
      <w:r w:rsidRPr="00600F3E">
        <w:rPr>
          <w:rFonts w:ascii="Times New Roman" w:hAnsi="Times New Roman" w:cs="Times New Roman"/>
          <w:sz w:val="24"/>
          <w:szCs w:val="24"/>
        </w:rPr>
        <w:t>by circumstances, but they must disclose some definite act showing intention to</w:t>
      </w:r>
      <w:r>
        <w:rPr>
          <w:rFonts w:ascii="Times New Roman" w:hAnsi="Times New Roman" w:cs="Times New Roman"/>
          <w:sz w:val="24"/>
          <w:szCs w:val="24"/>
        </w:rPr>
        <w:t xml:space="preserve"> abandon. The non-use of a right is not sufficient in itself to show abandonment, but if the failure to </w:t>
      </w:r>
      <w:r w:rsidRPr="00600F3E">
        <w:rPr>
          <w:rFonts w:ascii="Times New Roman" w:hAnsi="Times New Roman" w:cs="Times New Roman"/>
          <w:sz w:val="24"/>
          <w:szCs w:val="24"/>
        </w:rPr>
        <w:t>use</w:t>
      </w:r>
      <w:r>
        <w:rPr>
          <w:rFonts w:ascii="Times New Roman" w:hAnsi="Times New Roman" w:cs="Times New Roman"/>
          <w:sz w:val="24"/>
          <w:szCs w:val="24"/>
        </w:rPr>
        <w:t xml:space="preserve"> is long, continued and </w:t>
      </w:r>
      <w:r w:rsidRPr="00600F3E">
        <w:rPr>
          <w:rFonts w:ascii="Times New Roman" w:hAnsi="Times New Roman" w:cs="Times New Roman"/>
          <w:sz w:val="24"/>
          <w:szCs w:val="24"/>
        </w:rPr>
        <w:t>unexplained, it gives rise to an inference of intention to abandon</w:t>
      </w:r>
      <w:r>
        <w:rPr>
          <w:rFonts w:ascii="Times New Roman" w:hAnsi="Times New Roman" w:cs="Times New Roman"/>
          <w:sz w:val="24"/>
          <w:szCs w:val="24"/>
        </w:rPr>
        <w:t>.</w:t>
      </w:r>
    </w:p>
    <w:p w:rsidR="00673768" w:rsidRDefault="00673768" w:rsidP="006F30C4">
      <w:pPr>
        <w:autoSpaceDE w:val="0"/>
        <w:autoSpaceDN w:val="0"/>
        <w:adjustRightInd w:val="0"/>
        <w:spacing w:after="0" w:line="360" w:lineRule="auto"/>
        <w:jc w:val="both"/>
        <w:rPr>
          <w:rFonts w:ascii="Times New Roman" w:hAnsi="Times New Roman" w:cs="Times New Roman"/>
          <w:sz w:val="24"/>
          <w:szCs w:val="24"/>
        </w:rPr>
      </w:pPr>
    </w:p>
    <w:p w:rsidR="00673768" w:rsidRDefault="003C7B2A"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evidence before court indicated that none of the members of the family of either party had used the land for the last 71 years before the suit was filed in the year 2006. For all that period, their ancestors had </w:t>
      </w:r>
      <w:r w:rsidRPr="002A2ED5">
        <w:rPr>
          <w:rFonts w:ascii="Times New Roman" w:hAnsi="Times New Roman" w:cs="Times New Roman"/>
          <w:sz w:val="24"/>
          <w:szCs w:val="24"/>
        </w:rPr>
        <w:t>le</w:t>
      </w:r>
      <w:r>
        <w:rPr>
          <w:rFonts w:ascii="Times New Roman" w:hAnsi="Times New Roman" w:cs="Times New Roman"/>
          <w:sz w:val="24"/>
          <w:szCs w:val="24"/>
        </w:rPr>
        <w:t>ft</w:t>
      </w:r>
      <w:r w:rsidRPr="002A2ED5">
        <w:rPr>
          <w:rFonts w:ascii="Times New Roman" w:hAnsi="Times New Roman" w:cs="Times New Roman"/>
          <w:sz w:val="24"/>
          <w:szCs w:val="24"/>
        </w:rPr>
        <w:t xml:space="preserve"> the whole of the land unattended to by </w:t>
      </w:r>
      <w:r>
        <w:rPr>
          <w:rFonts w:ascii="Times New Roman" w:hAnsi="Times New Roman" w:cs="Times New Roman"/>
          <w:sz w:val="24"/>
          <w:szCs w:val="24"/>
        </w:rPr>
        <w:t>t</w:t>
      </w:r>
      <w:r w:rsidRPr="002A2ED5">
        <w:rPr>
          <w:rFonts w:ascii="Times New Roman" w:hAnsi="Times New Roman" w:cs="Times New Roman"/>
          <w:sz w:val="24"/>
          <w:szCs w:val="24"/>
        </w:rPr>
        <w:t>h</w:t>
      </w:r>
      <w:r>
        <w:rPr>
          <w:rFonts w:ascii="Times New Roman" w:hAnsi="Times New Roman" w:cs="Times New Roman"/>
          <w:sz w:val="24"/>
          <w:szCs w:val="24"/>
        </w:rPr>
        <w:t>e</w:t>
      </w:r>
      <w:r w:rsidRPr="002A2ED5">
        <w:rPr>
          <w:rFonts w:ascii="Times New Roman" w:hAnsi="Times New Roman" w:cs="Times New Roman"/>
          <w:sz w:val="24"/>
          <w:szCs w:val="24"/>
        </w:rPr>
        <w:t>msel</w:t>
      </w:r>
      <w:r>
        <w:rPr>
          <w:rFonts w:ascii="Times New Roman" w:hAnsi="Times New Roman" w:cs="Times New Roman"/>
          <w:sz w:val="24"/>
          <w:szCs w:val="24"/>
        </w:rPr>
        <w:t>ves</w:t>
      </w:r>
      <w:r w:rsidRPr="002A2ED5">
        <w:rPr>
          <w:rFonts w:ascii="Times New Roman" w:hAnsi="Times New Roman" w:cs="Times New Roman"/>
          <w:sz w:val="24"/>
          <w:szCs w:val="24"/>
        </w:rPr>
        <w:t xml:space="preserve"> or member</w:t>
      </w:r>
      <w:r>
        <w:rPr>
          <w:rFonts w:ascii="Times New Roman" w:hAnsi="Times New Roman" w:cs="Times New Roman"/>
          <w:sz w:val="24"/>
          <w:szCs w:val="24"/>
        </w:rPr>
        <w:t>s</w:t>
      </w:r>
      <w:r w:rsidRPr="002A2ED5">
        <w:rPr>
          <w:rFonts w:ascii="Times New Roman" w:hAnsi="Times New Roman" w:cs="Times New Roman"/>
          <w:sz w:val="24"/>
          <w:szCs w:val="24"/>
        </w:rPr>
        <w:t xml:space="preserve"> of </w:t>
      </w:r>
      <w:r>
        <w:rPr>
          <w:rFonts w:ascii="Times New Roman" w:hAnsi="Times New Roman" w:cs="Times New Roman"/>
          <w:sz w:val="24"/>
          <w:szCs w:val="24"/>
        </w:rPr>
        <w:t>their</w:t>
      </w:r>
      <w:r w:rsidRPr="002A2ED5">
        <w:rPr>
          <w:rFonts w:ascii="Times New Roman" w:hAnsi="Times New Roman" w:cs="Times New Roman"/>
          <w:sz w:val="24"/>
          <w:szCs w:val="24"/>
        </w:rPr>
        <w:t xml:space="preserve"> famil</w:t>
      </w:r>
      <w:r>
        <w:rPr>
          <w:rFonts w:ascii="Times New Roman" w:hAnsi="Times New Roman" w:cs="Times New Roman"/>
          <w:sz w:val="24"/>
          <w:szCs w:val="24"/>
        </w:rPr>
        <w:t xml:space="preserve">ies with only the Public Works Department of the Ministry </w:t>
      </w:r>
      <w:r w:rsidR="00596315">
        <w:rPr>
          <w:rFonts w:ascii="Times New Roman" w:hAnsi="Times New Roman" w:cs="Times New Roman"/>
          <w:sz w:val="24"/>
          <w:szCs w:val="24"/>
        </w:rPr>
        <w:t xml:space="preserve">of Works </w:t>
      </w:r>
      <w:r>
        <w:rPr>
          <w:rFonts w:ascii="Times New Roman" w:hAnsi="Times New Roman" w:cs="Times New Roman"/>
          <w:sz w:val="24"/>
          <w:szCs w:val="24"/>
        </w:rPr>
        <w:t xml:space="preserve">undertaking activities thereon. </w:t>
      </w:r>
      <w:r w:rsidR="00596315" w:rsidRPr="00927AEB">
        <w:rPr>
          <w:rFonts w:ascii="Times New Roman" w:hAnsi="Times New Roman" w:cs="Times New Roman"/>
          <w:sz w:val="24"/>
          <w:szCs w:val="24"/>
        </w:rPr>
        <w:t xml:space="preserve">Although mere non-use of </w:t>
      </w:r>
      <w:r w:rsidR="00596315">
        <w:rPr>
          <w:rFonts w:ascii="Times New Roman" w:hAnsi="Times New Roman" w:cs="Times New Roman"/>
          <w:sz w:val="24"/>
          <w:szCs w:val="24"/>
        </w:rPr>
        <w:t>land</w:t>
      </w:r>
      <w:r w:rsidR="00596315" w:rsidRPr="00927AEB">
        <w:rPr>
          <w:rFonts w:ascii="Times New Roman" w:hAnsi="Times New Roman" w:cs="Times New Roman"/>
          <w:sz w:val="24"/>
          <w:szCs w:val="24"/>
        </w:rPr>
        <w:t xml:space="preserve"> is insufficient to prove abandonment</w:t>
      </w:r>
      <w:r w:rsidR="00596315">
        <w:rPr>
          <w:rFonts w:ascii="Times New Roman" w:hAnsi="Times New Roman" w:cs="Times New Roman"/>
          <w:sz w:val="24"/>
          <w:szCs w:val="24"/>
        </w:rPr>
        <w:t>, however</w:t>
      </w:r>
      <w:r w:rsidR="00596315" w:rsidRPr="00927AEB">
        <w:rPr>
          <w:rFonts w:ascii="Times New Roman" w:hAnsi="Times New Roman" w:cs="Times New Roman"/>
          <w:sz w:val="24"/>
          <w:szCs w:val="24"/>
        </w:rPr>
        <w:t xml:space="preserve"> evidence of long and unexplained</w:t>
      </w:r>
      <w:r w:rsidR="00596315" w:rsidRPr="00600F3E">
        <w:rPr>
          <w:rFonts w:ascii="Times New Roman" w:hAnsi="Times New Roman" w:cs="Times New Roman"/>
          <w:sz w:val="24"/>
          <w:szCs w:val="24"/>
        </w:rPr>
        <w:t xml:space="preserve"> non-use is admissible as to intent.  </w:t>
      </w:r>
      <w:r w:rsidR="00596315">
        <w:rPr>
          <w:rFonts w:ascii="Times New Roman" w:hAnsi="Times New Roman" w:cs="Times New Roman"/>
          <w:sz w:val="24"/>
          <w:szCs w:val="24"/>
        </w:rPr>
        <w:t xml:space="preserve">Where the failure to </w:t>
      </w:r>
      <w:r w:rsidR="00596315" w:rsidRPr="00600F3E">
        <w:rPr>
          <w:rFonts w:ascii="Times New Roman" w:hAnsi="Times New Roman" w:cs="Times New Roman"/>
          <w:sz w:val="24"/>
          <w:szCs w:val="24"/>
        </w:rPr>
        <w:t>use</w:t>
      </w:r>
      <w:r w:rsidR="00596315">
        <w:rPr>
          <w:rFonts w:ascii="Times New Roman" w:hAnsi="Times New Roman" w:cs="Times New Roman"/>
          <w:sz w:val="24"/>
          <w:szCs w:val="24"/>
        </w:rPr>
        <w:t xml:space="preserve"> the land is long, continued and </w:t>
      </w:r>
      <w:r w:rsidR="00596315" w:rsidRPr="00600F3E">
        <w:rPr>
          <w:rFonts w:ascii="Times New Roman" w:hAnsi="Times New Roman" w:cs="Times New Roman"/>
          <w:sz w:val="24"/>
          <w:szCs w:val="24"/>
        </w:rPr>
        <w:t xml:space="preserve">unexplained, it gives rise to an inference of </w:t>
      </w:r>
      <w:r w:rsidR="00596315">
        <w:rPr>
          <w:rFonts w:ascii="Times New Roman" w:hAnsi="Times New Roman" w:cs="Times New Roman"/>
          <w:sz w:val="24"/>
          <w:szCs w:val="24"/>
        </w:rPr>
        <w:t xml:space="preserve">an </w:t>
      </w:r>
      <w:r w:rsidR="00596315" w:rsidRPr="00600F3E">
        <w:rPr>
          <w:rFonts w:ascii="Times New Roman" w:hAnsi="Times New Roman" w:cs="Times New Roman"/>
          <w:sz w:val="24"/>
          <w:szCs w:val="24"/>
        </w:rPr>
        <w:t>intention to abandon</w:t>
      </w:r>
      <w:r w:rsidR="00596315">
        <w:rPr>
          <w:rFonts w:ascii="Times New Roman" w:hAnsi="Times New Roman" w:cs="Times New Roman"/>
          <w:sz w:val="24"/>
          <w:szCs w:val="24"/>
        </w:rPr>
        <w:t xml:space="preserve">. </w:t>
      </w:r>
      <w:r>
        <w:rPr>
          <w:rFonts w:ascii="Times New Roman" w:hAnsi="Times New Roman" w:cs="Times New Roman"/>
          <w:sz w:val="24"/>
          <w:szCs w:val="24"/>
        </w:rPr>
        <w:t xml:space="preserve">For all intents and purposes therefore, if ever there had been any customary rights of ownership enjoyed by any of the parties ancestors in the land now in dispute, those rights were extinguished by abandonment. None of the parties therefore could in law acquire the land by inheritance since there were no longer any proprietary interests in the land which survived their ancestors. In short, the appellant had no </w:t>
      </w:r>
      <w:r w:rsidRPr="003C7B2A">
        <w:rPr>
          <w:rFonts w:ascii="Times New Roman" w:hAnsi="Times New Roman" w:cs="Times New Roman"/>
          <w:i/>
          <w:sz w:val="24"/>
          <w:szCs w:val="24"/>
        </w:rPr>
        <w:t>locus standi</w:t>
      </w:r>
      <w:r>
        <w:rPr>
          <w:rFonts w:ascii="Times New Roman" w:hAnsi="Times New Roman" w:cs="Times New Roman"/>
          <w:sz w:val="24"/>
          <w:szCs w:val="24"/>
        </w:rPr>
        <w:t xml:space="preserve"> in claiming the land as a customary owner.</w:t>
      </w:r>
    </w:p>
    <w:p w:rsidR="003C7B2A" w:rsidRDefault="003C7B2A" w:rsidP="006F30C4">
      <w:pPr>
        <w:autoSpaceDE w:val="0"/>
        <w:autoSpaceDN w:val="0"/>
        <w:adjustRightInd w:val="0"/>
        <w:spacing w:after="0" w:line="360" w:lineRule="auto"/>
        <w:jc w:val="both"/>
        <w:rPr>
          <w:rFonts w:ascii="Times New Roman" w:hAnsi="Times New Roman" w:cs="Times New Roman"/>
          <w:sz w:val="24"/>
          <w:szCs w:val="24"/>
        </w:rPr>
      </w:pPr>
    </w:p>
    <w:p w:rsidR="003C7B2A" w:rsidRDefault="00596315"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alternative was his claim as a person to whom an offer for a lease had been granted by the District Land Board. Upon the promulgation of </w:t>
      </w:r>
      <w:r w:rsidRPr="006B719D">
        <w:rPr>
          <w:rFonts w:ascii="Times New Roman" w:hAnsi="Times New Roman" w:cs="Times New Roman"/>
          <w:i/>
          <w:sz w:val="24"/>
          <w:szCs w:val="24"/>
        </w:rPr>
        <w:t>The Constitution of the Republic of Uganda, 1995</w:t>
      </w:r>
      <w:r>
        <w:rPr>
          <w:rFonts w:ascii="Times New Roman" w:hAnsi="Times New Roman" w:cs="Times New Roman"/>
          <w:i/>
          <w:sz w:val="24"/>
          <w:szCs w:val="24"/>
        </w:rPr>
        <w:t>,</w:t>
      </w:r>
      <w:r>
        <w:rPr>
          <w:rFonts w:ascii="Times New Roman" w:hAnsi="Times New Roman" w:cs="Times New Roman"/>
          <w:sz w:val="24"/>
          <w:szCs w:val="24"/>
        </w:rPr>
        <w:t xml:space="preserve"> the role of the Uganda Land Commission was redefined and restricted by article 239 of the constitution and s</w:t>
      </w:r>
      <w:r w:rsidRPr="00DB5235">
        <w:rPr>
          <w:rFonts w:ascii="Times New Roman" w:hAnsi="Times New Roman" w:cs="Times New Roman"/>
          <w:sz w:val="24"/>
          <w:szCs w:val="24"/>
        </w:rPr>
        <w:t xml:space="preserve">ection 53 of </w:t>
      </w:r>
      <w:r w:rsidRPr="00DB5235">
        <w:rPr>
          <w:rFonts w:ascii="Times New Roman" w:hAnsi="Times New Roman" w:cs="Times New Roman"/>
          <w:i/>
          <w:sz w:val="24"/>
          <w:szCs w:val="24"/>
        </w:rPr>
        <w:t>The Land Act Cap 227</w:t>
      </w:r>
      <w:r>
        <w:rPr>
          <w:rFonts w:ascii="Times New Roman" w:hAnsi="Times New Roman" w:cs="Times New Roman"/>
          <w:sz w:val="24"/>
          <w:szCs w:val="24"/>
        </w:rPr>
        <w:t>,</w:t>
      </w:r>
      <w:r w:rsidRPr="00DB5235">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D2E91">
        <w:rPr>
          <w:rFonts w:ascii="Times New Roman" w:hAnsi="Times New Roman" w:cs="Times New Roman"/>
          <w:sz w:val="24"/>
          <w:szCs w:val="24"/>
        </w:rPr>
        <w:t>hold</w:t>
      </w:r>
      <w:r>
        <w:rPr>
          <w:rFonts w:ascii="Times New Roman" w:hAnsi="Times New Roman" w:cs="Times New Roman"/>
          <w:sz w:val="24"/>
          <w:szCs w:val="24"/>
        </w:rPr>
        <w:t>ing</w:t>
      </w:r>
      <w:r w:rsidRPr="002D2E91">
        <w:rPr>
          <w:rFonts w:ascii="Times New Roman" w:hAnsi="Times New Roman" w:cs="Times New Roman"/>
          <w:sz w:val="24"/>
          <w:szCs w:val="24"/>
        </w:rPr>
        <w:t xml:space="preserve"> and manag</w:t>
      </w:r>
      <w:r>
        <w:rPr>
          <w:rFonts w:ascii="Times New Roman" w:hAnsi="Times New Roman" w:cs="Times New Roman"/>
          <w:sz w:val="24"/>
          <w:szCs w:val="24"/>
        </w:rPr>
        <w:t>ing</w:t>
      </w:r>
      <w:r w:rsidRPr="002D2E91">
        <w:rPr>
          <w:rFonts w:ascii="Times New Roman" w:hAnsi="Times New Roman" w:cs="Times New Roman"/>
          <w:sz w:val="24"/>
          <w:szCs w:val="24"/>
        </w:rPr>
        <w:t xml:space="preserve"> land in Uganda </w:t>
      </w:r>
      <w:r>
        <w:rPr>
          <w:rFonts w:ascii="Times New Roman" w:hAnsi="Times New Roman" w:cs="Times New Roman"/>
          <w:sz w:val="24"/>
          <w:szCs w:val="24"/>
        </w:rPr>
        <w:t>“</w:t>
      </w:r>
      <w:r w:rsidRPr="002D2E91">
        <w:rPr>
          <w:rFonts w:ascii="Times New Roman" w:hAnsi="Times New Roman" w:cs="Times New Roman"/>
          <w:sz w:val="24"/>
          <w:szCs w:val="24"/>
        </w:rPr>
        <w:t>vested in or acquired by the Government of Uganda</w:t>
      </w:r>
      <w:r>
        <w:rPr>
          <w:rFonts w:ascii="Times New Roman" w:hAnsi="Times New Roman" w:cs="Times New Roman"/>
          <w:sz w:val="24"/>
          <w:szCs w:val="24"/>
        </w:rPr>
        <w:t>”</w:t>
      </w:r>
      <w:r w:rsidRPr="002D2E91">
        <w:rPr>
          <w:rFonts w:ascii="Times New Roman" w:hAnsi="Times New Roman" w:cs="Times New Roman"/>
          <w:sz w:val="24"/>
          <w:szCs w:val="24"/>
        </w:rPr>
        <w:t xml:space="preserve"> in accordance with the provisions of th</w:t>
      </w:r>
      <w:r>
        <w:rPr>
          <w:rFonts w:ascii="Times New Roman" w:hAnsi="Times New Roman" w:cs="Times New Roman"/>
          <w:sz w:val="24"/>
          <w:szCs w:val="24"/>
        </w:rPr>
        <w:t>e</w:t>
      </w:r>
      <w:r w:rsidRPr="002D2E91">
        <w:rPr>
          <w:rFonts w:ascii="Times New Roman" w:hAnsi="Times New Roman" w:cs="Times New Roman"/>
          <w:sz w:val="24"/>
          <w:szCs w:val="24"/>
        </w:rPr>
        <w:t xml:space="preserve"> Constitution</w:t>
      </w:r>
      <w:r>
        <w:rPr>
          <w:rFonts w:ascii="Times New Roman" w:hAnsi="Times New Roman" w:cs="Times New Roman"/>
          <w:sz w:val="24"/>
          <w:szCs w:val="24"/>
        </w:rPr>
        <w:t xml:space="preserve">. Since there was no evidence that the Public Works Department of the Ministry Works acquired a registered interest in the land, according to article 241 (1) (a) of </w:t>
      </w:r>
      <w:r w:rsidRPr="006B719D">
        <w:rPr>
          <w:rFonts w:ascii="Times New Roman" w:hAnsi="Times New Roman" w:cs="Times New Roman"/>
          <w:i/>
          <w:sz w:val="24"/>
          <w:szCs w:val="24"/>
        </w:rPr>
        <w:t xml:space="preserve">The </w:t>
      </w:r>
      <w:r w:rsidRPr="006B719D">
        <w:rPr>
          <w:rFonts w:ascii="Times New Roman" w:hAnsi="Times New Roman" w:cs="Times New Roman"/>
          <w:i/>
          <w:sz w:val="24"/>
          <w:szCs w:val="24"/>
        </w:rPr>
        <w:lastRenderedPageBreak/>
        <w:t>Constitution of the Republic of Uganda, 1995</w:t>
      </w:r>
      <w:r>
        <w:rPr>
          <w:rFonts w:ascii="Times New Roman" w:hAnsi="Times New Roman" w:cs="Times New Roman"/>
          <w:sz w:val="24"/>
          <w:szCs w:val="24"/>
        </w:rPr>
        <w:t xml:space="preserve"> and section </w:t>
      </w:r>
      <w:r w:rsidRPr="00C04245">
        <w:rPr>
          <w:rFonts w:ascii="Times New Roman" w:hAnsi="Times New Roman" w:cs="Times New Roman"/>
          <w:sz w:val="24"/>
          <w:szCs w:val="24"/>
        </w:rPr>
        <w:t>59</w:t>
      </w:r>
      <w:r>
        <w:rPr>
          <w:rFonts w:ascii="Times New Roman" w:hAnsi="Times New Roman" w:cs="Times New Roman"/>
          <w:sz w:val="24"/>
          <w:szCs w:val="24"/>
        </w:rPr>
        <w:t xml:space="preserve"> </w:t>
      </w:r>
      <w:r w:rsidRPr="00C04245">
        <w:rPr>
          <w:rFonts w:ascii="Times New Roman" w:hAnsi="Times New Roman" w:cs="Times New Roman"/>
          <w:sz w:val="24"/>
          <w:szCs w:val="24"/>
        </w:rPr>
        <w:t>(</w:t>
      </w:r>
      <w:r>
        <w:rPr>
          <w:rFonts w:ascii="Times New Roman" w:hAnsi="Times New Roman" w:cs="Times New Roman"/>
          <w:sz w:val="24"/>
          <w:szCs w:val="24"/>
        </w:rPr>
        <w:t>1</w:t>
      </w:r>
      <w:r w:rsidRPr="00C04245">
        <w:rPr>
          <w:rFonts w:ascii="Times New Roman" w:hAnsi="Times New Roman" w:cs="Times New Roman"/>
          <w:sz w:val="24"/>
          <w:szCs w:val="24"/>
        </w:rPr>
        <w:t xml:space="preserve">) of </w:t>
      </w:r>
      <w:r w:rsidRPr="00C04245">
        <w:rPr>
          <w:rFonts w:ascii="Times New Roman" w:hAnsi="Times New Roman" w:cs="Times New Roman"/>
          <w:i/>
          <w:sz w:val="24"/>
          <w:szCs w:val="24"/>
        </w:rPr>
        <w:t>The Land Act</w:t>
      </w:r>
      <w:r>
        <w:rPr>
          <w:rFonts w:ascii="Times New Roman" w:hAnsi="Times New Roman" w:cs="Times New Roman"/>
          <w:sz w:val="24"/>
          <w:szCs w:val="24"/>
        </w:rPr>
        <w:t xml:space="preserve">, the power to </w:t>
      </w:r>
      <w:r w:rsidRPr="00FD37BF">
        <w:rPr>
          <w:rFonts w:ascii="Times New Roman" w:hAnsi="Times New Roman" w:cs="Times New Roman"/>
          <w:sz w:val="24"/>
          <w:szCs w:val="24"/>
        </w:rPr>
        <w:t xml:space="preserve">hold and allocate land in the district </w:t>
      </w:r>
      <w:r>
        <w:rPr>
          <w:rFonts w:ascii="Times New Roman" w:hAnsi="Times New Roman" w:cs="Times New Roman"/>
          <w:sz w:val="24"/>
          <w:szCs w:val="24"/>
        </w:rPr>
        <w:t>“</w:t>
      </w:r>
      <w:r w:rsidRPr="00FD37BF">
        <w:rPr>
          <w:rFonts w:ascii="Times New Roman" w:hAnsi="Times New Roman" w:cs="Times New Roman"/>
          <w:sz w:val="24"/>
          <w:szCs w:val="24"/>
        </w:rPr>
        <w:t>which is not owned by any person or authority</w:t>
      </w:r>
      <w:r>
        <w:rPr>
          <w:rFonts w:ascii="Times New Roman" w:hAnsi="Times New Roman" w:cs="Times New Roman"/>
          <w:sz w:val="24"/>
          <w:szCs w:val="24"/>
        </w:rPr>
        <w:t>,” was vested in the District Land Boards, in this case, Arua District Land Board.</w:t>
      </w:r>
    </w:p>
    <w:p w:rsidR="00596315" w:rsidRDefault="00596315" w:rsidP="006F30C4">
      <w:pPr>
        <w:autoSpaceDE w:val="0"/>
        <w:autoSpaceDN w:val="0"/>
        <w:adjustRightInd w:val="0"/>
        <w:spacing w:after="0" w:line="360" w:lineRule="auto"/>
        <w:jc w:val="both"/>
        <w:rPr>
          <w:rFonts w:ascii="Times New Roman" w:hAnsi="Times New Roman" w:cs="Times New Roman"/>
          <w:sz w:val="24"/>
          <w:szCs w:val="24"/>
        </w:rPr>
      </w:pPr>
    </w:p>
    <w:p w:rsidR="00596315" w:rsidRDefault="00596315"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adduced evidence before the trial court of a lease offer he obtained from Arua District Land Board on 21</w:t>
      </w:r>
      <w:r w:rsidRPr="00596315">
        <w:rPr>
          <w:rFonts w:ascii="Times New Roman" w:hAnsi="Times New Roman" w:cs="Times New Roman"/>
          <w:sz w:val="24"/>
          <w:szCs w:val="24"/>
          <w:vertAlign w:val="superscript"/>
        </w:rPr>
        <w:t>st</w:t>
      </w:r>
      <w:r>
        <w:rPr>
          <w:rFonts w:ascii="Times New Roman" w:hAnsi="Times New Roman" w:cs="Times New Roman"/>
          <w:sz w:val="24"/>
          <w:szCs w:val="24"/>
        </w:rPr>
        <w:t xml:space="preserve"> May 2001 under its minute D.L.B 19/2001 (2) of 08/08/2001</w:t>
      </w:r>
      <w:r w:rsidR="003A66A9">
        <w:rPr>
          <w:rFonts w:ascii="Times New Roman" w:hAnsi="Times New Roman" w:cs="Times New Roman"/>
          <w:sz w:val="24"/>
          <w:szCs w:val="24"/>
        </w:rPr>
        <w:t xml:space="preserve"> (exhibit P.E.1)</w:t>
      </w:r>
      <w:r>
        <w:rPr>
          <w:rFonts w:ascii="Times New Roman" w:hAnsi="Times New Roman" w:cs="Times New Roman"/>
          <w:sz w:val="24"/>
          <w:szCs w:val="24"/>
        </w:rPr>
        <w:t xml:space="preserve">. According to clause 4 of the letter, </w:t>
      </w:r>
      <w:r w:rsidR="003A66A9">
        <w:rPr>
          <w:rFonts w:ascii="Times New Roman" w:hAnsi="Times New Roman" w:cs="Times New Roman"/>
          <w:sz w:val="24"/>
          <w:szCs w:val="24"/>
        </w:rPr>
        <w:t>the offer was “conditional on terms and conditions of the lease being accepted within one month of the date of this letter.” According to clause 4 thereof, acceptance was to be in writing accompanied by evidence of payment of the specified fees including; the premium, fees for survey and mark-stones, preparation of lease, assurance of title, registration fee, land agency fee and ground rent. The appellant did not adduce evidence of having formally accepted the offer. Therefore, by the time he filed the suit on 26</w:t>
      </w:r>
      <w:r w:rsidR="003A66A9" w:rsidRPr="003A66A9">
        <w:rPr>
          <w:rFonts w:ascii="Times New Roman" w:hAnsi="Times New Roman" w:cs="Times New Roman"/>
          <w:sz w:val="24"/>
          <w:szCs w:val="24"/>
          <w:vertAlign w:val="superscript"/>
        </w:rPr>
        <w:t>th</w:t>
      </w:r>
      <w:r w:rsidR="003A66A9">
        <w:rPr>
          <w:rFonts w:ascii="Times New Roman" w:hAnsi="Times New Roman" w:cs="Times New Roman"/>
          <w:sz w:val="24"/>
          <w:szCs w:val="24"/>
        </w:rPr>
        <w:t xml:space="preserve"> April 2006, the offer had long expired, nearly five years before. When he began activities on the land including planting of coffee trees, etc. he </w:t>
      </w:r>
      <w:r w:rsidR="007126E4">
        <w:rPr>
          <w:rFonts w:ascii="Times New Roman" w:hAnsi="Times New Roman" w:cs="Times New Roman"/>
          <w:sz w:val="24"/>
          <w:szCs w:val="24"/>
        </w:rPr>
        <w:t>was practically</w:t>
      </w:r>
      <w:r w:rsidR="003A66A9">
        <w:rPr>
          <w:rFonts w:ascii="Times New Roman" w:hAnsi="Times New Roman" w:cs="Times New Roman"/>
          <w:sz w:val="24"/>
          <w:szCs w:val="24"/>
        </w:rPr>
        <w:t xml:space="preserve"> a trespasser on the land.</w:t>
      </w:r>
    </w:p>
    <w:p w:rsidR="006E2A5F" w:rsidRDefault="006E2A5F"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C45715"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which was before the trial court was whether the </w:t>
      </w:r>
      <w:r w:rsidR="003C7B2A">
        <w:rPr>
          <w:rFonts w:ascii="Times New Roman" w:hAnsi="Times New Roman" w:cs="Times New Roman"/>
          <w:sz w:val="24"/>
          <w:szCs w:val="24"/>
        </w:rPr>
        <w:t>appellant</w:t>
      </w:r>
      <w:r>
        <w:rPr>
          <w:rFonts w:ascii="Times New Roman" w:hAnsi="Times New Roman" w:cs="Times New Roman"/>
          <w:sz w:val="24"/>
          <w:szCs w:val="24"/>
        </w:rPr>
        <w:t xml:space="preserve"> adduced before it</w:t>
      </w:r>
      <w:r w:rsidRPr="00E65380">
        <w:rPr>
          <w:rFonts w:ascii="Times New Roman" w:hAnsi="Times New Roman" w:cs="Times New Roman"/>
          <w:sz w:val="24"/>
          <w:szCs w:val="24"/>
        </w:rPr>
        <w:t xml:space="preserve"> evidence </w:t>
      </w:r>
      <w:r>
        <w:rPr>
          <w:rFonts w:ascii="Times New Roman" w:hAnsi="Times New Roman" w:cs="Times New Roman"/>
          <w:sz w:val="24"/>
          <w:szCs w:val="24"/>
        </w:rPr>
        <w:t xml:space="preserve">which </w:t>
      </w:r>
      <w:r w:rsidRPr="00E65380">
        <w:rPr>
          <w:rFonts w:ascii="Times New Roman" w:hAnsi="Times New Roman" w:cs="Times New Roman"/>
          <w:sz w:val="24"/>
          <w:szCs w:val="24"/>
        </w:rPr>
        <w:t>show</w:t>
      </w:r>
      <w:r>
        <w:rPr>
          <w:rFonts w:ascii="Times New Roman" w:hAnsi="Times New Roman" w:cs="Times New Roman"/>
          <w:sz w:val="24"/>
          <w:szCs w:val="24"/>
        </w:rPr>
        <w:t>ed</w:t>
      </w:r>
      <w:r w:rsidRPr="00E65380">
        <w:rPr>
          <w:rFonts w:ascii="Times New Roman" w:hAnsi="Times New Roman" w:cs="Times New Roman"/>
          <w:sz w:val="24"/>
          <w:szCs w:val="24"/>
        </w:rPr>
        <w:t xml:space="preserve"> a greater probability </w:t>
      </w:r>
      <w:r>
        <w:rPr>
          <w:rFonts w:ascii="Times New Roman" w:hAnsi="Times New Roman" w:cs="Times New Roman"/>
          <w:sz w:val="24"/>
          <w:szCs w:val="24"/>
        </w:rPr>
        <w:t xml:space="preserve">capable of </w:t>
      </w:r>
      <w:r w:rsidRPr="00E65380">
        <w:rPr>
          <w:rFonts w:ascii="Times New Roman" w:hAnsi="Times New Roman" w:cs="Times New Roman"/>
          <w:sz w:val="24"/>
          <w:szCs w:val="24"/>
        </w:rPr>
        <w:t>satisf</w:t>
      </w:r>
      <w:r>
        <w:rPr>
          <w:rFonts w:ascii="Times New Roman" w:hAnsi="Times New Roman" w:cs="Times New Roman"/>
          <w:sz w:val="24"/>
          <w:szCs w:val="24"/>
        </w:rPr>
        <w:t xml:space="preserve">ying </w:t>
      </w:r>
      <w:r w:rsidRPr="00E65380">
        <w:rPr>
          <w:rFonts w:ascii="Times New Roman" w:hAnsi="Times New Roman" w:cs="Times New Roman"/>
          <w:sz w:val="24"/>
          <w:szCs w:val="24"/>
        </w:rPr>
        <w:t xml:space="preserve">a reasonable man that </w:t>
      </w:r>
      <w:r w:rsidR="003C7B2A">
        <w:rPr>
          <w:rFonts w:ascii="Times New Roman" w:hAnsi="Times New Roman" w:cs="Times New Roman"/>
          <w:sz w:val="24"/>
          <w:szCs w:val="24"/>
        </w:rPr>
        <w:t>the</w:t>
      </w:r>
      <w:r>
        <w:rPr>
          <w:rFonts w:ascii="Times New Roman" w:hAnsi="Times New Roman" w:cs="Times New Roman"/>
          <w:sz w:val="24"/>
          <w:szCs w:val="24"/>
        </w:rPr>
        <w:t xml:space="preserve"> land </w:t>
      </w:r>
      <w:r w:rsidR="003C7B2A">
        <w:rPr>
          <w:rFonts w:ascii="Times New Roman" w:hAnsi="Times New Roman" w:cs="Times New Roman"/>
          <w:sz w:val="24"/>
          <w:szCs w:val="24"/>
        </w:rPr>
        <w:t xml:space="preserve">in dispute </w:t>
      </w:r>
      <w:r>
        <w:rPr>
          <w:rFonts w:ascii="Times New Roman" w:hAnsi="Times New Roman" w:cs="Times New Roman"/>
          <w:sz w:val="24"/>
          <w:szCs w:val="24"/>
        </w:rPr>
        <w:t xml:space="preserve">belonged to </w:t>
      </w:r>
      <w:r w:rsidR="003C7B2A">
        <w:rPr>
          <w:rFonts w:ascii="Times New Roman" w:hAnsi="Times New Roman" w:cs="Times New Roman"/>
          <w:sz w:val="24"/>
          <w:szCs w:val="24"/>
        </w:rPr>
        <w:t>him. The trial court came to the conclusion that he had failed to discharge that burden. Having subjected the evidence to a fresh and exhaustive scrutiny, I have come to a similar conclusion and c</w:t>
      </w:r>
      <w:r w:rsidR="006F30C4">
        <w:rPr>
          <w:rFonts w:ascii="Times New Roman" w:hAnsi="Times New Roman" w:cs="Times New Roman"/>
          <w:sz w:val="24"/>
          <w:szCs w:val="24"/>
        </w:rPr>
        <w:t xml:space="preserve">onsequently, grounds </w:t>
      </w:r>
      <w:r w:rsidR="003C7B2A">
        <w:rPr>
          <w:rFonts w:ascii="Times New Roman" w:hAnsi="Times New Roman" w:cs="Times New Roman"/>
          <w:sz w:val="24"/>
          <w:szCs w:val="24"/>
        </w:rPr>
        <w:t>1</w:t>
      </w:r>
      <w:r w:rsidR="006F30C4">
        <w:rPr>
          <w:rFonts w:ascii="Times New Roman" w:hAnsi="Times New Roman" w:cs="Times New Roman"/>
          <w:sz w:val="24"/>
          <w:szCs w:val="24"/>
        </w:rPr>
        <w:t xml:space="preserve">, </w:t>
      </w:r>
      <w:r w:rsidR="003C7B2A">
        <w:rPr>
          <w:rFonts w:ascii="Times New Roman" w:hAnsi="Times New Roman" w:cs="Times New Roman"/>
          <w:sz w:val="24"/>
          <w:szCs w:val="24"/>
        </w:rPr>
        <w:t>2</w:t>
      </w:r>
      <w:r w:rsidR="006F30C4">
        <w:rPr>
          <w:rFonts w:ascii="Times New Roman" w:hAnsi="Times New Roman" w:cs="Times New Roman"/>
          <w:sz w:val="24"/>
          <w:szCs w:val="24"/>
        </w:rPr>
        <w:t xml:space="preserve"> and </w:t>
      </w:r>
      <w:r w:rsidR="003C7B2A">
        <w:rPr>
          <w:rFonts w:ascii="Times New Roman" w:hAnsi="Times New Roman" w:cs="Times New Roman"/>
          <w:sz w:val="24"/>
          <w:szCs w:val="24"/>
        </w:rPr>
        <w:t>3</w:t>
      </w:r>
      <w:r w:rsidR="006F30C4">
        <w:rPr>
          <w:rFonts w:ascii="Times New Roman" w:hAnsi="Times New Roman" w:cs="Times New Roman"/>
          <w:sz w:val="24"/>
          <w:szCs w:val="24"/>
        </w:rPr>
        <w:t xml:space="preserve"> of the appeal fail.</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taking leave of the matter, </w:t>
      </w:r>
      <w:r w:rsidR="003A66A9">
        <w:rPr>
          <w:rFonts w:ascii="Times New Roman" w:hAnsi="Times New Roman" w:cs="Times New Roman"/>
          <w:sz w:val="24"/>
          <w:szCs w:val="24"/>
        </w:rPr>
        <w:t xml:space="preserve">having found that the appellant had no </w:t>
      </w:r>
      <w:r w:rsidR="003A66A9" w:rsidRPr="007126E4">
        <w:rPr>
          <w:rFonts w:ascii="Times New Roman" w:hAnsi="Times New Roman" w:cs="Times New Roman"/>
          <w:i/>
          <w:sz w:val="24"/>
          <w:szCs w:val="24"/>
        </w:rPr>
        <w:t>locus standi</w:t>
      </w:r>
      <w:r w:rsidR="003A66A9">
        <w:rPr>
          <w:rFonts w:ascii="Times New Roman" w:hAnsi="Times New Roman" w:cs="Times New Roman"/>
          <w:sz w:val="24"/>
          <w:szCs w:val="24"/>
        </w:rPr>
        <w:t xml:space="preserve"> in filing the suit</w:t>
      </w:r>
      <w:r w:rsidR="007F7E4A">
        <w:rPr>
          <w:rFonts w:ascii="Times New Roman" w:hAnsi="Times New Roman" w:cs="Times New Roman"/>
          <w:sz w:val="24"/>
          <w:szCs w:val="24"/>
        </w:rPr>
        <w:t xml:space="preserve"> and more especially since he had failed to prove his claim of customary ownership</w:t>
      </w:r>
      <w:r w:rsidR="007126E4">
        <w:rPr>
          <w:rFonts w:ascii="Times New Roman" w:hAnsi="Times New Roman" w:cs="Times New Roman"/>
          <w:sz w:val="24"/>
          <w:szCs w:val="24"/>
        </w:rPr>
        <w:t xml:space="preserve">, I do not find any basis for upholding the award of </w:t>
      </w:r>
      <w:r w:rsidR="001771AB">
        <w:rPr>
          <w:rFonts w:ascii="Times New Roman" w:hAnsi="Times New Roman" w:cs="Times New Roman"/>
          <w:sz w:val="24"/>
          <w:szCs w:val="24"/>
        </w:rPr>
        <w:t>shs. 5,000,000/= as damages. That award is</w:t>
      </w:r>
      <w:r>
        <w:rPr>
          <w:rFonts w:ascii="Times New Roman" w:hAnsi="Times New Roman" w:cs="Times New Roman"/>
          <w:sz w:val="24"/>
          <w:szCs w:val="24"/>
        </w:rPr>
        <w:t xml:space="preserve"> hereby set aside. In the final result, I find no merit in the appeal and it is accordingly dismissed wit</w:t>
      </w:r>
      <w:r w:rsidR="001771AB">
        <w:rPr>
          <w:rFonts w:ascii="Times New Roman" w:hAnsi="Times New Roman" w:cs="Times New Roman"/>
          <w:sz w:val="24"/>
          <w:szCs w:val="24"/>
        </w:rPr>
        <w:t>h costs to the respondent</w:t>
      </w:r>
      <w:r>
        <w:rPr>
          <w:rFonts w:ascii="Times New Roman" w:hAnsi="Times New Roman" w:cs="Times New Roman"/>
          <w:sz w:val="24"/>
          <w:szCs w:val="24"/>
        </w:rPr>
        <w:t xml:space="preserve"> of both the appeal and the trial</w:t>
      </w:r>
      <w:r w:rsidRPr="009A4040">
        <w:rPr>
          <w:rFonts w:ascii="Times New Roman" w:hAnsi="Times New Roman" w:cs="Times New Roman"/>
          <w:sz w:val="24"/>
          <w:szCs w:val="24"/>
        </w:rPr>
        <w:t>.</w:t>
      </w:r>
    </w:p>
    <w:p w:rsidR="006F30C4" w:rsidRDefault="006F30C4" w:rsidP="006F30C4">
      <w:pPr>
        <w:autoSpaceDE w:val="0"/>
        <w:autoSpaceDN w:val="0"/>
        <w:adjustRightInd w:val="0"/>
        <w:spacing w:after="0" w:line="360" w:lineRule="auto"/>
        <w:jc w:val="both"/>
        <w:rPr>
          <w:rFonts w:ascii="Times New Roman" w:hAnsi="Times New Roman" w:cs="Times New Roman"/>
          <w:sz w:val="24"/>
          <w:szCs w:val="24"/>
        </w:rPr>
      </w:pPr>
    </w:p>
    <w:p w:rsidR="006F30C4" w:rsidRPr="009A4040" w:rsidRDefault="006F30C4" w:rsidP="006F30C4">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Pr>
          <w:rFonts w:ascii="Times New Roman" w:hAnsi="Times New Roman" w:cs="Times New Roman"/>
          <w:sz w:val="24"/>
          <w:szCs w:val="24"/>
        </w:rPr>
        <w:t>23</w:t>
      </w:r>
      <w:r>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Pr>
          <w:rFonts w:ascii="Times New Roman" w:hAnsi="Times New Roman" w:cs="Times New Roman"/>
          <w:sz w:val="24"/>
          <w:szCs w:val="24"/>
        </w:rPr>
        <w:t>February</w:t>
      </w:r>
      <w:r w:rsidRPr="009A4040">
        <w:rPr>
          <w:rFonts w:ascii="Times New Roman" w:hAnsi="Times New Roman" w:cs="Times New Roman"/>
          <w:sz w:val="24"/>
          <w:szCs w:val="24"/>
        </w:rPr>
        <w:t xml:space="preserve"> 201</w:t>
      </w:r>
      <w:r>
        <w:rPr>
          <w:rFonts w:ascii="Times New Roman" w:hAnsi="Times New Roman" w:cs="Times New Roman"/>
          <w:sz w:val="24"/>
          <w:szCs w:val="24"/>
        </w:rPr>
        <w:t>7</w:t>
      </w:r>
      <w:r w:rsidRPr="009A4040">
        <w:rPr>
          <w:rFonts w:ascii="Times New Roman" w:hAnsi="Times New Roman" w:cs="Times New Roman"/>
          <w:sz w:val="24"/>
          <w:szCs w:val="24"/>
        </w:rPr>
        <w:t>.</w:t>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w:t>
      </w:r>
    </w:p>
    <w:p w:rsidR="006F30C4" w:rsidRPr="009A4040" w:rsidRDefault="006F30C4" w:rsidP="006F30C4">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6F30C4" w:rsidRPr="009A4040" w:rsidRDefault="006F30C4" w:rsidP="006F30C4">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Judge</w:t>
      </w:r>
    </w:p>
    <w:p w:rsidR="003035CF" w:rsidRPr="009A4040" w:rsidRDefault="003035CF" w:rsidP="006F30C4">
      <w:pPr>
        <w:autoSpaceDE w:val="0"/>
        <w:autoSpaceDN w:val="0"/>
        <w:adjustRightInd w:val="0"/>
        <w:spacing w:after="0" w:line="360" w:lineRule="auto"/>
        <w:jc w:val="both"/>
        <w:rPr>
          <w:rFonts w:ascii="Times New Roman" w:hAnsi="Times New Roman" w:cs="Times New Roman"/>
          <w:sz w:val="24"/>
          <w:szCs w:val="24"/>
        </w:rPr>
      </w:pP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D0" w:rsidRDefault="005E4AD0" w:rsidP="00975B47">
      <w:pPr>
        <w:spacing w:after="0" w:line="240" w:lineRule="auto"/>
      </w:pPr>
      <w:r>
        <w:separator/>
      </w:r>
    </w:p>
  </w:endnote>
  <w:endnote w:type="continuationSeparator" w:id="0">
    <w:p w:rsidR="005E4AD0" w:rsidRDefault="005E4AD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5" w:rsidRDefault="0059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96315" w:rsidRDefault="005E4AD0">
        <w:pPr>
          <w:pStyle w:val="Footer"/>
          <w:jc w:val="center"/>
        </w:pPr>
        <w:r>
          <w:fldChar w:fldCharType="begin"/>
        </w:r>
        <w:r>
          <w:instrText xml:space="preserve"> PAGE   \* MERGEFORMAT </w:instrText>
        </w:r>
        <w:r>
          <w:fldChar w:fldCharType="separate"/>
        </w:r>
        <w:r w:rsidR="00530171">
          <w:rPr>
            <w:noProof/>
          </w:rPr>
          <w:t>1</w:t>
        </w:r>
        <w:r>
          <w:rPr>
            <w:noProof/>
          </w:rPr>
          <w:fldChar w:fldCharType="end"/>
        </w:r>
      </w:p>
    </w:sdtContent>
  </w:sdt>
  <w:p w:rsidR="00596315" w:rsidRDefault="00596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5" w:rsidRDefault="0059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D0" w:rsidRDefault="005E4AD0" w:rsidP="00975B47">
      <w:pPr>
        <w:spacing w:after="0" w:line="240" w:lineRule="auto"/>
      </w:pPr>
      <w:r>
        <w:separator/>
      </w:r>
    </w:p>
  </w:footnote>
  <w:footnote w:type="continuationSeparator" w:id="0">
    <w:p w:rsidR="005E4AD0" w:rsidRDefault="005E4AD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5" w:rsidRDefault="0059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5" w:rsidRDefault="0059631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5" w:rsidRDefault="0059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1B0D"/>
    <w:rsid w:val="0003269C"/>
    <w:rsid w:val="00032B7F"/>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185B"/>
    <w:rsid w:val="00082D7D"/>
    <w:rsid w:val="00084B2E"/>
    <w:rsid w:val="00087D63"/>
    <w:rsid w:val="000937BF"/>
    <w:rsid w:val="00095B29"/>
    <w:rsid w:val="000968E1"/>
    <w:rsid w:val="00097ACE"/>
    <w:rsid w:val="000A1234"/>
    <w:rsid w:val="000A12F9"/>
    <w:rsid w:val="000A21BE"/>
    <w:rsid w:val="000A2FC5"/>
    <w:rsid w:val="000A32E3"/>
    <w:rsid w:val="000A3648"/>
    <w:rsid w:val="000A377E"/>
    <w:rsid w:val="000A4498"/>
    <w:rsid w:val="000A4D3E"/>
    <w:rsid w:val="000B0AC4"/>
    <w:rsid w:val="000B3074"/>
    <w:rsid w:val="000B414B"/>
    <w:rsid w:val="000C13C5"/>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0338"/>
    <w:rsid w:val="00164045"/>
    <w:rsid w:val="001654F1"/>
    <w:rsid w:val="001753A8"/>
    <w:rsid w:val="00175AC9"/>
    <w:rsid w:val="001771AB"/>
    <w:rsid w:val="001829C8"/>
    <w:rsid w:val="001832E2"/>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48D"/>
    <w:rsid w:val="00221D6A"/>
    <w:rsid w:val="002228A3"/>
    <w:rsid w:val="00223AEC"/>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C740A"/>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13E79"/>
    <w:rsid w:val="0031463C"/>
    <w:rsid w:val="00322623"/>
    <w:rsid w:val="00327A5C"/>
    <w:rsid w:val="00332516"/>
    <w:rsid w:val="00335439"/>
    <w:rsid w:val="00344A47"/>
    <w:rsid w:val="00346CC5"/>
    <w:rsid w:val="0035395C"/>
    <w:rsid w:val="00354280"/>
    <w:rsid w:val="00355844"/>
    <w:rsid w:val="00355ADE"/>
    <w:rsid w:val="00357CAE"/>
    <w:rsid w:val="0036092F"/>
    <w:rsid w:val="0036104B"/>
    <w:rsid w:val="00361A81"/>
    <w:rsid w:val="00361E7A"/>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6A9"/>
    <w:rsid w:val="003A6876"/>
    <w:rsid w:val="003B177A"/>
    <w:rsid w:val="003B2596"/>
    <w:rsid w:val="003B61F6"/>
    <w:rsid w:val="003C2004"/>
    <w:rsid w:val="003C2456"/>
    <w:rsid w:val="003C2A8B"/>
    <w:rsid w:val="003C2B00"/>
    <w:rsid w:val="003C32A3"/>
    <w:rsid w:val="003C6E8F"/>
    <w:rsid w:val="003C7B2A"/>
    <w:rsid w:val="003D0432"/>
    <w:rsid w:val="003D15CA"/>
    <w:rsid w:val="003D1F34"/>
    <w:rsid w:val="003D39DB"/>
    <w:rsid w:val="003D76AA"/>
    <w:rsid w:val="003E0D31"/>
    <w:rsid w:val="003E16A1"/>
    <w:rsid w:val="003E2256"/>
    <w:rsid w:val="003E29CC"/>
    <w:rsid w:val="003E2DB5"/>
    <w:rsid w:val="003E5681"/>
    <w:rsid w:val="003E6EBA"/>
    <w:rsid w:val="003F4309"/>
    <w:rsid w:val="003F4C09"/>
    <w:rsid w:val="003F6625"/>
    <w:rsid w:val="00401C50"/>
    <w:rsid w:val="004056CE"/>
    <w:rsid w:val="004063C1"/>
    <w:rsid w:val="0041013E"/>
    <w:rsid w:val="00412AD4"/>
    <w:rsid w:val="00412C7B"/>
    <w:rsid w:val="00413793"/>
    <w:rsid w:val="00417CE3"/>
    <w:rsid w:val="0042328A"/>
    <w:rsid w:val="00423BAB"/>
    <w:rsid w:val="00427718"/>
    <w:rsid w:val="004302FE"/>
    <w:rsid w:val="00431441"/>
    <w:rsid w:val="00435ADD"/>
    <w:rsid w:val="004360F9"/>
    <w:rsid w:val="0043778E"/>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498B"/>
    <w:rsid w:val="004C5709"/>
    <w:rsid w:val="004D0075"/>
    <w:rsid w:val="004D102C"/>
    <w:rsid w:val="004D1A16"/>
    <w:rsid w:val="004D2E62"/>
    <w:rsid w:val="004D2F76"/>
    <w:rsid w:val="004D71B2"/>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2F2"/>
    <w:rsid w:val="00514716"/>
    <w:rsid w:val="005155CC"/>
    <w:rsid w:val="00515AB5"/>
    <w:rsid w:val="00517FEE"/>
    <w:rsid w:val="0052200F"/>
    <w:rsid w:val="0052329E"/>
    <w:rsid w:val="005264C9"/>
    <w:rsid w:val="00530171"/>
    <w:rsid w:val="00531CE9"/>
    <w:rsid w:val="00543961"/>
    <w:rsid w:val="00543A1E"/>
    <w:rsid w:val="00544CF3"/>
    <w:rsid w:val="005460FE"/>
    <w:rsid w:val="00546E2E"/>
    <w:rsid w:val="0055062E"/>
    <w:rsid w:val="00550C39"/>
    <w:rsid w:val="00550D51"/>
    <w:rsid w:val="005524EF"/>
    <w:rsid w:val="005544D3"/>
    <w:rsid w:val="005608BB"/>
    <w:rsid w:val="0056383D"/>
    <w:rsid w:val="005674ED"/>
    <w:rsid w:val="0057018C"/>
    <w:rsid w:val="0057024F"/>
    <w:rsid w:val="00570E6B"/>
    <w:rsid w:val="0057144F"/>
    <w:rsid w:val="0057250C"/>
    <w:rsid w:val="00572A06"/>
    <w:rsid w:val="00577139"/>
    <w:rsid w:val="0058284D"/>
    <w:rsid w:val="00582BF9"/>
    <w:rsid w:val="00585E7E"/>
    <w:rsid w:val="00585FB2"/>
    <w:rsid w:val="00587639"/>
    <w:rsid w:val="00587F6A"/>
    <w:rsid w:val="00596315"/>
    <w:rsid w:val="0059645A"/>
    <w:rsid w:val="00596B7B"/>
    <w:rsid w:val="005A13A3"/>
    <w:rsid w:val="005A23B6"/>
    <w:rsid w:val="005A2A32"/>
    <w:rsid w:val="005A2C27"/>
    <w:rsid w:val="005A4833"/>
    <w:rsid w:val="005B2835"/>
    <w:rsid w:val="005B4791"/>
    <w:rsid w:val="005B6725"/>
    <w:rsid w:val="005C22DD"/>
    <w:rsid w:val="005C2E9D"/>
    <w:rsid w:val="005C543F"/>
    <w:rsid w:val="005C7306"/>
    <w:rsid w:val="005C7D39"/>
    <w:rsid w:val="005D02EE"/>
    <w:rsid w:val="005D3B7A"/>
    <w:rsid w:val="005D4F94"/>
    <w:rsid w:val="005D6B7E"/>
    <w:rsid w:val="005E4AD0"/>
    <w:rsid w:val="005E4F74"/>
    <w:rsid w:val="005F0929"/>
    <w:rsid w:val="005F1690"/>
    <w:rsid w:val="005F1780"/>
    <w:rsid w:val="005F18C4"/>
    <w:rsid w:val="005F267F"/>
    <w:rsid w:val="005F2D4C"/>
    <w:rsid w:val="005F3BC2"/>
    <w:rsid w:val="005F3D66"/>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3AB2"/>
    <w:rsid w:val="00666E7F"/>
    <w:rsid w:val="00667E54"/>
    <w:rsid w:val="00671591"/>
    <w:rsid w:val="00672E80"/>
    <w:rsid w:val="00672FC0"/>
    <w:rsid w:val="00673768"/>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2A5F"/>
    <w:rsid w:val="006E3877"/>
    <w:rsid w:val="006E3C43"/>
    <w:rsid w:val="006E68A7"/>
    <w:rsid w:val="006F2C62"/>
    <w:rsid w:val="006F30C4"/>
    <w:rsid w:val="006F4CF2"/>
    <w:rsid w:val="006F776E"/>
    <w:rsid w:val="00701ABE"/>
    <w:rsid w:val="0070260F"/>
    <w:rsid w:val="00702D9B"/>
    <w:rsid w:val="00703CA3"/>
    <w:rsid w:val="00706D3B"/>
    <w:rsid w:val="007126E4"/>
    <w:rsid w:val="007142E4"/>
    <w:rsid w:val="007157A4"/>
    <w:rsid w:val="00715D59"/>
    <w:rsid w:val="0071667F"/>
    <w:rsid w:val="00717EC8"/>
    <w:rsid w:val="007214FD"/>
    <w:rsid w:val="00722A6B"/>
    <w:rsid w:val="007242FF"/>
    <w:rsid w:val="00730968"/>
    <w:rsid w:val="00734CDF"/>
    <w:rsid w:val="007403FA"/>
    <w:rsid w:val="00744609"/>
    <w:rsid w:val="007500E0"/>
    <w:rsid w:val="0075083D"/>
    <w:rsid w:val="00750FA5"/>
    <w:rsid w:val="00752B2A"/>
    <w:rsid w:val="00753073"/>
    <w:rsid w:val="00754DFA"/>
    <w:rsid w:val="00756E9D"/>
    <w:rsid w:val="007654F4"/>
    <w:rsid w:val="00772564"/>
    <w:rsid w:val="00774854"/>
    <w:rsid w:val="007755AA"/>
    <w:rsid w:val="00776AFB"/>
    <w:rsid w:val="007870FE"/>
    <w:rsid w:val="00792DBB"/>
    <w:rsid w:val="0079769C"/>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1D6"/>
    <w:rsid w:val="007D2939"/>
    <w:rsid w:val="007D2B48"/>
    <w:rsid w:val="007D3ED4"/>
    <w:rsid w:val="007E0923"/>
    <w:rsid w:val="007E0D62"/>
    <w:rsid w:val="007E2335"/>
    <w:rsid w:val="007E3828"/>
    <w:rsid w:val="007E4138"/>
    <w:rsid w:val="007F0200"/>
    <w:rsid w:val="007F6400"/>
    <w:rsid w:val="007F760C"/>
    <w:rsid w:val="007F7E4A"/>
    <w:rsid w:val="007F7E62"/>
    <w:rsid w:val="00800231"/>
    <w:rsid w:val="00800CB0"/>
    <w:rsid w:val="00801603"/>
    <w:rsid w:val="0080567D"/>
    <w:rsid w:val="00806012"/>
    <w:rsid w:val="00812462"/>
    <w:rsid w:val="00813E70"/>
    <w:rsid w:val="00814FB2"/>
    <w:rsid w:val="00816CA0"/>
    <w:rsid w:val="008255D4"/>
    <w:rsid w:val="0082768F"/>
    <w:rsid w:val="00831A63"/>
    <w:rsid w:val="0083563A"/>
    <w:rsid w:val="00836D04"/>
    <w:rsid w:val="00836E9E"/>
    <w:rsid w:val="00840698"/>
    <w:rsid w:val="00844DB8"/>
    <w:rsid w:val="008507EF"/>
    <w:rsid w:val="008515A2"/>
    <w:rsid w:val="00852A76"/>
    <w:rsid w:val="00852BB7"/>
    <w:rsid w:val="00853C46"/>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81B89"/>
    <w:rsid w:val="008834BB"/>
    <w:rsid w:val="00884824"/>
    <w:rsid w:val="00885EC2"/>
    <w:rsid w:val="00886052"/>
    <w:rsid w:val="008915D1"/>
    <w:rsid w:val="00896D86"/>
    <w:rsid w:val="008A0347"/>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2363"/>
    <w:rsid w:val="008F38BE"/>
    <w:rsid w:val="008F43B6"/>
    <w:rsid w:val="008F44F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6E9F"/>
    <w:rsid w:val="00927AEB"/>
    <w:rsid w:val="00927F7F"/>
    <w:rsid w:val="00932DBC"/>
    <w:rsid w:val="00935A53"/>
    <w:rsid w:val="00941360"/>
    <w:rsid w:val="00946B02"/>
    <w:rsid w:val="00946B49"/>
    <w:rsid w:val="00947223"/>
    <w:rsid w:val="00947328"/>
    <w:rsid w:val="00952D8C"/>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3638"/>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52AE"/>
    <w:rsid w:val="00A03CFF"/>
    <w:rsid w:val="00A03E94"/>
    <w:rsid w:val="00A0404F"/>
    <w:rsid w:val="00A049F2"/>
    <w:rsid w:val="00A10904"/>
    <w:rsid w:val="00A10A9A"/>
    <w:rsid w:val="00A10AFE"/>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1D57"/>
    <w:rsid w:val="00A334BE"/>
    <w:rsid w:val="00A354B3"/>
    <w:rsid w:val="00A36811"/>
    <w:rsid w:val="00A41646"/>
    <w:rsid w:val="00A43D35"/>
    <w:rsid w:val="00A5315F"/>
    <w:rsid w:val="00A548CA"/>
    <w:rsid w:val="00A56848"/>
    <w:rsid w:val="00A659A0"/>
    <w:rsid w:val="00A65BA5"/>
    <w:rsid w:val="00A66F88"/>
    <w:rsid w:val="00A7097F"/>
    <w:rsid w:val="00A718E7"/>
    <w:rsid w:val="00A72A3A"/>
    <w:rsid w:val="00A76359"/>
    <w:rsid w:val="00A766AC"/>
    <w:rsid w:val="00A77247"/>
    <w:rsid w:val="00A779ED"/>
    <w:rsid w:val="00A80D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32"/>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3E9"/>
    <w:rsid w:val="00B10FC1"/>
    <w:rsid w:val="00B133AF"/>
    <w:rsid w:val="00B13D62"/>
    <w:rsid w:val="00B1693E"/>
    <w:rsid w:val="00B17AFD"/>
    <w:rsid w:val="00B308EF"/>
    <w:rsid w:val="00B33524"/>
    <w:rsid w:val="00B35078"/>
    <w:rsid w:val="00B42274"/>
    <w:rsid w:val="00B42364"/>
    <w:rsid w:val="00B42990"/>
    <w:rsid w:val="00B45486"/>
    <w:rsid w:val="00B458B2"/>
    <w:rsid w:val="00B45E61"/>
    <w:rsid w:val="00B552B9"/>
    <w:rsid w:val="00B56A2C"/>
    <w:rsid w:val="00B57DEE"/>
    <w:rsid w:val="00B618D0"/>
    <w:rsid w:val="00B665BF"/>
    <w:rsid w:val="00B668A9"/>
    <w:rsid w:val="00B67A04"/>
    <w:rsid w:val="00B739D5"/>
    <w:rsid w:val="00B757F8"/>
    <w:rsid w:val="00B76014"/>
    <w:rsid w:val="00B7669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CA7"/>
    <w:rsid w:val="00C45715"/>
    <w:rsid w:val="00C47D7F"/>
    <w:rsid w:val="00C50B38"/>
    <w:rsid w:val="00C526F7"/>
    <w:rsid w:val="00C533B1"/>
    <w:rsid w:val="00C53984"/>
    <w:rsid w:val="00C53DD4"/>
    <w:rsid w:val="00C542BF"/>
    <w:rsid w:val="00C56817"/>
    <w:rsid w:val="00C56B25"/>
    <w:rsid w:val="00C60501"/>
    <w:rsid w:val="00C676D8"/>
    <w:rsid w:val="00C70098"/>
    <w:rsid w:val="00C71C3C"/>
    <w:rsid w:val="00C724DE"/>
    <w:rsid w:val="00C726C3"/>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6ECB"/>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B6"/>
    <w:rsid w:val="00D855E6"/>
    <w:rsid w:val="00D86886"/>
    <w:rsid w:val="00D902E4"/>
    <w:rsid w:val="00D92115"/>
    <w:rsid w:val="00D97AE7"/>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2128"/>
    <w:rsid w:val="00E65380"/>
    <w:rsid w:val="00E67AAD"/>
    <w:rsid w:val="00E73A0E"/>
    <w:rsid w:val="00E74539"/>
    <w:rsid w:val="00E74658"/>
    <w:rsid w:val="00E751E3"/>
    <w:rsid w:val="00E814FC"/>
    <w:rsid w:val="00E8321C"/>
    <w:rsid w:val="00E92AE6"/>
    <w:rsid w:val="00E93676"/>
    <w:rsid w:val="00E946A0"/>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3B14"/>
    <w:rsid w:val="00ED53C1"/>
    <w:rsid w:val="00ED663D"/>
    <w:rsid w:val="00ED69D0"/>
    <w:rsid w:val="00ED7F2C"/>
    <w:rsid w:val="00EE4870"/>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4A9"/>
    <w:rsid w:val="00F35FB3"/>
    <w:rsid w:val="00F37175"/>
    <w:rsid w:val="00F37388"/>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31D1"/>
    <w:rsid w:val="00F952B6"/>
    <w:rsid w:val="00F97A95"/>
    <w:rsid w:val="00F97D45"/>
    <w:rsid w:val="00FA0F2F"/>
    <w:rsid w:val="00FA0FE0"/>
    <w:rsid w:val="00FA1685"/>
    <w:rsid w:val="00FA2607"/>
    <w:rsid w:val="00FA4ED8"/>
    <w:rsid w:val="00FA72D4"/>
    <w:rsid w:val="00FB1945"/>
    <w:rsid w:val="00FB2F33"/>
    <w:rsid w:val="00FB71B0"/>
    <w:rsid w:val="00FB7D4A"/>
    <w:rsid w:val="00FC24D8"/>
    <w:rsid w:val="00FC2B3F"/>
    <w:rsid w:val="00FD2AEB"/>
    <w:rsid w:val="00FD3EC3"/>
    <w:rsid w:val="00FD4368"/>
    <w:rsid w:val="00FD6EBB"/>
    <w:rsid w:val="00FD7F05"/>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2163-6304-41BE-8E22-500235B1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6437</Words>
  <Characters>36693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2017-02-24T07:28:00Z</dcterms:created>
  <dcterms:modified xsi:type="dcterms:W3CDTF">2017-02-24T07:28:00Z</dcterms:modified>
</cp:coreProperties>
</file>