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>THE REPUBLIC OF UGANDA</w:t>
      </w:r>
    </w:p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>IN THE HIGH COURT OF UGANDA AT KAMPALA</w:t>
      </w:r>
    </w:p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LAND DIVISION </w:t>
      </w:r>
    </w:p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>MISCELLANEOUS APPLICATION NO. 1405 OF 2016</w:t>
      </w:r>
    </w:p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>(ARISING OF MA NO. 477 OF 2015)</w:t>
      </w:r>
    </w:p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(ITSELF ARISING FROM CS NO. 255 OF 2015) </w:t>
      </w:r>
    </w:p>
    <w:p w:rsidR="004E33D3" w:rsidRPr="004E33D3" w:rsidRDefault="004E33D3" w:rsidP="004E33D3">
      <w:pPr>
        <w:pStyle w:val="NoSpacing"/>
        <w:spacing w:line="360" w:lineRule="auto"/>
        <w:jc w:val="center"/>
        <w:rPr>
          <w:rFonts w:cstheme="minorHAnsi"/>
          <w:b/>
          <w:sz w:val="32"/>
          <w:szCs w:val="32"/>
        </w:rPr>
      </w:pPr>
    </w:p>
    <w:p w:rsidR="004E33D3" w:rsidRPr="004E33D3" w:rsidRDefault="00A844A5" w:rsidP="004E33D3">
      <w:pPr>
        <w:pStyle w:val="NoSpacing"/>
        <w:rPr>
          <w:rFonts w:cstheme="minorHAnsi"/>
          <w:b/>
          <w:sz w:val="32"/>
          <w:szCs w:val="32"/>
        </w:rPr>
      </w:pPr>
      <w:r w:rsidRPr="00A844A5">
        <w:rPr>
          <w:rFonts w:cstheme="minorHAnsi"/>
          <w:b/>
          <w:noProof/>
          <w:sz w:val="32"/>
          <w:szCs w:val="32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2.7pt;margin-top:-.35pt;width:21.8pt;height:76.5pt;z-index:251657216"/>
        </w:pict>
      </w:r>
      <w:r w:rsidR="004E33D3" w:rsidRPr="004E33D3">
        <w:rPr>
          <w:rFonts w:cstheme="minorHAnsi"/>
          <w:b/>
          <w:sz w:val="32"/>
          <w:szCs w:val="32"/>
        </w:rPr>
        <w:t xml:space="preserve">FREDRICK KABUGO SSEBUGULU </w:t>
      </w:r>
    </w:p>
    <w:p w:rsidR="004E33D3" w:rsidRPr="004E33D3" w:rsidRDefault="004E33D3" w:rsidP="004E33D3">
      <w:pPr>
        <w:pStyle w:val="NoSpacing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SUING AS ADMINISTRATOR OF       </w:t>
      </w:r>
      <w:r>
        <w:rPr>
          <w:rFonts w:cstheme="minorHAnsi"/>
          <w:b/>
          <w:sz w:val="32"/>
          <w:szCs w:val="32"/>
        </w:rPr>
        <w:t xml:space="preserve">          </w:t>
      </w:r>
      <w:r w:rsidRPr="004E33D3">
        <w:rPr>
          <w:rFonts w:cstheme="minorHAnsi"/>
          <w:b/>
          <w:sz w:val="32"/>
          <w:szCs w:val="32"/>
        </w:rPr>
        <w:t>.......................  APPLICANT</w:t>
      </w:r>
    </w:p>
    <w:p w:rsidR="004E33D3" w:rsidRPr="004E33D3" w:rsidRDefault="004E33D3" w:rsidP="004E33D3">
      <w:pPr>
        <w:pStyle w:val="NoSpacing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THE ESTATE OF THE LATE </w:t>
      </w:r>
    </w:p>
    <w:p w:rsidR="004E33D3" w:rsidRPr="004E33D3" w:rsidRDefault="004E33D3" w:rsidP="004E33D3">
      <w:pPr>
        <w:pStyle w:val="NoSpacing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SSEBUGULU FREDRICK    </w:t>
      </w:r>
    </w:p>
    <w:p w:rsidR="004E33D3" w:rsidRPr="004E33D3" w:rsidRDefault="004E33D3" w:rsidP="004E33D3">
      <w:pPr>
        <w:pStyle w:val="NoSpacing"/>
        <w:rPr>
          <w:rFonts w:cstheme="minorHAnsi"/>
          <w:b/>
          <w:sz w:val="32"/>
          <w:szCs w:val="32"/>
        </w:rPr>
      </w:pPr>
    </w:p>
    <w:p w:rsidR="004E33D3" w:rsidRPr="004E33D3" w:rsidRDefault="004E33D3" w:rsidP="004E33D3">
      <w:pPr>
        <w:tabs>
          <w:tab w:val="left" w:pos="3927"/>
        </w:tabs>
        <w:spacing w:line="240" w:lineRule="auto"/>
        <w:jc w:val="center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>VERSUS</w:t>
      </w:r>
    </w:p>
    <w:p w:rsidR="004E33D3" w:rsidRPr="004E33D3" w:rsidRDefault="00A844A5" w:rsidP="004E33D3">
      <w:pPr>
        <w:pStyle w:val="NoSpacing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A844A5">
        <w:rPr>
          <w:rFonts w:cstheme="minorHAnsi"/>
          <w:b/>
          <w:noProof/>
          <w:sz w:val="32"/>
          <w:szCs w:val="32"/>
          <w:lang w:eastAsia="en-GB"/>
        </w:rPr>
        <w:pict>
          <v:shape id="_x0000_s1027" type="#_x0000_t88" style="position:absolute;left:0;text-align:left;margin-left:248.95pt;margin-top:2.8pt;width:28.55pt;height:109.7pt;z-index:251658240"/>
        </w:pict>
      </w:r>
      <w:r w:rsidR="004E33D3" w:rsidRPr="004E33D3">
        <w:rPr>
          <w:rFonts w:cstheme="minorHAnsi"/>
          <w:b/>
          <w:sz w:val="32"/>
          <w:szCs w:val="32"/>
        </w:rPr>
        <w:t>KATENDE RONALD</w:t>
      </w:r>
    </w:p>
    <w:p w:rsidR="004E33D3" w:rsidRPr="004E33D3" w:rsidRDefault="004E33D3" w:rsidP="004E33D3">
      <w:pPr>
        <w:pStyle w:val="NoSpacing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NAMIREMBE SHAFINAH MARIAM </w:t>
      </w:r>
    </w:p>
    <w:p w:rsidR="004E33D3" w:rsidRPr="004E33D3" w:rsidRDefault="004E33D3" w:rsidP="004E33D3">
      <w:pPr>
        <w:pStyle w:val="NoSpacing"/>
        <w:ind w:left="360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THROUGH HER ATTORNEY                    </w:t>
      </w:r>
      <w:r>
        <w:rPr>
          <w:rFonts w:cstheme="minorHAnsi"/>
          <w:b/>
          <w:sz w:val="32"/>
          <w:szCs w:val="32"/>
        </w:rPr>
        <w:t xml:space="preserve">        </w:t>
      </w:r>
      <w:r w:rsidRPr="004E33D3">
        <w:rPr>
          <w:rFonts w:cstheme="minorHAnsi"/>
          <w:b/>
          <w:sz w:val="32"/>
          <w:szCs w:val="32"/>
        </w:rPr>
        <w:t>....</w:t>
      </w:r>
      <w:r>
        <w:rPr>
          <w:rFonts w:cstheme="minorHAnsi"/>
          <w:b/>
          <w:sz w:val="32"/>
          <w:szCs w:val="32"/>
        </w:rPr>
        <w:t>........</w:t>
      </w:r>
      <w:r w:rsidRPr="004E33D3">
        <w:rPr>
          <w:rFonts w:cstheme="minorHAnsi"/>
          <w:b/>
          <w:sz w:val="32"/>
          <w:szCs w:val="32"/>
        </w:rPr>
        <w:t xml:space="preserve">RESPONDENTS  </w:t>
      </w:r>
    </w:p>
    <w:p w:rsidR="004E33D3" w:rsidRPr="004E33D3" w:rsidRDefault="004E33D3" w:rsidP="004E33D3">
      <w:pPr>
        <w:pStyle w:val="NoSpacing"/>
        <w:ind w:left="360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KATUMBA SARAH </w:t>
      </w:r>
    </w:p>
    <w:p w:rsidR="004E33D3" w:rsidRPr="004E33D3" w:rsidRDefault="004E33D3" w:rsidP="004E33D3">
      <w:pPr>
        <w:pStyle w:val="NoSpacing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 LUKWEBE RONALD TRADING AS </w:t>
      </w:r>
    </w:p>
    <w:p w:rsidR="004E33D3" w:rsidRPr="004E33D3" w:rsidRDefault="004E33D3" w:rsidP="004E33D3">
      <w:pPr>
        <w:pStyle w:val="NoSpacing"/>
        <w:ind w:left="360"/>
        <w:rPr>
          <w:rFonts w:cstheme="minorHAnsi"/>
          <w:b/>
          <w:sz w:val="32"/>
          <w:szCs w:val="32"/>
        </w:rPr>
      </w:pPr>
      <w:r w:rsidRPr="004E33D3">
        <w:rPr>
          <w:rFonts w:cstheme="minorHAnsi"/>
          <w:b/>
          <w:sz w:val="32"/>
          <w:szCs w:val="32"/>
        </w:rPr>
        <w:t xml:space="preserve">MPIIMA ASSOCIATES     </w:t>
      </w:r>
    </w:p>
    <w:p w:rsidR="004E33D3" w:rsidRPr="004E33D3" w:rsidRDefault="004E33D3" w:rsidP="004E33D3">
      <w:pPr>
        <w:pStyle w:val="NoSpacing"/>
        <w:rPr>
          <w:rFonts w:cstheme="minorHAnsi"/>
          <w:b/>
          <w:sz w:val="32"/>
          <w:szCs w:val="32"/>
        </w:rPr>
      </w:pPr>
    </w:p>
    <w:p w:rsidR="004E33D3" w:rsidRDefault="004E33D3" w:rsidP="004E33D3">
      <w:pPr>
        <w:tabs>
          <w:tab w:val="left" w:pos="3927"/>
        </w:tabs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BEFORE: HON. MR. JUSTICE GODFREY NAMUNDI</w:t>
      </w:r>
    </w:p>
    <w:p w:rsidR="004E33D3" w:rsidRDefault="004E33D3" w:rsidP="004E33D3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RULING</w:t>
      </w:r>
    </w:p>
    <w:p w:rsidR="007249F8" w:rsidRDefault="004E33D3" w:rsidP="004E33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application was brought under the provisions of </w:t>
      </w:r>
      <w:r w:rsidRPr="000A600F">
        <w:rPr>
          <w:b/>
          <w:sz w:val="32"/>
          <w:szCs w:val="32"/>
        </w:rPr>
        <w:t>Section 98 C</w:t>
      </w:r>
      <w:r w:rsidR="000A600F">
        <w:rPr>
          <w:b/>
          <w:sz w:val="32"/>
          <w:szCs w:val="32"/>
        </w:rPr>
        <w:t xml:space="preserve">ivil </w:t>
      </w:r>
      <w:r w:rsidRPr="000A600F">
        <w:rPr>
          <w:b/>
          <w:sz w:val="32"/>
          <w:szCs w:val="32"/>
        </w:rPr>
        <w:t>P</w:t>
      </w:r>
      <w:r w:rsidR="000A600F">
        <w:rPr>
          <w:b/>
          <w:sz w:val="32"/>
          <w:szCs w:val="32"/>
        </w:rPr>
        <w:t xml:space="preserve">rocedure </w:t>
      </w:r>
      <w:r w:rsidRPr="000A600F">
        <w:rPr>
          <w:b/>
          <w:sz w:val="32"/>
          <w:szCs w:val="32"/>
        </w:rPr>
        <w:t>A</w:t>
      </w:r>
      <w:r w:rsidR="000A600F">
        <w:rPr>
          <w:b/>
          <w:sz w:val="32"/>
          <w:szCs w:val="32"/>
        </w:rPr>
        <w:t>ct</w:t>
      </w:r>
      <w:r w:rsidR="007249F8">
        <w:rPr>
          <w:sz w:val="32"/>
          <w:szCs w:val="32"/>
        </w:rPr>
        <w:t xml:space="preserve">, </w:t>
      </w:r>
      <w:r w:rsidR="007249F8" w:rsidRPr="000A600F">
        <w:rPr>
          <w:b/>
          <w:sz w:val="32"/>
          <w:szCs w:val="32"/>
        </w:rPr>
        <w:t>Section 33</w:t>
      </w:r>
      <w:r w:rsidR="007249F8">
        <w:rPr>
          <w:sz w:val="32"/>
          <w:szCs w:val="32"/>
        </w:rPr>
        <w:t xml:space="preserve"> of the </w:t>
      </w:r>
      <w:r w:rsidR="007249F8" w:rsidRPr="000A600F">
        <w:rPr>
          <w:b/>
          <w:sz w:val="32"/>
          <w:szCs w:val="32"/>
        </w:rPr>
        <w:t>Judicature Act</w:t>
      </w:r>
      <w:r w:rsidR="007249F8">
        <w:rPr>
          <w:sz w:val="32"/>
          <w:szCs w:val="32"/>
        </w:rPr>
        <w:t xml:space="preserve"> and </w:t>
      </w:r>
      <w:r w:rsidR="007249F8" w:rsidRPr="000A600F">
        <w:rPr>
          <w:b/>
          <w:sz w:val="32"/>
          <w:szCs w:val="32"/>
        </w:rPr>
        <w:t>Order 52 Rules</w:t>
      </w:r>
      <w:r w:rsidR="007249F8">
        <w:rPr>
          <w:sz w:val="32"/>
          <w:szCs w:val="32"/>
        </w:rPr>
        <w:t xml:space="preserve"> </w:t>
      </w:r>
      <w:r w:rsidR="007249F8" w:rsidRPr="000A600F">
        <w:rPr>
          <w:b/>
          <w:sz w:val="32"/>
          <w:szCs w:val="32"/>
        </w:rPr>
        <w:t xml:space="preserve">1, 2 </w:t>
      </w:r>
      <w:r w:rsidR="007249F8">
        <w:rPr>
          <w:sz w:val="32"/>
          <w:szCs w:val="32"/>
        </w:rPr>
        <w:t xml:space="preserve">and </w:t>
      </w:r>
      <w:r w:rsidR="007249F8" w:rsidRPr="000A600F">
        <w:rPr>
          <w:b/>
          <w:sz w:val="32"/>
          <w:szCs w:val="32"/>
        </w:rPr>
        <w:t>3</w:t>
      </w:r>
      <w:r w:rsidR="007249F8">
        <w:rPr>
          <w:sz w:val="32"/>
          <w:szCs w:val="32"/>
        </w:rPr>
        <w:t xml:space="preserve"> of the </w:t>
      </w:r>
      <w:r w:rsidR="007249F8" w:rsidRPr="000A600F">
        <w:rPr>
          <w:b/>
          <w:sz w:val="32"/>
          <w:szCs w:val="32"/>
        </w:rPr>
        <w:t>C</w:t>
      </w:r>
      <w:r w:rsidR="000A600F">
        <w:rPr>
          <w:b/>
          <w:sz w:val="32"/>
          <w:szCs w:val="32"/>
        </w:rPr>
        <w:t xml:space="preserve">ivil </w:t>
      </w:r>
      <w:r w:rsidR="007249F8" w:rsidRPr="000A600F">
        <w:rPr>
          <w:b/>
          <w:sz w:val="32"/>
          <w:szCs w:val="32"/>
        </w:rPr>
        <w:t>P</w:t>
      </w:r>
      <w:r w:rsidR="000A600F">
        <w:rPr>
          <w:b/>
          <w:sz w:val="32"/>
          <w:szCs w:val="32"/>
        </w:rPr>
        <w:t xml:space="preserve">rocedure </w:t>
      </w:r>
      <w:r w:rsidR="007249F8" w:rsidRPr="000A600F">
        <w:rPr>
          <w:b/>
          <w:sz w:val="32"/>
          <w:szCs w:val="32"/>
        </w:rPr>
        <w:t>A</w:t>
      </w:r>
      <w:r w:rsidR="000A600F">
        <w:rPr>
          <w:b/>
          <w:sz w:val="32"/>
          <w:szCs w:val="32"/>
        </w:rPr>
        <w:t>ct</w:t>
      </w:r>
      <w:r w:rsidR="007249F8" w:rsidRPr="000A600F">
        <w:rPr>
          <w:b/>
          <w:sz w:val="32"/>
          <w:szCs w:val="32"/>
        </w:rPr>
        <w:t>.</w:t>
      </w:r>
    </w:p>
    <w:p w:rsidR="007249F8" w:rsidRDefault="007249F8" w:rsidP="004E33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 seeks: </w:t>
      </w:r>
    </w:p>
    <w:p w:rsidR="001B6EA8" w:rsidRDefault="007249F8" w:rsidP="007249F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A declaration that the Respondents have acted in contempt of the courts Temporally Injunction issued on 29</w:t>
      </w:r>
      <w:r w:rsidRPr="007249F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November, 20</w:t>
      </w:r>
      <w:r w:rsidR="001B6EA8">
        <w:rPr>
          <w:sz w:val="32"/>
          <w:szCs w:val="32"/>
        </w:rPr>
        <w:t xml:space="preserve">15 restraining the parties from alienation by sale, transfer </w:t>
      </w:r>
      <w:r w:rsidR="001B6EA8">
        <w:rPr>
          <w:sz w:val="32"/>
          <w:szCs w:val="32"/>
        </w:rPr>
        <w:lastRenderedPageBreak/>
        <w:t>or changing ownership or status quo until civil suit 89 of 2006 and 255 of 2015 have been finalised.</w:t>
      </w:r>
    </w:p>
    <w:p w:rsidR="001B6EA8" w:rsidRDefault="001B6EA8" w:rsidP="007249F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The Respondents be pu</w:t>
      </w:r>
      <w:r w:rsidR="00BE7C78">
        <w:rPr>
          <w:sz w:val="32"/>
          <w:szCs w:val="32"/>
        </w:rPr>
        <w:t>nished by payment of a fine of S</w:t>
      </w:r>
      <w:r>
        <w:rPr>
          <w:sz w:val="32"/>
          <w:szCs w:val="32"/>
        </w:rPr>
        <w:t>h</w:t>
      </w:r>
      <w:r w:rsidR="00BE7C78">
        <w:rPr>
          <w:sz w:val="32"/>
          <w:szCs w:val="32"/>
        </w:rPr>
        <w:t>.</w:t>
      </w:r>
      <w:r>
        <w:rPr>
          <w:sz w:val="32"/>
          <w:szCs w:val="32"/>
        </w:rPr>
        <w:t xml:space="preserve"> 500,000,000/= or payment of exemplary and </w:t>
      </w:r>
      <w:r w:rsidRPr="000F7988">
        <w:rPr>
          <w:sz w:val="32"/>
          <w:szCs w:val="32"/>
        </w:rPr>
        <w:t>printive</w:t>
      </w:r>
      <w:r w:rsidR="00BE7C78">
        <w:rPr>
          <w:sz w:val="32"/>
          <w:szCs w:val="32"/>
        </w:rPr>
        <w:t xml:space="preserve"> damages of S</w:t>
      </w:r>
      <w:r>
        <w:rPr>
          <w:sz w:val="32"/>
          <w:szCs w:val="32"/>
        </w:rPr>
        <w:t>h</w:t>
      </w:r>
      <w:r w:rsidR="00BE7C78">
        <w:rPr>
          <w:sz w:val="32"/>
          <w:szCs w:val="32"/>
        </w:rPr>
        <w:t>.</w:t>
      </w:r>
      <w:r>
        <w:rPr>
          <w:sz w:val="32"/>
          <w:szCs w:val="32"/>
        </w:rPr>
        <w:t xml:space="preserve"> 500,000,000/=.</w:t>
      </w:r>
    </w:p>
    <w:p w:rsidR="001B6EA8" w:rsidRDefault="001B6EA8" w:rsidP="007249F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Costs of the application.</w:t>
      </w:r>
    </w:p>
    <w:p w:rsidR="001B6EA8" w:rsidRDefault="00BE7C78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>Wading</w:t>
      </w:r>
      <w:r w:rsidR="001B6EA8">
        <w:rPr>
          <w:sz w:val="32"/>
          <w:szCs w:val="32"/>
        </w:rPr>
        <w:t xml:space="preserve"> through the </w:t>
      </w:r>
      <w:r w:rsidR="000A600F">
        <w:rPr>
          <w:sz w:val="32"/>
          <w:szCs w:val="32"/>
        </w:rPr>
        <w:t>voluminous</w:t>
      </w:r>
      <w:r w:rsidR="001B6EA8">
        <w:rPr>
          <w:sz w:val="32"/>
          <w:szCs w:val="32"/>
        </w:rPr>
        <w:t xml:space="preserve"> and to me unnecessary wordy</w:t>
      </w:r>
      <w:r>
        <w:rPr>
          <w:sz w:val="32"/>
          <w:szCs w:val="32"/>
        </w:rPr>
        <w:t>, repetitiou</w:t>
      </w:r>
      <w:r w:rsidR="001B6EA8">
        <w:rPr>
          <w:sz w:val="32"/>
          <w:szCs w:val="32"/>
        </w:rPr>
        <w:t>s pleadings</w:t>
      </w:r>
      <w:r>
        <w:rPr>
          <w:sz w:val="32"/>
          <w:szCs w:val="32"/>
        </w:rPr>
        <w:t xml:space="preserve"> and submissions</w:t>
      </w:r>
      <w:r w:rsidR="001B6EA8">
        <w:rPr>
          <w:sz w:val="32"/>
          <w:szCs w:val="32"/>
        </w:rPr>
        <w:t xml:space="preserve"> by both parties</w:t>
      </w:r>
      <w:r>
        <w:rPr>
          <w:sz w:val="32"/>
          <w:szCs w:val="32"/>
        </w:rPr>
        <w:t xml:space="preserve">. </w:t>
      </w:r>
      <w:r w:rsidR="001B6EA8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1B6EA8">
        <w:rPr>
          <w:sz w:val="32"/>
          <w:szCs w:val="32"/>
        </w:rPr>
        <w:t>he following summary of facts and events becomes clear.  The Temporally Injunction was in respect of Civil Suits 89/2006 and 255/2015.</w:t>
      </w:r>
    </w:p>
    <w:p w:rsidR="00DA4C6B" w:rsidRDefault="00A4405E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 is also in existence Civil Suit 443/15 in which a consent Judgment was </w:t>
      </w:r>
      <w:r w:rsidR="000B48BC">
        <w:rPr>
          <w:sz w:val="32"/>
          <w:szCs w:val="32"/>
        </w:rPr>
        <w:t xml:space="preserve">entered which the Respondent proceeded to execute.   The issue in contention is that the Respondents should not </w:t>
      </w:r>
      <w:r w:rsidR="00BE7C78">
        <w:rPr>
          <w:sz w:val="32"/>
          <w:szCs w:val="32"/>
        </w:rPr>
        <w:t>have gone ahead to execute the C</w:t>
      </w:r>
      <w:r w:rsidR="000B48BC">
        <w:rPr>
          <w:sz w:val="32"/>
          <w:szCs w:val="32"/>
        </w:rPr>
        <w:t xml:space="preserve">onsent </w:t>
      </w:r>
      <w:r w:rsidR="00E96FEE">
        <w:rPr>
          <w:sz w:val="32"/>
          <w:szCs w:val="32"/>
        </w:rPr>
        <w:t>Decree</w:t>
      </w:r>
      <w:r w:rsidR="000B48BC">
        <w:rPr>
          <w:sz w:val="32"/>
          <w:szCs w:val="32"/>
        </w:rPr>
        <w:t xml:space="preserve"> in Civil Suit 443/2015 well knowing </w:t>
      </w:r>
      <w:r w:rsidR="00DA4C6B">
        <w:rPr>
          <w:sz w:val="32"/>
          <w:szCs w:val="32"/>
        </w:rPr>
        <w:t xml:space="preserve">the existence of the Temporally Injunction order. </w:t>
      </w:r>
    </w:p>
    <w:p w:rsidR="002914E3" w:rsidRDefault="00DA4C6B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>There are allegations by the Applicant that the same suit land</w:t>
      </w:r>
      <w:r w:rsidR="000F7988">
        <w:rPr>
          <w:sz w:val="32"/>
          <w:szCs w:val="32"/>
        </w:rPr>
        <w:t>,</w:t>
      </w:r>
      <w:r>
        <w:rPr>
          <w:sz w:val="32"/>
          <w:szCs w:val="32"/>
        </w:rPr>
        <w:t xml:space="preserve"> Plot 834 was fraudulently mutated by the 1</w:t>
      </w:r>
      <w:r w:rsidRPr="00DA4C6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Respondent</w:t>
      </w:r>
      <w:r w:rsidR="009C7CEF">
        <w:rPr>
          <w:sz w:val="32"/>
          <w:szCs w:val="32"/>
        </w:rPr>
        <w:t xml:space="preserve"> in contempt of an earlier Injunction to create plots 1222, 1221 and 1220.  The Respondents claim what was executed was a consent Judgment over Plot 1222 Block 28.  It was based on a </w:t>
      </w:r>
      <w:r w:rsidR="00BE7C78">
        <w:rPr>
          <w:sz w:val="32"/>
          <w:szCs w:val="32"/>
        </w:rPr>
        <w:t>D</w:t>
      </w:r>
      <w:r w:rsidR="009C7CEF">
        <w:rPr>
          <w:sz w:val="32"/>
          <w:szCs w:val="32"/>
        </w:rPr>
        <w:t>ecree passed on the 11</w:t>
      </w:r>
      <w:r w:rsidR="009C7CEF" w:rsidRPr="009C7CEF">
        <w:rPr>
          <w:sz w:val="32"/>
          <w:szCs w:val="32"/>
          <w:vertAlign w:val="superscript"/>
        </w:rPr>
        <w:t>th</w:t>
      </w:r>
      <w:r w:rsidR="009C7CEF">
        <w:rPr>
          <w:sz w:val="32"/>
          <w:szCs w:val="32"/>
        </w:rPr>
        <w:t xml:space="preserve"> day of</w:t>
      </w:r>
      <w:r w:rsidR="00570157">
        <w:rPr>
          <w:sz w:val="32"/>
          <w:szCs w:val="32"/>
        </w:rPr>
        <w:t xml:space="preserve"> September, 2015.</w:t>
      </w:r>
    </w:p>
    <w:p w:rsidR="005E55F6" w:rsidRDefault="002914E3" w:rsidP="000F7988">
      <w:pPr>
        <w:jc w:val="both"/>
        <w:rPr>
          <w:sz w:val="32"/>
          <w:szCs w:val="32"/>
        </w:rPr>
      </w:pPr>
      <w:r>
        <w:rPr>
          <w:sz w:val="32"/>
          <w:szCs w:val="32"/>
        </w:rPr>
        <w:t>The said Decree came earlier than the Injunc</w:t>
      </w:r>
      <w:r w:rsidR="00BE7C78">
        <w:rPr>
          <w:sz w:val="32"/>
          <w:szCs w:val="32"/>
        </w:rPr>
        <w:t xml:space="preserve">tion the subject of the Instant Application. The </w:t>
      </w:r>
      <w:r>
        <w:rPr>
          <w:sz w:val="32"/>
          <w:szCs w:val="32"/>
        </w:rPr>
        <w:t>Inj</w:t>
      </w:r>
      <w:r w:rsidR="000F7988">
        <w:rPr>
          <w:sz w:val="32"/>
          <w:szCs w:val="32"/>
        </w:rPr>
        <w:t xml:space="preserve">unction was specific to Civil Suits 89/2006 </w:t>
      </w:r>
      <w:r>
        <w:rPr>
          <w:sz w:val="32"/>
          <w:szCs w:val="32"/>
        </w:rPr>
        <w:t xml:space="preserve">and 255 of 2015.  Apparently the alleged mutation was even carried out earlier than the Injunction and could therefore not have been done in contempt of the </w:t>
      </w:r>
      <w:r w:rsidR="005E55F6">
        <w:rPr>
          <w:sz w:val="32"/>
          <w:szCs w:val="32"/>
        </w:rPr>
        <w:t>Temporally Injunction Order.  The pleadings and affidavits are clear for all to see.</w:t>
      </w:r>
    </w:p>
    <w:p w:rsidR="005E55F6" w:rsidRDefault="005E55F6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It would have been the better procedure to challenge the Judgment that gave rise to the </w:t>
      </w:r>
      <w:r w:rsidR="00BE7C78">
        <w:rPr>
          <w:sz w:val="32"/>
          <w:szCs w:val="32"/>
        </w:rPr>
        <w:t>C</w:t>
      </w:r>
      <w:r>
        <w:rPr>
          <w:sz w:val="32"/>
          <w:szCs w:val="32"/>
        </w:rPr>
        <w:t xml:space="preserve">onsent </w:t>
      </w:r>
      <w:r w:rsidR="00BE7C78">
        <w:rPr>
          <w:sz w:val="32"/>
          <w:szCs w:val="32"/>
        </w:rPr>
        <w:t>Decree</w:t>
      </w:r>
      <w:r>
        <w:rPr>
          <w:sz w:val="32"/>
          <w:szCs w:val="32"/>
        </w:rPr>
        <w:t xml:space="preserve"> rather than filing contempt proceedings against the execution of a Judgement</w:t>
      </w:r>
      <w:r w:rsidR="00BE7C78">
        <w:rPr>
          <w:sz w:val="32"/>
          <w:szCs w:val="32"/>
        </w:rPr>
        <w:t xml:space="preserve"> of court</w:t>
      </w:r>
      <w:r w:rsidR="00E96FEE">
        <w:rPr>
          <w:sz w:val="32"/>
          <w:szCs w:val="32"/>
        </w:rPr>
        <w:t xml:space="preserve">.  A </w:t>
      </w:r>
      <w:r w:rsidR="00E96FEE">
        <w:rPr>
          <w:sz w:val="32"/>
          <w:szCs w:val="32"/>
        </w:rPr>
        <w:lastRenderedPageBreak/>
        <w:t xml:space="preserve">Judgment </w:t>
      </w:r>
      <w:r>
        <w:rPr>
          <w:sz w:val="32"/>
          <w:szCs w:val="32"/>
        </w:rPr>
        <w:t>by a competent court of law can only be challenged thr</w:t>
      </w:r>
      <w:r w:rsidR="00E96FEE">
        <w:rPr>
          <w:sz w:val="32"/>
          <w:szCs w:val="32"/>
        </w:rPr>
        <w:t>ough</w:t>
      </w:r>
      <w:r>
        <w:rPr>
          <w:sz w:val="32"/>
          <w:szCs w:val="32"/>
        </w:rPr>
        <w:t xml:space="preserve"> the known procedures of Appeal, Review or setting aside.</w:t>
      </w:r>
    </w:p>
    <w:p w:rsidR="000A600F" w:rsidRDefault="005E55F6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>It would be setting a dangerous precedent to find the successful party in such a Judgment in contempt of court in different proceedings that were not before that court.  If the said Judgment was obtained thr</w:t>
      </w:r>
      <w:r w:rsidR="00E96FEE">
        <w:rPr>
          <w:sz w:val="32"/>
          <w:szCs w:val="32"/>
        </w:rPr>
        <w:t>ough</w:t>
      </w:r>
      <w:r>
        <w:rPr>
          <w:sz w:val="32"/>
          <w:szCs w:val="32"/>
        </w:rPr>
        <w:t xml:space="preserve"> unlawful or fraudulent means, that can only be subject or issue thr</w:t>
      </w:r>
      <w:r w:rsidR="00E96FEE">
        <w:rPr>
          <w:sz w:val="32"/>
          <w:szCs w:val="32"/>
        </w:rPr>
        <w:t>ough</w:t>
      </w:r>
      <w:r>
        <w:rPr>
          <w:sz w:val="32"/>
          <w:szCs w:val="32"/>
        </w:rPr>
        <w:t xml:space="preserve"> the procedure I have outlined above.</w:t>
      </w:r>
    </w:p>
    <w:p w:rsidR="000A600F" w:rsidRDefault="00E96FEE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>It is my finding t</w:t>
      </w:r>
      <w:r w:rsidR="000A600F">
        <w:rPr>
          <w:sz w:val="32"/>
          <w:szCs w:val="32"/>
        </w:rPr>
        <w:t xml:space="preserve">hat the proceedings for contempt of court in the instant application are uncalled for and are not properly before this court.  </w:t>
      </w:r>
    </w:p>
    <w:p w:rsidR="000A600F" w:rsidRDefault="000A600F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>The application is struck out for being incompetent.</w:t>
      </w:r>
    </w:p>
    <w:p w:rsidR="000A600F" w:rsidRDefault="000A600F" w:rsidP="001B6EA8">
      <w:pPr>
        <w:jc w:val="both"/>
        <w:rPr>
          <w:sz w:val="32"/>
          <w:szCs w:val="32"/>
        </w:rPr>
      </w:pPr>
    </w:p>
    <w:p w:rsidR="000A600F" w:rsidRDefault="000A600F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Dated at Kampala this </w:t>
      </w:r>
      <w:r w:rsidRPr="00BB073E">
        <w:rPr>
          <w:b/>
          <w:sz w:val="32"/>
          <w:szCs w:val="32"/>
        </w:rPr>
        <w:t>14</w:t>
      </w:r>
      <w:r w:rsidRPr="00BB073E">
        <w:rPr>
          <w:b/>
          <w:sz w:val="32"/>
          <w:szCs w:val="32"/>
          <w:vertAlign w:val="superscript"/>
        </w:rPr>
        <w:t>th</w:t>
      </w:r>
      <w:r w:rsidRPr="00BB073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Day of </w:t>
      </w:r>
      <w:r w:rsidRPr="00BB073E">
        <w:rPr>
          <w:b/>
          <w:sz w:val="32"/>
          <w:szCs w:val="32"/>
        </w:rPr>
        <w:t>February, 2017</w:t>
      </w:r>
      <w:r>
        <w:rPr>
          <w:sz w:val="32"/>
          <w:szCs w:val="32"/>
        </w:rPr>
        <w:t>.</w:t>
      </w:r>
    </w:p>
    <w:p w:rsidR="000A600F" w:rsidRDefault="000A600F" w:rsidP="001B6EA8">
      <w:pPr>
        <w:jc w:val="both"/>
        <w:rPr>
          <w:sz w:val="32"/>
          <w:szCs w:val="32"/>
        </w:rPr>
      </w:pPr>
    </w:p>
    <w:p w:rsidR="000A600F" w:rsidRDefault="000A600F" w:rsidP="001B6EA8">
      <w:pPr>
        <w:jc w:val="both"/>
        <w:rPr>
          <w:sz w:val="32"/>
          <w:szCs w:val="32"/>
        </w:rPr>
      </w:pPr>
    </w:p>
    <w:p w:rsidR="000A600F" w:rsidRPr="000A600F" w:rsidRDefault="000A600F" w:rsidP="000A600F">
      <w:pPr>
        <w:pStyle w:val="NoSpacing"/>
        <w:rPr>
          <w:b/>
          <w:sz w:val="32"/>
          <w:szCs w:val="32"/>
        </w:rPr>
      </w:pPr>
      <w:r w:rsidRPr="000A600F">
        <w:rPr>
          <w:b/>
          <w:sz w:val="32"/>
          <w:szCs w:val="32"/>
        </w:rPr>
        <w:t xml:space="preserve">GODFREY NAMUNDI </w:t>
      </w:r>
    </w:p>
    <w:p w:rsidR="000A600F" w:rsidRPr="000A600F" w:rsidRDefault="000A600F" w:rsidP="000A600F">
      <w:pPr>
        <w:pStyle w:val="NoSpacing"/>
        <w:rPr>
          <w:b/>
          <w:sz w:val="32"/>
          <w:szCs w:val="32"/>
        </w:rPr>
      </w:pPr>
      <w:r w:rsidRPr="000A600F">
        <w:rPr>
          <w:b/>
          <w:sz w:val="32"/>
          <w:szCs w:val="32"/>
        </w:rPr>
        <w:t>JUDGE.</w:t>
      </w:r>
    </w:p>
    <w:p w:rsidR="00A4405E" w:rsidRPr="001B6EA8" w:rsidRDefault="009C7CEF" w:rsidP="001B6EA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A4C6B">
        <w:rPr>
          <w:sz w:val="32"/>
          <w:szCs w:val="32"/>
        </w:rPr>
        <w:t xml:space="preserve"> </w:t>
      </w:r>
      <w:r w:rsidR="000B48BC">
        <w:rPr>
          <w:sz w:val="32"/>
          <w:szCs w:val="32"/>
        </w:rPr>
        <w:t xml:space="preserve"> </w:t>
      </w:r>
    </w:p>
    <w:p w:rsidR="001B6EA8" w:rsidRPr="001B6EA8" w:rsidRDefault="001B6EA8" w:rsidP="001B6EA8">
      <w:pPr>
        <w:ind w:left="510"/>
        <w:jc w:val="both"/>
        <w:rPr>
          <w:sz w:val="32"/>
          <w:szCs w:val="32"/>
        </w:rPr>
      </w:pPr>
    </w:p>
    <w:sectPr w:rsidR="001B6EA8" w:rsidRPr="001B6EA8" w:rsidSect="000A600F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32" w:rsidRDefault="00751332" w:rsidP="00BB073E">
      <w:pPr>
        <w:spacing w:after="0" w:line="240" w:lineRule="auto"/>
      </w:pPr>
      <w:r>
        <w:separator/>
      </w:r>
    </w:p>
  </w:endnote>
  <w:endnote w:type="continuationSeparator" w:id="1">
    <w:p w:rsidR="00751332" w:rsidRDefault="00751332" w:rsidP="00BB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703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B073E" w:rsidRDefault="00BB073E">
            <w:pPr>
              <w:pStyle w:val="Footer"/>
              <w:jc w:val="right"/>
            </w:pPr>
            <w:r>
              <w:t xml:space="preserve">Page </w:t>
            </w:r>
            <w:r w:rsidR="00A844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844A5">
              <w:rPr>
                <w:b/>
                <w:sz w:val="24"/>
                <w:szCs w:val="24"/>
              </w:rPr>
              <w:fldChar w:fldCharType="separate"/>
            </w:r>
            <w:r w:rsidR="007F04A2">
              <w:rPr>
                <w:b/>
                <w:noProof/>
              </w:rPr>
              <w:t>1</w:t>
            </w:r>
            <w:r w:rsidR="00A844A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44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844A5">
              <w:rPr>
                <w:b/>
                <w:sz w:val="24"/>
                <w:szCs w:val="24"/>
              </w:rPr>
              <w:fldChar w:fldCharType="separate"/>
            </w:r>
            <w:r w:rsidR="007F04A2">
              <w:rPr>
                <w:b/>
                <w:noProof/>
              </w:rPr>
              <w:t>3</w:t>
            </w:r>
            <w:r w:rsidR="00A844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073E" w:rsidRDefault="00BB0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32" w:rsidRDefault="00751332" w:rsidP="00BB073E">
      <w:pPr>
        <w:spacing w:after="0" w:line="240" w:lineRule="auto"/>
      </w:pPr>
      <w:r>
        <w:separator/>
      </w:r>
    </w:p>
  </w:footnote>
  <w:footnote w:type="continuationSeparator" w:id="1">
    <w:p w:rsidR="00751332" w:rsidRDefault="00751332" w:rsidP="00BB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DA9"/>
    <w:multiLevelType w:val="hybridMultilevel"/>
    <w:tmpl w:val="23AA763A"/>
    <w:lvl w:ilvl="0" w:tplc="0809001B">
      <w:start w:val="1"/>
      <w:numFmt w:val="lowerRoman"/>
      <w:lvlText w:val="%1."/>
      <w:lvlJc w:val="righ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5273AF5"/>
    <w:multiLevelType w:val="hybridMultilevel"/>
    <w:tmpl w:val="2564D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3D3"/>
    <w:rsid w:val="000A600F"/>
    <w:rsid w:val="000B48BC"/>
    <w:rsid w:val="000F7988"/>
    <w:rsid w:val="00112A8B"/>
    <w:rsid w:val="001B6EA8"/>
    <w:rsid w:val="002914E3"/>
    <w:rsid w:val="0035755D"/>
    <w:rsid w:val="003A0ED6"/>
    <w:rsid w:val="004B4CD1"/>
    <w:rsid w:val="004E33D3"/>
    <w:rsid w:val="00570157"/>
    <w:rsid w:val="00571CA3"/>
    <w:rsid w:val="005E55F6"/>
    <w:rsid w:val="007249F8"/>
    <w:rsid w:val="00751332"/>
    <w:rsid w:val="007E5E00"/>
    <w:rsid w:val="007F04A2"/>
    <w:rsid w:val="00896653"/>
    <w:rsid w:val="009638DC"/>
    <w:rsid w:val="009C7CEF"/>
    <w:rsid w:val="009D799C"/>
    <w:rsid w:val="00A14A10"/>
    <w:rsid w:val="00A4405E"/>
    <w:rsid w:val="00A844A5"/>
    <w:rsid w:val="00AF1108"/>
    <w:rsid w:val="00B47CB0"/>
    <w:rsid w:val="00BB073E"/>
    <w:rsid w:val="00BE7C78"/>
    <w:rsid w:val="00C16111"/>
    <w:rsid w:val="00C2766F"/>
    <w:rsid w:val="00DA4C6B"/>
    <w:rsid w:val="00DC0178"/>
    <w:rsid w:val="00DE7F28"/>
    <w:rsid w:val="00DF0F33"/>
    <w:rsid w:val="00E54947"/>
    <w:rsid w:val="00E84C79"/>
    <w:rsid w:val="00E96FEE"/>
    <w:rsid w:val="00F85DB0"/>
    <w:rsid w:val="00FC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3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73E"/>
  </w:style>
  <w:style w:type="paragraph" w:styleId="Footer">
    <w:name w:val="footer"/>
    <w:basedOn w:val="Normal"/>
    <w:link w:val="FooterChar"/>
    <w:uiPriority w:val="99"/>
    <w:unhideWhenUsed/>
    <w:rsid w:val="00BB0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3E"/>
  </w:style>
  <w:style w:type="paragraph" w:styleId="BalloonText">
    <w:name w:val="Balloon Text"/>
    <w:basedOn w:val="Normal"/>
    <w:link w:val="BalloonTextChar"/>
    <w:uiPriority w:val="99"/>
    <w:semiHidden/>
    <w:unhideWhenUsed/>
    <w:rsid w:val="0089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mmalinga</dc:creator>
  <cp:lastModifiedBy>lro user</cp:lastModifiedBy>
  <cp:revision>2</cp:revision>
  <cp:lastPrinted>2017-02-15T13:24:00Z</cp:lastPrinted>
  <dcterms:created xsi:type="dcterms:W3CDTF">2019-12-18T08:08:00Z</dcterms:created>
  <dcterms:modified xsi:type="dcterms:W3CDTF">2019-12-18T08:08:00Z</dcterms:modified>
</cp:coreProperties>
</file>