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9DC" w:rsidRPr="000D2BD8" w:rsidRDefault="00E639DC" w:rsidP="00E639DC">
      <w:pPr>
        <w:jc w:val="center"/>
        <w:rPr>
          <w:rFonts w:ascii="Times New Roman" w:hAnsi="Times New Roman"/>
          <w:b/>
          <w:sz w:val="24"/>
          <w:szCs w:val="24"/>
          <w:u w:val="single"/>
        </w:rPr>
      </w:pPr>
      <w:bookmarkStart w:id="0" w:name="_GoBack"/>
      <w:bookmarkEnd w:id="0"/>
      <w:r w:rsidRPr="000D2BD8">
        <w:rPr>
          <w:rFonts w:ascii="Times New Roman" w:hAnsi="Times New Roman"/>
          <w:b/>
          <w:sz w:val="24"/>
          <w:szCs w:val="24"/>
          <w:u w:val="single"/>
        </w:rPr>
        <w:t>THE REPUBLIC OF UGANDA</w:t>
      </w:r>
    </w:p>
    <w:p w:rsidR="00E639DC" w:rsidRPr="000D2BD8" w:rsidRDefault="00E639DC" w:rsidP="00E639DC">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E639DC" w:rsidRPr="000D2BD8" w:rsidRDefault="00E639DC" w:rsidP="00E639DC">
      <w:pPr>
        <w:pStyle w:val="NoSpacing"/>
        <w:jc w:val="center"/>
        <w:rPr>
          <w:rFonts w:ascii="Times New Roman" w:hAnsi="Times New Roman"/>
          <w:b/>
          <w:sz w:val="24"/>
          <w:szCs w:val="24"/>
        </w:rPr>
      </w:pPr>
      <w:r w:rsidRPr="000D2BD8">
        <w:rPr>
          <w:rFonts w:ascii="Times New Roman" w:hAnsi="Times New Roman"/>
          <w:b/>
          <w:sz w:val="24"/>
          <w:szCs w:val="24"/>
        </w:rPr>
        <w:t>(LAND DIVISION)</w:t>
      </w:r>
    </w:p>
    <w:p w:rsidR="00E639DC" w:rsidRPr="000D2BD8" w:rsidRDefault="00E639DC" w:rsidP="00E639DC">
      <w:pPr>
        <w:pStyle w:val="NoSpacing"/>
        <w:jc w:val="center"/>
        <w:rPr>
          <w:rFonts w:ascii="Times New Roman" w:hAnsi="Times New Roman"/>
          <w:b/>
          <w:sz w:val="24"/>
          <w:szCs w:val="24"/>
        </w:rPr>
      </w:pPr>
    </w:p>
    <w:p w:rsidR="00E639DC" w:rsidRPr="000D2BD8" w:rsidRDefault="00E639DC" w:rsidP="00E639DC">
      <w:pPr>
        <w:pStyle w:val="NoSpacing"/>
        <w:jc w:val="center"/>
        <w:rPr>
          <w:rFonts w:ascii="Times New Roman" w:hAnsi="Times New Roman"/>
          <w:b/>
          <w:sz w:val="24"/>
          <w:szCs w:val="24"/>
        </w:rPr>
      </w:pPr>
      <w:r w:rsidRPr="000D2BD8">
        <w:rPr>
          <w:rFonts w:ascii="Times New Roman" w:hAnsi="Times New Roman"/>
          <w:b/>
          <w:sz w:val="24"/>
          <w:szCs w:val="24"/>
        </w:rPr>
        <w:t>MISCELLANEOUS APPLICATION NO.1512 OF 2014</w:t>
      </w:r>
    </w:p>
    <w:p w:rsidR="00E639DC" w:rsidRPr="000D2BD8" w:rsidRDefault="00E639DC" w:rsidP="00E639DC">
      <w:pPr>
        <w:pStyle w:val="NoSpacing"/>
        <w:jc w:val="center"/>
        <w:rPr>
          <w:rFonts w:ascii="Times New Roman" w:hAnsi="Times New Roman"/>
          <w:b/>
          <w:sz w:val="24"/>
          <w:szCs w:val="24"/>
        </w:rPr>
      </w:pPr>
      <w:r w:rsidRPr="000D2BD8">
        <w:rPr>
          <w:rFonts w:ascii="Times New Roman" w:hAnsi="Times New Roman"/>
          <w:b/>
          <w:sz w:val="24"/>
          <w:szCs w:val="24"/>
        </w:rPr>
        <w:t>(ARISING OUT OF CIVIL SUIT NO.744 OF 2014)</w:t>
      </w:r>
    </w:p>
    <w:p w:rsidR="00E639DC" w:rsidRPr="000D2BD8" w:rsidRDefault="00E639DC" w:rsidP="00E639DC">
      <w:pPr>
        <w:pStyle w:val="NoSpacing"/>
        <w:jc w:val="center"/>
        <w:rPr>
          <w:rFonts w:ascii="Times New Roman" w:hAnsi="Times New Roman"/>
          <w:b/>
          <w:sz w:val="24"/>
          <w:szCs w:val="24"/>
        </w:rPr>
      </w:pPr>
    </w:p>
    <w:p w:rsidR="00E639DC" w:rsidRPr="000D2BD8" w:rsidRDefault="00E639DC" w:rsidP="00E639DC">
      <w:pPr>
        <w:rPr>
          <w:rFonts w:ascii="Times New Roman" w:hAnsi="Times New Roman"/>
          <w:b/>
          <w:sz w:val="24"/>
          <w:szCs w:val="24"/>
        </w:rPr>
      </w:pPr>
      <w:r w:rsidRPr="000D2BD8">
        <w:rPr>
          <w:rFonts w:ascii="Times New Roman" w:hAnsi="Times New Roman"/>
          <w:b/>
          <w:sz w:val="24"/>
          <w:szCs w:val="24"/>
        </w:rPr>
        <w:t>SEMPEBWA NSUBUGA</w:t>
      </w:r>
      <w:proofErr w:type="gramStart"/>
      <w:r w:rsidRPr="000D2BD8">
        <w:rPr>
          <w:rFonts w:ascii="Times New Roman" w:hAnsi="Times New Roman"/>
          <w:b/>
          <w:sz w:val="24"/>
          <w:szCs w:val="24"/>
        </w:rPr>
        <w:t>::::::::::::::::::::::::::::::::::::::::::::::::</w:t>
      </w:r>
      <w:proofErr w:type="gramEnd"/>
      <w:r w:rsidRPr="000D2BD8">
        <w:rPr>
          <w:rFonts w:ascii="Times New Roman" w:hAnsi="Times New Roman"/>
          <w:b/>
          <w:sz w:val="24"/>
          <w:szCs w:val="24"/>
        </w:rPr>
        <w:t xml:space="preserve"> APPLICANT/PLAINTIFF</w:t>
      </w:r>
    </w:p>
    <w:p w:rsidR="00E639DC" w:rsidRPr="000D2BD8" w:rsidRDefault="00E639DC" w:rsidP="00E639DC">
      <w:pPr>
        <w:jc w:val="center"/>
        <w:rPr>
          <w:rFonts w:ascii="Times New Roman" w:hAnsi="Times New Roman"/>
          <w:b/>
          <w:sz w:val="24"/>
          <w:szCs w:val="24"/>
        </w:rPr>
      </w:pPr>
      <w:r w:rsidRPr="000D2BD8">
        <w:rPr>
          <w:rFonts w:ascii="Times New Roman" w:hAnsi="Times New Roman"/>
          <w:b/>
          <w:sz w:val="24"/>
          <w:szCs w:val="24"/>
        </w:rPr>
        <w:t>VERSES</w:t>
      </w:r>
    </w:p>
    <w:p w:rsidR="00E639DC" w:rsidRPr="000D2BD8" w:rsidRDefault="00E639DC" w:rsidP="00E639DC">
      <w:pPr>
        <w:rPr>
          <w:rFonts w:ascii="Times New Roman" w:hAnsi="Times New Roman"/>
          <w:sz w:val="24"/>
          <w:szCs w:val="24"/>
        </w:rPr>
      </w:pPr>
      <w:r w:rsidRPr="000D2BD8">
        <w:rPr>
          <w:rFonts w:ascii="Times New Roman" w:hAnsi="Times New Roman"/>
          <w:b/>
          <w:sz w:val="24"/>
          <w:szCs w:val="24"/>
        </w:rPr>
        <w:t>KAMPALA CAPITAL CITY AUTHORITY</w:t>
      </w:r>
      <w:proofErr w:type="gramStart"/>
      <w:r w:rsidRPr="000D2BD8">
        <w:rPr>
          <w:rFonts w:ascii="Times New Roman" w:hAnsi="Times New Roman"/>
          <w:b/>
          <w:sz w:val="24"/>
          <w:szCs w:val="24"/>
        </w:rPr>
        <w:t>:::::::::::::::::::</w:t>
      </w:r>
      <w:proofErr w:type="gramEnd"/>
      <w:r w:rsidRPr="000D2BD8">
        <w:rPr>
          <w:rFonts w:ascii="Times New Roman" w:hAnsi="Times New Roman"/>
          <w:b/>
          <w:sz w:val="24"/>
          <w:szCs w:val="24"/>
        </w:rPr>
        <w:t xml:space="preserve"> RESPONDENT/DEFENDANT</w:t>
      </w:r>
    </w:p>
    <w:p w:rsidR="00E639DC" w:rsidRPr="000D2BD8" w:rsidRDefault="00E639DC" w:rsidP="00E639DC">
      <w:pPr>
        <w:jc w:val="center"/>
        <w:rPr>
          <w:rFonts w:ascii="Times New Roman" w:hAnsi="Times New Roman"/>
          <w:b/>
          <w:sz w:val="24"/>
          <w:szCs w:val="24"/>
          <w:u w:val="single"/>
        </w:rPr>
      </w:pPr>
      <w:r w:rsidRPr="000D2BD8">
        <w:rPr>
          <w:rFonts w:ascii="Times New Roman" w:hAnsi="Times New Roman"/>
          <w:b/>
          <w:sz w:val="24"/>
          <w:szCs w:val="24"/>
          <w:u w:val="single"/>
        </w:rPr>
        <w:t>RULING</w:t>
      </w:r>
    </w:p>
    <w:p w:rsidR="00E639DC" w:rsidRPr="000D2BD8" w:rsidRDefault="00E639DC" w:rsidP="00E639DC">
      <w:pPr>
        <w:jc w:val="center"/>
        <w:rPr>
          <w:rFonts w:ascii="Times New Roman" w:hAnsi="Times New Roman"/>
          <w:b/>
          <w:sz w:val="24"/>
          <w:szCs w:val="24"/>
          <w:u w:val="single"/>
        </w:rPr>
      </w:pPr>
      <w:r w:rsidRPr="000D2BD8">
        <w:rPr>
          <w:rFonts w:ascii="Times New Roman" w:hAnsi="Times New Roman"/>
          <w:b/>
          <w:sz w:val="24"/>
          <w:szCs w:val="24"/>
          <w:u w:val="single"/>
        </w:rPr>
        <w:t>BEFORE HON LADY JUSTICE EVA K. LUSWATA</w:t>
      </w:r>
    </w:p>
    <w:p w:rsidR="00E639DC" w:rsidRPr="000D2BD8" w:rsidRDefault="00E639DC" w:rsidP="00E639DC">
      <w:pPr>
        <w:spacing w:line="360" w:lineRule="auto"/>
        <w:jc w:val="both"/>
        <w:rPr>
          <w:rFonts w:ascii="Times New Roman" w:hAnsi="Times New Roman"/>
          <w:sz w:val="24"/>
          <w:szCs w:val="24"/>
        </w:rPr>
      </w:pPr>
      <w:r w:rsidRPr="000D2BD8">
        <w:rPr>
          <w:rFonts w:ascii="Times New Roman" w:hAnsi="Times New Roman"/>
          <w:sz w:val="24"/>
          <w:szCs w:val="24"/>
        </w:rPr>
        <w:t xml:space="preserve">This is an application brought by way of chamber summons under Order 41r.1, 2 and 9 of the Civil Procedure Rules </w:t>
      </w:r>
    </w:p>
    <w:p w:rsidR="00E639DC" w:rsidRPr="000D2BD8" w:rsidRDefault="00E639DC" w:rsidP="00E639DC">
      <w:pPr>
        <w:pStyle w:val="ListParagraph"/>
        <w:numPr>
          <w:ilvl w:val="0"/>
          <w:numId w:val="2"/>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A temporary injunction doth issue restraining the respondent and or their agents from any interference with the applicant’s possession of the suit land and any further dealings on the same until further orders of the court.</w:t>
      </w:r>
    </w:p>
    <w:p w:rsidR="00E639DC" w:rsidRPr="000D2BD8" w:rsidRDefault="00E639DC" w:rsidP="00E639DC">
      <w:pPr>
        <w:pStyle w:val="ListParagraph"/>
        <w:numPr>
          <w:ilvl w:val="0"/>
          <w:numId w:val="2"/>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Provision </w:t>
      </w:r>
      <w:proofErr w:type="gramStart"/>
      <w:r w:rsidRPr="000D2BD8">
        <w:rPr>
          <w:rFonts w:ascii="Times New Roman" w:hAnsi="Times New Roman" w:cs="Times New Roman"/>
          <w:sz w:val="24"/>
          <w:szCs w:val="24"/>
        </w:rPr>
        <w:t>be</w:t>
      </w:r>
      <w:proofErr w:type="gramEnd"/>
      <w:r w:rsidRPr="000D2BD8">
        <w:rPr>
          <w:rFonts w:ascii="Times New Roman" w:hAnsi="Times New Roman" w:cs="Times New Roman"/>
          <w:sz w:val="24"/>
          <w:szCs w:val="24"/>
        </w:rPr>
        <w:t xml:space="preserve"> made for cost of the application.</w:t>
      </w:r>
    </w:p>
    <w:p w:rsidR="00E639DC" w:rsidRPr="000D2BD8" w:rsidRDefault="00E639DC" w:rsidP="00E639DC">
      <w:pPr>
        <w:spacing w:line="360" w:lineRule="auto"/>
        <w:jc w:val="both"/>
        <w:rPr>
          <w:rFonts w:ascii="Times New Roman" w:hAnsi="Times New Roman"/>
          <w:sz w:val="24"/>
          <w:szCs w:val="24"/>
        </w:rPr>
      </w:pPr>
      <w:r w:rsidRPr="000D2BD8">
        <w:rPr>
          <w:rFonts w:ascii="Times New Roman" w:hAnsi="Times New Roman"/>
          <w:sz w:val="24"/>
          <w:szCs w:val="24"/>
        </w:rPr>
        <w:t xml:space="preserve">The grounds of this application as set out in the motion and supporting affidavit are briefly that the applicant as the registered proprietor of land comprised in Plot 4893 Block 244 (herein after referred to as the suit land) is faced with an imminent eviction and demolition of the property on the suit land by the respondent. He deems the actions of the respondent unconstitutional and, has accordingly filed a suit against the respondent seeking </w:t>
      </w:r>
      <w:r w:rsidRPr="000D2BD8">
        <w:rPr>
          <w:rFonts w:ascii="Times New Roman" w:hAnsi="Times New Roman"/>
          <w:i/>
          <w:sz w:val="24"/>
          <w:szCs w:val="24"/>
        </w:rPr>
        <w:t xml:space="preserve">interalia, </w:t>
      </w:r>
      <w:r w:rsidRPr="000D2BD8">
        <w:rPr>
          <w:rFonts w:ascii="Times New Roman" w:hAnsi="Times New Roman"/>
          <w:sz w:val="24"/>
          <w:szCs w:val="24"/>
        </w:rPr>
        <w:t xml:space="preserve">a permanent injunction, damages in trespass and costs. </w:t>
      </w:r>
    </w:p>
    <w:p w:rsidR="00E639DC" w:rsidRPr="000D2BD8" w:rsidRDefault="00E639DC" w:rsidP="00E639DC">
      <w:pPr>
        <w:spacing w:line="360" w:lineRule="auto"/>
        <w:jc w:val="both"/>
        <w:rPr>
          <w:rFonts w:ascii="Times New Roman" w:hAnsi="Times New Roman"/>
          <w:sz w:val="24"/>
          <w:szCs w:val="24"/>
        </w:rPr>
      </w:pPr>
      <w:proofErr w:type="gramStart"/>
      <w:r w:rsidRPr="000D2BD8">
        <w:rPr>
          <w:rFonts w:ascii="Times New Roman" w:hAnsi="Times New Roman"/>
          <w:sz w:val="24"/>
          <w:szCs w:val="24"/>
        </w:rPr>
        <w:t>On their part, the respondent through Atwine K. Moses their Ag.</w:t>
      </w:r>
      <w:proofErr w:type="gramEnd"/>
      <w:r w:rsidRPr="000D2BD8">
        <w:rPr>
          <w:rFonts w:ascii="Times New Roman" w:hAnsi="Times New Roman"/>
          <w:sz w:val="24"/>
          <w:szCs w:val="24"/>
        </w:rPr>
        <w:t xml:space="preserve"> Director Physical Planning, argue that the notice issued against the applicant was made under their mandate as administrator and regulator of the Kampala City and in compliance with physical planning and public health laws in force. That the applicant’s developments on the suit land having no approved building plans, are in a dilapidated state and having been erected on the Kikubamutwe Road, Tank Hill, </w:t>
      </w:r>
      <w:r w:rsidRPr="000D2BD8">
        <w:rPr>
          <w:rFonts w:ascii="Times New Roman" w:hAnsi="Times New Roman"/>
          <w:sz w:val="24"/>
          <w:szCs w:val="24"/>
        </w:rPr>
        <w:lastRenderedPageBreak/>
        <w:t>was liable for removal after notice. They deem the main suit to be oppressive and to have been filed in bad faith.</w:t>
      </w:r>
    </w:p>
    <w:p w:rsidR="00E639DC" w:rsidRPr="000D2BD8" w:rsidRDefault="00E639DC" w:rsidP="00E639DC">
      <w:pPr>
        <w:spacing w:line="360" w:lineRule="auto"/>
        <w:jc w:val="both"/>
        <w:rPr>
          <w:rFonts w:ascii="Times New Roman" w:hAnsi="Times New Roman"/>
          <w:sz w:val="24"/>
          <w:szCs w:val="24"/>
        </w:rPr>
      </w:pPr>
      <w:r w:rsidRPr="000D2BD8">
        <w:rPr>
          <w:rFonts w:ascii="Times New Roman" w:hAnsi="Times New Roman"/>
          <w:sz w:val="24"/>
          <w:szCs w:val="24"/>
        </w:rPr>
        <w:t xml:space="preserve">Both counsel filed written submissions as requested by Court. </w:t>
      </w:r>
    </w:p>
    <w:p w:rsidR="00E639DC" w:rsidRPr="000D2BD8" w:rsidRDefault="00E639DC" w:rsidP="00E639DC">
      <w:pPr>
        <w:spacing w:line="360" w:lineRule="auto"/>
        <w:jc w:val="both"/>
        <w:rPr>
          <w:rFonts w:ascii="Times New Roman" w:hAnsi="Times New Roman"/>
          <w:b/>
          <w:sz w:val="24"/>
          <w:szCs w:val="24"/>
        </w:rPr>
      </w:pPr>
      <w:r w:rsidRPr="000D2BD8">
        <w:rPr>
          <w:rFonts w:ascii="Times New Roman" w:hAnsi="Times New Roman"/>
          <w:sz w:val="24"/>
          <w:szCs w:val="24"/>
        </w:rPr>
        <w:t xml:space="preserve">According to Order 41 Rule 1 (a) CPR, the primary purpose of a temporary injunction in these circumstances would be is the preservation of the suit land and protecting it from being wasted, damaged, alienated, and/or wrongfully sold by any party to the suit, pending resolution of the main suit. The court in </w:t>
      </w:r>
      <w:r w:rsidRPr="000D2BD8">
        <w:rPr>
          <w:rFonts w:ascii="Times New Roman" w:hAnsi="Times New Roman"/>
          <w:b/>
          <w:sz w:val="24"/>
          <w:szCs w:val="24"/>
        </w:rPr>
        <w:t>American Cyanamid Co. Vs Ethicon Ltd [1975] AC 396</w:t>
      </w:r>
      <w:r w:rsidRPr="000D2BD8">
        <w:rPr>
          <w:rFonts w:ascii="Times New Roman" w:hAnsi="Times New Roman"/>
          <w:sz w:val="24"/>
          <w:szCs w:val="24"/>
        </w:rPr>
        <w:t xml:space="preserve"> Lord Dip lock laid down guidelines for the grant of temporary injunctions that have been continuously followed in our jurisdiction particularly in the cases of </w:t>
      </w:r>
      <w:r w:rsidRPr="000D2BD8">
        <w:rPr>
          <w:rFonts w:ascii="Times New Roman" w:hAnsi="Times New Roman"/>
          <w:b/>
          <w:sz w:val="24"/>
          <w:szCs w:val="24"/>
        </w:rPr>
        <w:t>E.L.T Kiyimba Kaggwa Vs Hajji Katende [1985] HCB 43</w:t>
      </w:r>
    </w:p>
    <w:p w:rsidR="00E639DC" w:rsidRPr="000D2BD8" w:rsidRDefault="00E639DC" w:rsidP="00E639DC">
      <w:pPr>
        <w:spacing w:line="360" w:lineRule="auto"/>
        <w:jc w:val="both"/>
        <w:rPr>
          <w:rFonts w:ascii="Times New Roman" w:hAnsi="Times New Roman"/>
          <w:sz w:val="24"/>
          <w:szCs w:val="24"/>
        </w:rPr>
      </w:pPr>
      <w:r w:rsidRPr="000D2BD8">
        <w:rPr>
          <w:rFonts w:ascii="Times New Roman" w:hAnsi="Times New Roman"/>
          <w:sz w:val="24"/>
          <w:szCs w:val="24"/>
        </w:rPr>
        <w:t xml:space="preserve">The granting of a temporary injunction is an exercise of judicial discretion and the purpose of granting it is to preserve the matters in the </w:t>
      </w:r>
      <w:r w:rsidRPr="000D2BD8">
        <w:rPr>
          <w:rFonts w:ascii="Times New Roman" w:hAnsi="Times New Roman"/>
          <w:i/>
          <w:sz w:val="24"/>
          <w:szCs w:val="24"/>
        </w:rPr>
        <w:t>status quo</w:t>
      </w:r>
      <w:r w:rsidRPr="000D2BD8">
        <w:rPr>
          <w:rFonts w:ascii="Times New Roman" w:hAnsi="Times New Roman"/>
          <w:sz w:val="24"/>
          <w:szCs w:val="24"/>
        </w:rPr>
        <w:t xml:space="preserve"> until the question to be investigated in the main suit is finally disposed of.</w:t>
      </w:r>
    </w:p>
    <w:p w:rsidR="00E639DC" w:rsidRPr="000D2BD8" w:rsidRDefault="00E639DC" w:rsidP="00E639DC">
      <w:pPr>
        <w:spacing w:after="0" w:line="360" w:lineRule="auto"/>
        <w:jc w:val="both"/>
        <w:rPr>
          <w:rFonts w:ascii="Times New Roman" w:hAnsi="Times New Roman"/>
          <w:sz w:val="24"/>
          <w:szCs w:val="24"/>
        </w:rPr>
      </w:pPr>
      <w:r w:rsidRPr="000D2BD8">
        <w:rPr>
          <w:rFonts w:ascii="Times New Roman" w:hAnsi="Times New Roman"/>
          <w:sz w:val="24"/>
          <w:szCs w:val="24"/>
        </w:rPr>
        <w:t xml:space="preserve">The conditions for the grant of the interlocutory injunction are; </w:t>
      </w:r>
    </w:p>
    <w:p w:rsidR="00E639DC" w:rsidRPr="000D2BD8" w:rsidRDefault="00E639DC" w:rsidP="00E639DC">
      <w:pPr>
        <w:pStyle w:val="ListParagraph"/>
        <w:numPr>
          <w:ilvl w:val="0"/>
          <w:numId w:val="3"/>
        </w:numPr>
        <w:spacing w:after="0"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Firstly that, the applicant must show a prima facie case with a probability of success. </w:t>
      </w:r>
    </w:p>
    <w:p w:rsidR="00E639DC" w:rsidRPr="000D2BD8" w:rsidRDefault="00E639DC" w:rsidP="00E639DC">
      <w:pPr>
        <w:pStyle w:val="ListParagraph"/>
        <w:numPr>
          <w:ilvl w:val="0"/>
          <w:numId w:val="3"/>
        </w:numPr>
        <w:spacing w:after="0"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Secondly, such injunction will not normally be granted unless the applicant might otherwise suffer irreparable injury which would not adequately be compensated by an award of damages. </w:t>
      </w:r>
    </w:p>
    <w:p w:rsidR="00E639DC" w:rsidRPr="000D2BD8" w:rsidRDefault="00E639DC" w:rsidP="00E639DC">
      <w:pPr>
        <w:pStyle w:val="ListParagraph"/>
        <w:numPr>
          <w:ilvl w:val="0"/>
          <w:numId w:val="3"/>
        </w:numPr>
        <w:spacing w:after="0" w:line="360" w:lineRule="auto"/>
        <w:jc w:val="both"/>
        <w:rPr>
          <w:rFonts w:ascii="Times New Roman" w:hAnsi="Times New Roman" w:cs="Times New Roman"/>
          <w:i/>
          <w:sz w:val="24"/>
          <w:szCs w:val="24"/>
        </w:rPr>
      </w:pPr>
      <w:r w:rsidRPr="000D2BD8">
        <w:rPr>
          <w:rFonts w:ascii="Times New Roman" w:hAnsi="Times New Roman" w:cs="Times New Roman"/>
          <w:sz w:val="24"/>
          <w:szCs w:val="24"/>
        </w:rPr>
        <w:t>Thirdly if the Court is in doubt, it would decide an application on the balance of convenience</w:t>
      </w:r>
      <w:r w:rsidRPr="000D2BD8">
        <w:rPr>
          <w:rFonts w:ascii="Times New Roman" w:hAnsi="Times New Roman" w:cs="Times New Roman"/>
          <w:i/>
          <w:sz w:val="24"/>
          <w:szCs w:val="24"/>
        </w:rPr>
        <w:t>.</w:t>
      </w:r>
    </w:p>
    <w:p w:rsidR="00E639DC" w:rsidRPr="000D2BD8" w:rsidRDefault="00E639DC" w:rsidP="00E639DC">
      <w:pPr>
        <w:pStyle w:val="ListParagraph"/>
        <w:spacing w:after="0" w:line="360" w:lineRule="auto"/>
        <w:ind w:left="1440"/>
        <w:jc w:val="both"/>
        <w:rPr>
          <w:rFonts w:ascii="Times New Roman" w:hAnsi="Times New Roman" w:cs="Times New Roman"/>
          <w:i/>
          <w:sz w:val="24"/>
          <w:szCs w:val="24"/>
        </w:rPr>
      </w:pPr>
    </w:p>
    <w:p w:rsidR="00E639DC" w:rsidRPr="000D2BD8" w:rsidRDefault="00E639DC" w:rsidP="00E639DC">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Further in considering the above principles, the court should bear in mind the following guidelines:-</w:t>
      </w:r>
    </w:p>
    <w:p w:rsidR="00E639DC" w:rsidRPr="000D2BD8" w:rsidRDefault="00E639DC" w:rsidP="00E639DC">
      <w:pPr>
        <w:pStyle w:val="ListParagraph"/>
        <w:numPr>
          <w:ilvl w:val="0"/>
          <w:numId w:val="1"/>
        </w:numPr>
        <w:spacing w:line="360" w:lineRule="auto"/>
        <w:jc w:val="both"/>
        <w:rPr>
          <w:rFonts w:ascii="Times New Roman" w:hAnsi="Times New Roman" w:cs="Times New Roman"/>
          <w:sz w:val="24"/>
          <w:szCs w:val="24"/>
        </w:rPr>
      </w:pPr>
      <w:proofErr w:type="gramStart"/>
      <w:r w:rsidRPr="000D2BD8">
        <w:rPr>
          <w:rFonts w:ascii="Times New Roman" w:hAnsi="Times New Roman" w:cs="Times New Roman"/>
          <w:sz w:val="24"/>
          <w:szCs w:val="24"/>
        </w:rPr>
        <w:t>That</w:t>
      </w:r>
      <w:proofErr w:type="gramEnd"/>
      <w:r w:rsidRPr="000D2BD8">
        <w:rPr>
          <w:rFonts w:ascii="Times New Roman" w:hAnsi="Times New Roman" w:cs="Times New Roman"/>
          <w:sz w:val="24"/>
          <w:szCs w:val="24"/>
        </w:rPr>
        <w:t xml:space="preserve"> temporary injunctions are discretionary orders and therefore all the facts of the case must be considered and balanced judiciously.</w:t>
      </w:r>
    </w:p>
    <w:p w:rsidR="00E639DC" w:rsidRPr="000D2BD8" w:rsidRDefault="00E639DC" w:rsidP="00E639DC">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That the same being an exercise of judicial discretion, there are no fixed rules and the vetting may be kept flexible.</w:t>
      </w:r>
    </w:p>
    <w:p w:rsidR="00E639DC" w:rsidRPr="000D2BD8" w:rsidRDefault="00E639DC" w:rsidP="00E639DC">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The court should not attempt to resolve issues related to the main suit:</w:t>
      </w:r>
    </w:p>
    <w:p w:rsidR="00E639DC" w:rsidRPr="000D2BD8" w:rsidRDefault="00E639DC" w:rsidP="00E639DC">
      <w:pPr>
        <w:pStyle w:val="ListParagraph"/>
        <w:spacing w:line="360" w:lineRule="auto"/>
        <w:jc w:val="both"/>
        <w:rPr>
          <w:rFonts w:ascii="Times New Roman" w:hAnsi="Times New Roman" w:cs="Times New Roman"/>
          <w:b/>
          <w:sz w:val="24"/>
          <w:szCs w:val="24"/>
        </w:rPr>
      </w:pPr>
      <w:r w:rsidRPr="000D2BD8">
        <w:rPr>
          <w:rFonts w:ascii="Times New Roman" w:hAnsi="Times New Roman" w:cs="Times New Roman"/>
          <w:sz w:val="24"/>
          <w:szCs w:val="24"/>
        </w:rPr>
        <w:lastRenderedPageBreak/>
        <w:t xml:space="preserve">See:  </w:t>
      </w:r>
      <w:r w:rsidRPr="000D2BD8">
        <w:rPr>
          <w:rFonts w:ascii="Times New Roman" w:hAnsi="Times New Roman" w:cs="Times New Roman"/>
          <w:b/>
          <w:sz w:val="24"/>
          <w:szCs w:val="24"/>
        </w:rPr>
        <w:t xml:space="preserve">Prof. Peter Anyang Nyo &amp; Ors Vs TheAttorney General of Kenya &amp; Ors; East African Court of Justice Case Ref. No. 1 of 2006 </w:t>
      </w:r>
      <w:r w:rsidRPr="000D2BD8">
        <w:rPr>
          <w:rFonts w:ascii="Times New Roman" w:hAnsi="Times New Roman" w:cs="Times New Roman"/>
          <w:sz w:val="24"/>
          <w:szCs w:val="24"/>
        </w:rPr>
        <w:t>(unreported).</w:t>
      </w:r>
    </w:p>
    <w:p w:rsidR="00E639DC" w:rsidRPr="000D2BD8" w:rsidRDefault="00E639DC" w:rsidP="00E639DC">
      <w:pPr>
        <w:spacing w:line="360" w:lineRule="auto"/>
        <w:jc w:val="both"/>
        <w:rPr>
          <w:rFonts w:ascii="Times New Roman" w:hAnsi="Times New Roman"/>
          <w:sz w:val="24"/>
          <w:szCs w:val="24"/>
        </w:rPr>
      </w:pPr>
      <w:r w:rsidRPr="000D2BD8">
        <w:rPr>
          <w:rFonts w:ascii="Times New Roman" w:hAnsi="Times New Roman"/>
          <w:sz w:val="24"/>
          <w:szCs w:val="24"/>
        </w:rPr>
        <w:t xml:space="preserve">A prima facie case with a probability of success is no more than that the court must be satisfied that there is a serious question to be tried. In the case of </w:t>
      </w:r>
      <w:r w:rsidRPr="000D2BD8">
        <w:rPr>
          <w:rFonts w:ascii="Times New Roman" w:hAnsi="Times New Roman"/>
          <w:b/>
          <w:sz w:val="24"/>
          <w:szCs w:val="24"/>
        </w:rPr>
        <w:t>Robert Kavuma Vs M/S Hotel International SCCA No.8 of 1990</w:t>
      </w:r>
      <w:r w:rsidRPr="000D2BD8">
        <w:rPr>
          <w:rFonts w:ascii="Times New Roman" w:hAnsi="Times New Roman"/>
          <w:sz w:val="24"/>
          <w:szCs w:val="24"/>
        </w:rPr>
        <w:t xml:space="preserve">Wambuzi C J (as he then was) stated that the applicant is required at this stage of trial to show a </w:t>
      </w:r>
      <w:r w:rsidRPr="000D2BD8">
        <w:rPr>
          <w:rFonts w:ascii="Times New Roman" w:hAnsi="Times New Roman"/>
          <w:sz w:val="24"/>
          <w:szCs w:val="24"/>
          <w:u w:val="single"/>
        </w:rPr>
        <w:t>prima facie case and a probability of success but not success</w:t>
      </w:r>
      <w:r w:rsidRPr="000D2BD8">
        <w:rPr>
          <w:rFonts w:ascii="Times New Roman" w:hAnsi="Times New Roman"/>
          <w:sz w:val="24"/>
          <w:szCs w:val="24"/>
        </w:rPr>
        <w:t xml:space="preserve">. The rationale given in the per-curium of </w:t>
      </w:r>
      <w:r w:rsidRPr="000D2BD8">
        <w:rPr>
          <w:rFonts w:ascii="Times New Roman" w:hAnsi="Times New Roman"/>
          <w:b/>
          <w:sz w:val="24"/>
          <w:szCs w:val="24"/>
        </w:rPr>
        <w:t xml:space="preserve">Kiyimba Kaggwa </w:t>
      </w:r>
      <w:r w:rsidRPr="000D2BD8">
        <w:rPr>
          <w:rFonts w:ascii="Times New Roman" w:hAnsi="Times New Roman"/>
          <w:sz w:val="24"/>
          <w:szCs w:val="24"/>
        </w:rPr>
        <w:t>(</w:t>
      </w:r>
      <w:r w:rsidRPr="000D2BD8">
        <w:rPr>
          <w:rFonts w:ascii="Times New Roman" w:hAnsi="Times New Roman"/>
          <w:b/>
          <w:sz w:val="24"/>
          <w:szCs w:val="24"/>
        </w:rPr>
        <w:t>supra</w:t>
      </w:r>
      <w:proofErr w:type="gramStart"/>
      <w:r w:rsidRPr="000D2BD8">
        <w:rPr>
          <w:rFonts w:ascii="Times New Roman" w:hAnsi="Times New Roman"/>
          <w:b/>
          <w:sz w:val="24"/>
          <w:szCs w:val="24"/>
        </w:rPr>
        <w:t>),</w:t>
      </w:r>
      <w:proofErr w:type="gramEnd"/>
      <w:r w:rsidRPr="000D2BD8">
        <w:rPr>
          <w:rFonts w:ascii="Times New Roman" w:hAnsi="Times New Roman"/>
          <w:b/>
          <w:sz w:val="24"/>
          <w:szCs w:val="24"/>
        </w:rPr>
        <w:t xml:space="preserve"> </w:t>
      </w:r>
      <w:r w:rsidRPr="000D2BD8">
        <w:rPr>
          <w:rFonts w:ascii="Times New Roman" w:hAnsi="Times New Roman"/>
          <w:sz w:val="24"/>
          <w:szCs w:val="24"/>
        </w:rPr>
        <w:t>is that the evidence at this point (being affidavit evidence) is incomplete and not contested by arguments and cross examination. Case law is to the effect that though the applicant has to satisfy court that there is merit in the case, it does not mean that one should succeed. See for example, Kiyimba</w:t>
      </w:r>
      <w:r w:rsidRPr="000D2BD8">
        <w:rPr>
          <w:rFonts w:ascii="Times New Roman" w:hAnsi="Times New Roman"/>
          <w:b/>
          <w:sz w:val="24"/>
          <w:szCs w:val="24"/>
        </w:rPr>
        <w:t xml:space="preserve"> Kaggwa (supra)</w:t>
      </w:r>
      <w:r w:rsidRPr="000D2BD8">
        <w:rPr>
          <w:rFonts w:ascii="Times New Roman" w:hAnsi="Times New Roman"/>
          <w:sz w:val="24"/>
          <w:szCs w:val="24"/>
        </w:rPr>
        <w:t>.</w:t>
      </w:r>
    </w:p>
    <w:p w:rsidR="00E639DC" w:rsidRPr="000D2BD8" w:rsidRDefault="00E639DC" w:rsidP="00E639DC">
      <w:pPr>
        <w:spacing w:line="360" w:lineRule="auto"/>
        <w:jc w:val="both"/>
        <w:rPr>
          <w:rFonts w:ascii="Times New Roman" w:hAnsi="Times New Roman"/>
          <w:sz w:val="24"/>
          <w:szCs w:val="24"/>
        </w:rPr>
      </w:pPr>
      <w:r w:rsidRPr="000D2BD8">
        <w:rPr>
          <w:rFonts w:ascii="Times New Roman" w:hAnsi="Times New Roman"/>
          <w:sz w:val="24"/>
          <w:szCs w:val="24"/>
        </w:rPr>
        <w:t xml:space="preserve">In the main suit, the applicant is contesting the decision of the respondent to raze down his building on the suit land. His counsel argues that at the time the suit was filed, his client was in possession and occupation of the suit land which is the </w:t>
      </w:r>
      <w:r w:rsidRPr="000D2BD8">
        <w:rPr>
          <w:rFonts w:ascii="Times New Roman" w:hAnsi="Times New Roman"/>
          <w:i/>
          <w:sz w:val="24"/>
          <w:szCs w:val="24"/>
        </w:rPr>
        <w:t>status quo</w:t>
      </w:r>
      <w:r w:rsidRPr="000D2BD8">
        <w:rPr>
          <w:rFonts w:ascii="Times New Roman" w:hAnsi="Times New Roman"/>
          <w:sz w:val="24"/>
          <w:szCs w:val="24"/>
        </w:rPr>
        <w:t xml:space="preserve"> that should be maintained until the matters in controversy are determined. That argument is not controverted and in reply to the suit, as is the case with the application, the respondent argues that  a notice for demolition was issued against the applicant (along with others) on 8/12/14 because the developments on the suit land have no approved plans and were made in contravention of public health laws.   </w:t>
      </w:r>
    </w:p>
    <w:p w:rsidR="00E639DC" w:rsidRPr="000D2BD8" w:rsidRDefault="00E639DC" w:rsidP="00E639DC">
      <w:pPr>
        <w:spacing w:line="360" w:lineRule="auto"/>
        <w:jc w:val="both"/>
        <w:rPr>
          <w:rFonts w:ascii="Times New Roman" w:hAnsi="Times New Roman"/>
          <w:sz w:val="24"/>
          <w:szCs w:val="24"/>
        </w:rPr>
      </w:pPr>
      <w:r w:rsidRPr="000D2BD8">
        <w:rPr>
          <w:rFonts w:ascii="Times New Roman" w:hAnsi="Times New Roman"/>
          <w:sz w:val="24"/>
          <w:szCs w:val="24"/>
        </w:rPr>
        <w:t xml:space="preserve">In my view, the arguments made for the applicant raise serious issues that would require investigation by the court especially where the applicant stands to lose valuable property by demolition as indicated in the respondent’s notice. That said, I must not  be blind to the fact that although the issues to be determined in the main suit cannot  not exhausted in these proceedings, at a minimum, the applicant must show that he has a legal right to protect and that his suit is not frivolous and vexatious. I thereby find relevant the decision in </w:t>
      </w:r>
      <w:r w:rsidRPr="000D2BD8">
        <w:rPr>
          <w:rFonts w:ascii="Times New Roman" w:hAnsi="Times New Roman"/>
          <w:b/>
          <w:sz w:val="24"/>
          <w:szCs w:val="24"/>
        </w:rPr>
        <w:t>Godfrey Sekitoleko&amp; Ors VS Seezi Mutabazi [2001-2005] HCB Vol.380 that;</w:t>
      </w:r>
    </w:p>
    <w:p w:rsidR="00E639DC" w:rsidRPr="000D2BD8" w:rsidRDefault="00E639DC" w:rsidP="00E639DC">
      <w:pPr>
        <w:spacing w:line="360" w:lineRule="auto"/>
        <w:ind w:left="720"/>
        <w:jc w:val="both"/>
        <w:rPr>
          <w:rFonts w:ascii="Times New Roman" w:hAnsi="Times New Roman"/>
          <w:sz w:val="24"/>
          <w:szCs w:val="24"/>
        </w:rPr>
      </w:pPr>
      <w:r w:rsidRPr="000D2BD8">
        <w:rPr>
          <w:rFonts w:ascii="Times New Roman" w:hAnsi="Times New Roman"/>
          <w:sz w:val="24"/>
          <w:szCs w:val="24"/>
        </w:rPr>
        <w:t>“</w:t>
      </w:r>
      <w:r w:rsidRPr="000D2BD8">
        <w:rPr>
          <w:rFonts w:ascii="Times New Roman" w:hAnsi="Times New Roman"/>
          <w:i/>
          <w:sz w:val="24"/>
          <w:szCs w:val="24"/>
        </w:rPr>
        <w:t xml:space="preserve">The court has a duty to protect the interests of parties pending the disposal of the substantive suit. The subject matter of a temporary injunction is the protection of legal rights pending litigation. </w:t>
      </w:r>
      <w:proofErr w:type="gramStart"/>
      <w:r w:rsidRPr="000D2BD8">
        <w:rPr>
          <w:rFonts w:ascii="Times New Roman" w:hAnsi="Times New Roman"/>
          <w:sz w:val="24"/>
          <w:szCs w:val="24"/>
        </w:rPr>
        <w:t>(Emphasis in this court).</w:t>
      </w:r>
      <w:proofErr w:type="gramEnd"/>
    </w:p>
    <w:p w:rsidR="00E639DC" w:rsidRPr="000D2BD8" w:rsidRDefault="00E639DC" w:rsidP="00E639DC">
      <w:pPr>
        <w:spacing w:line="360" w:lineRule="auto"/>
        <w:jc w:val="both"/>
        <w:rPr>
          <w:rFonts w:ascii="Times New Roman" w:hAnsi="Times New Roman"/>
          <w:sz w:val="24"/>
          <w:szCs w:val="24"/>
        </w:rPr>
      </w:pPr>
      <w:r w:rsidRPr="000D2BD8">
        <w:rPr>
          <w:rFonts w:ascii="Times New Roman" w:hAnsi="Times New Roman"/>
          <w:sz w:val="24"/>
          <w:szCs w:val="24"/>
        </w:rPr>
        <w:lastRenderedPageBreak/>
        <w:t xml:space="preserve">It has been argued by the respondent and borne out of the evidence so far adduced, that the applicant is in fact not the registered proprietor of the land as he claims. Annexure A to his affidavit attests to that fact because the land is registered in the names of another, one Peter Mukasa Kakembo. The attached instrument of transfer is not conclusive for although it mentions those transacting, there is no indication of ownership of the land or for what consideration it is being sold for. That said, the applicant’s occupation of the suit land is not in dispute and he would, as one in occupation, be able to maintain a claim to protect the land from alienation and for compensation in trespass. </w:t>
      </w:r>
    </w:p>
    <w:p w:rsidR="00E639DC" w:rsidRPr="000D2BD8" w:rsidRDefault="00E639DC" w:rsidP="00E639DC">
      <w:pPr>
        <w:spacing w:line="360" w:lineRule="auto"/>
        <w:jc w:val="both"/>
        <w:rPr>
          <w:rFonts w:ascii="Times New Roman" w:hAnsi="Times New Roman"/>
          <w:sz w:val="24"/>
          <w:szCs w:val="24"/>
        </w:rPr>
      </w:pPr>
      <w:r w:rsidRPr="000D2BD8">
        <w:rPr>
          <w:rFonts w:ascii="Times New Roman" w:hAnsi="Times New Roman"/>
          <w:sz w:val="24"/>
          <w:szCs w:val="24"/>
        </w:rPr>
        <w:t xml:space="preserve">I notice however, that the applicant’s principle argument is that he bought the suit land after the developments were already erected and that there is no encroachment on any road as his developments are built along a pathway.  His counsel takes this argument further when he submits that that no deed plan has yet been adduced to show that the developments were made on a pre-existing road or that,  there would be compensation payable to his client in case one is planned in the area. In reply, it is argued for the respondent that the current ownership of the suit land or its developments are not in issue and would in fact be irrelevant for purposes of the relevant physical planning and public health laws.    It is explained that, once the developments on any land have been found to be without building plans and in contravention of the aforementioned laws, they must be removed by the owner, or them failing, demolished by the respondent. The agent of the respondent argues further that, the notice was not issued because the developments were built in a road or road reserve and the word “road” appearing in the notice was only meant to be descriptive to give an address to their location. </w:t>
      </w:r>
    </w:p>
    <w:p w:rsidR="00E639DC" w:rsidRPr="000D2BD8" w:rsidRDefault="00E639DC" w:rsidP="00E639DC">
      <w:pPr>
        <w:spacing w:line="360" w:lineRule="auto"/>
        <w:jc w:val="both"/>
        <w:rPr>
          <w:rFonts w:ascii="Times New Roman" w:hAnsi="Times New Roman"/>
          <w:sz w:val="24"/>
          <w:szCs w:val="24"/>
        </w:rPr>
      </w:pPr>
      <w:r w:rsidRPr="000D2BD8">
        <w:rPr>
          <w:rFonts w:ascii="Times New Roman" w:hAnsi="Times New Roman"/>
          <w:sz w:val="24"/>
          <w:szCs w:val="24"/>
        </w:rPr>
        <w:t xml:space="preserve">Much was said of the powers of the respondent under </w:t>
      </w:r>
      <w:proofErr w:type="gramStart"/>
      <w:r w:rsidRPr="000D2BD8">
        <w:rPr>
          <w:rFonts w:ascii="Times New Roman" w:hAnsi="Times New Roman"/>
          <w:sz w:val="24"/>
          <w:szCs w:val="24"/>
        </w:rPr>
        <w:t>both the</w:t>
      </w:r>
      <w:proofErr w:type="gramEnd"/>
      <w:r w:rsidRPr="000D2BD8">
        <w:rPr>
          <w:rFonts w:ascii="Times New Roman" w:hAnsi="Times New Roman"/>
          <w:sz w:val="24"/>
          <w:szCs w:val="24"/>
        </w:rPr>
        <w:t xml:space="preserve"> Kampala City Authority Act 2010, the Physical Planning Act 2010, the Public Health Act Cap 281 and the rules thereunder. I am not prepared to interpret those laws or determine whether they have been contravened by the applicant at this point, as there will be a danger of devolving into the merits of the suit. However, I do find merit in the respondent’s arguments that the genesis of the notice to the applicant was </w:t>
      </w:r>
      <w:r w:rsidRPr="000D2BD8">
        <w:rPr>
          <w:rFonts w:ascii="Times New Roman" w:hAnsi="Times New Roman"/>
          <w:i/>
          <w:sz w:val="24"/>
          <w:szCs w:val="24"/>
        </w:rPr>
        <w:t>inter alia</w:t>
      </w:r>
      <w:r w:rsidRPr="000D2BD8">
        <w:rPr>
          <w:rFonts w:ascii="Times New Roman" w:hAnsi="Times New Roman"/>
          <w:sz w:val="24"/>
          <w:szCs w:val="24"/>
        </w:rPr>
        <w:t xml:space="preserve"> because he did not have proper approval from the respondent in respect of the existence of the developments on the suit land. At a bare minimum, he is expected to have had building plans or at least to produce them after he was served with the notice. This in my </w:t>
      </w:r>
      <w:proofErr w:type="gramStart"/>
      <w:r w:rsidRPr="000D2BD8">
        <w:rPr>
          <w:rFonts w:ascii="Times New Roman" w:hAnsi="Times New Roman"/>
          <w:sz w:val="24"/>
          <w:szCs w:val="24"/>
        </w:rPr>
        <w:t>view,</w:t>
      </w:r>
      <w:proofErr w:type="gramEnd"/>
      <w:r w:rsidRPr="000D2BD8">
        <w:rPr>
          <w:rFonts w:ascii="Times New Roman" w:hAnsi="Times New Roman"/>
          <w:sz w:val="24"/>
          <w:szCs w:val="24"/>
        </w:rPr>
        <w:t xml:space="preserve"> </w:t>
      </w:r>
      <w:r w:rsidRPr="000D2BD8">
        <w:rPr>
          <w:rFonts w:ascii="Times New Roman" w:hAnsi="Times New Roman"/>
          <w:sz w:val="24"/>
          <w:szCs w:val="24"/>
        </w:rPr>
        <w:lastRenderedPageBreak/>
        <w:t xml:space="preserve">would even put to question whether the status quo ought to be maintained as the substantive disputes between the parties are investigated in the main suit. </w:t>
      </w:r>
    </w:p>
    <w:p w:rsidR="00E639DC" w:rsidRPr="000D2BD8" w:rsidRDefault="00E639DC" w:rsidP="00E639DC">
      <w:pPr>
        <w:spacing w:line="360" w:lineRule="auto"/>
        <w:jc w:val="both"/>
        <w:rPr>
          <w:rFonts w:ascii="Times New Roman" w:hAnsi="Times New Roman"/>
          <w:sz w:val="24"/>
          <w:szCs w:val="24"/>
        </w:rPr>
      </w:pPr>
      <w:r w:rsidRPr="000D2BD8">
        <w:rPr>
          <w:rFonts w:ascii="Times New Roman" w:hAnsi="Times New Roman"/>
          <w:sz w:val="24"/>
          <w:szCs w:val="24"/>
        </w:rPr>
        <w:t xml:space="preserve">The applicant argued further that he will suffer irreparable injury in the event that his developments are razed down and he turns out to be the successful party in the main suit. According to decided cases, irreparable injury is one that is substantial or material, and cannot be adequately compensated in damages. See </w:t>
      </w:r>
      <w:r w:rsidRPr="000D2BD8">
        <w:rPr>
          <w:rFonts w:ascii="Times New Roman" w:hAnsi="Times New Roman"/>
          <w:b/>
          <w:sz w:val="24"/>
          <w:szCs w:val="24"/>
        </w:rPr>
        <w:t>Kiyimba Kaggwa (supra</w:t>
      </w:r>
      <w:r w:rsidRPr="000D2BD8">
        <w:rPr>
          <w:rFonts w:ascii="Times New Roman" w:hAnsi="Times New Roman"/>
          <w:sz w:val="24"/>
          <w:szCs w:val="24"/>
        </w:rPr>
        <w:t>). The court in</w:t>
      </w:r>
      <w:r w:rsidRPr="000D2BD8">
        <w:rPr>
          <w:rFonts w:ascii="Times New Roman" w:hAnsi="Times New Roman"/>
          <w:b/>
          <w:sz w:val="24"/>
          <w:szCs w:val="24"/>
        </w:rPr>
        <w:t>Commodity Trading Industries Vs Uganda Maize Trading Industries [2001-2005</w:t>
      </w:r>
      <w:proofErr w:type="gramStart"/>
      <w:r w:rsidRPr="000D2BD8">
        <w:rPr>
          <w:rFonts w:ascii="Times New Roman" w:hAnsi="Times New Roman"/>
          <w:b/>
          <w:sz w:val="24"/>
          <w:szCs w:val="24"/>
        </w:rPr>
        <w:t>]HCB</w:t>
      </w:r>
      <w:proofErr w:type="gramEnd"/>
      <w:r w:rsidRPr="000D2BD8">
        <w:rPr>
          <w:rFonts w:ascii="Times New Roman" w:hAnsi="Times New Roman"/>
          <w:b/>
          <w:sz w:val="24"/>
          <w:szCs w:val="24"/>
        </w:rPr>
        <w:t xml:space="preserve"> 119</w:t>
      </w:r>
      <w:r w:rsidRPr="000D2BD8">
        <w:rPr>
          <w:rFonts w:ascii="Times New Roman" w:hAnsi="Times New Roman"/>
          <w:sz w:val="24"/>
          <w:szCs w:val="24"/>
        </w:rPr>
        <w:t xml:space="preserve">, was held that this depends on the remedy sought. If damages would not be sufficient to adequately </w:t>
      </w:r>
      <w:proofErr w:type="gramStart"/>
      <w:r w:rsidRPr="000D2BD8">
        <w:rPr>
          <w:rFonts w:ascii="Times New Roman" w:hAnsi="Times New Roman"/>
          <w:sz w:val="24"/>
          <w:szCs w:val="24"/>
        </w:rPr>
        <w:t>atone</w:t>
      </w:r>
      <w:proofErr w:type="gramEnd"/>
      <w:r w:rsidRPr="000D2BD8">
        <w:rPr>
          <w:rFonts w:ascii="Times New Roman" w:hAnsi="Times New Roman"/>
          <w:sz w:val="24"/>
          <w:szCs w:val="24"/>
        </w:rPr>
        <w:t xml:space="preserve"> the injury, an injunction ought not to be refused.</w:t>
      </w:r>
    </w:p>
    <w:p w:rsidR="00E639DC" w:rsidRPr="000D2BD8" w:rsidRDefault="00E639DC" w:rsidP="00E639DC">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Unfortunately not much was given by evidence to explain the state of the developments on the suit land and of what value they are to the applicant or what he stands to lose if they are razed down. What is on record is that those developments are currently the subject of a notice of removal under the Public Health Act, Cap 281 as buildings deemed to be in contravention of that law.    The court is thus unable to determine the extent and severity of the applicant’s loss if this application is denied. </w:t>
      </w:r>
    </w:p>
    <w:p w:rsidR="00E639DC" w:rsidRPr="000D2BD8" w:rsidRDefault="00E639DC" w:rsidP="00E639DC">
      <w:pPr>
        <w:pStyle w:val="ListParagraph"/>
        <w:spacing w:line="360" w:lineRule="auto"/>
        <w:ind w:left="0"/>
        <w:jc w:val="both"/>
        <w:rPr>
          <w:rFonts w:ascii="Times New Roman" w:hAnsi="Times New Roman" w:cs="Times New Roman"/>
          <w:sz w:val="24"/>
          <w:szCs w:val="24"/>
        </w:rPr>
      </w:pPr>
    </w:p>
    <w:p w:rsidR="00E639DC" w:rsidRPr="000D2BD8" w:rsidRDefault="00E639DC" w:rsidP="00E639DC">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Even if the above were not to hold, I have the stronger view that a temporary injunction is an equitable remedy and anyone who approaches the court in equity must likewise do equity. </w:t>
      </w:r>
      <w:proofErr w:type="gramStart"/>
      <w:r w:rsidRPr="000D2BD8">
        <w:rPr>
          <w:rFonts w:ascii="Times New Roman" w:hAnsi="Times New Roman" w:cs="Times New Roman"/>
          <w:sz w:val="24"/>
          <w:szCs w:val="24"/>
        </w:rPr>
        <w:t xml:space="preserve">See </w:t>
      </w:r>
      <w:r w:rsidRPr="000D2BD8">
        <w:rPr>
          <w:rFonts w:ascii="Times New Roman" w:hAnsi="Times New Roman" w:cs="Times New Roman"/>
          <w:b/>
          <w:sz w:val="24"/>
          <w:szCs w:val="24"/>
        </w:rPr>
        <w:t>Herbert Kabunga Traders Vs Stanbic Bank (U) Ltd HCMA 159/2012.</w:t>
      </w:r>
      <w:proofErr w:type="gramEnd"/>
      <w:r w:rsidRPr="000D2BD8">
        <w:rPr>
          <w:rFonts w:ascii="Times New Roman" w:hAnsi="Times New Roman" w:cs="Times New Roman"/>
          <w:b/>
          <w:sz w:val="24"/>
          <w:szCs w:val="24"/>
        </w:rPr>
        <w:t xml:space="preserve"> </w:t>
      </w:r>
      <w:r w:rsidRPr="000D2BD8">
        <w:rPr>
          <w:rFonts w:ascii="Times New Roman" w:hAnsi="Times New Roman" w:cs="Times New Roman"/>
          <w:sz w:val="24"/>
          <w:szCs w:val="24"/>
        </w:rPr>
        <w:t xml:space="preserve">At the time he filed this application, the applicant did not show that he had the proper authority to maintain the developments on his land. It is not in dispute that the respondent has the legal mandate to administer and regulate the presence of those developments on the suit land. I am of the strong view that temporary injunctions were not designed to fetter the powers and functions of bodies similar to the respondent and therefore, issuing a blanket temporary stay to their statutory powers would stifle their operations and give a wrong signal to the public. </w:t>
      </w:r>
    </w:p>
    <w:p w:rsidR="00E639DC" w:rsidRPr="000D2BD8" w:rsidRDefault="00E639DC" w:rsidP="00E639DC">
      <w:pPr>
        <w:spacing w:line="360" w:lineRule="auto"/>
        <w:contextualSpacing/>
        <w:jc w:val="both"/>
        <w:rPr>
          <w:rFonts w:ascii="Times New Roman" w:hAnsi="Times New Roman"/>
          <w:sz w:val="24"/>
          <w:szCs w:val="24"/>
        </w:rPr>
      </w:pPr>
      <w:r w:rsidRPr="000D2BD8">
        <w:rPr>
          <w:rFonts w:ascii="Times New Roman" w:hAnsi="Times New Roman"/>
          <w:sz w:val="24"/>
          <w:szCs w:val="24"/>
        </w:rPr>
        <w:t xml:space="preserve">In conclusion, I am convinced that the applicant has before this court, in the main suit, issues that merit trial. However, I am left in doubt that denying him the injunction will result into irreparable damage. It is therefore necessary to determine whether the balance of convenience lies in his favour to merit the grant of a temporary injunction. It was held in </w:t>
      </w:r>
      <w:r w:rsidRPr="000D2BD8">
        <w:rPr>
          <w:rFonts w:ascii="Times New Roman" w:hAnsi="Times New Roman"/>
          <w:b/>
          <w:sz w:val="24"/>
          <w:szCs w:val="24"/>
        </w:rPr>
        <w:t>Gapco (U) Ltd Vs Kaweesa Badru &amp; Anor Misc. Application 259/13</w:t>
      </w:r>
      <w:r w:rsidRPr="000D2BD8">
        <w:rPr>
          <w:rFonts w:ascii="Times New Roman" w:hAnsi="Times New Roman"/>
          <w:sz w:val="24"/>
          <w:szCs w:val="24"/>
        </w:rPr>
        <w:t xml:space="preserve"> that if the risk of doing an injustice is going </w:t>
      </w:r>
      <w:r w:rsidRPr="000D2BD8">
        <w:rPr>
          <w:rFonts w:ascii="Times New Roman" w:hAnsi="Times New Roman"/>
          <w:sz w:val="24"/>
          <w:szCs w:val="24"/>
        </w:rPr>
        <w:lastRenderedPageBreak/>
        <w:t xml:space="preserve">to make the applicants suffer, then probably the balance of convenience is favorable to him/her and the court would most likely be inclined to grant to him or her the application for a temporary injunction. The applicant is in undisputed possession of the suit land on which he has developments. Likewise, the respondent has the legal mandate to administer, regulate and even sanction noncompliance of certain laws relevant to those developments. In the face of </w:t>
      </w:r>
      <w:proofErr w:type="gramStart"/>
      <w:r w:rsidRPr="000D2BD8">
        <w:rPr>
          <w:rFonts w:ascii="Times New Roman" w:hAnsi="Times New Roman"/>
          <w:sz w:val="24"/>
          <w:szCs w:val="24"/>
        </w:rPr>
        <w:t>conflicting</w:t>
      </w:r>
      <w:proofErr w:type="gramEnd"/>
      <w:r w:rsidRPr="000D2BD8">
        <w:rPr>
          <w:rFonts w:ascii="Times New Roman" w:hAnsi="Times New Roman"/>
          <w:sz w:val="24"/>
          <w:szCs w:val="24"/>
        </w:rPr>
        <w:t xml:space="preserve"> such interests, I am more inclined to maintain the status quo, by granting the temporary injunction. However, because of what I have earlier stated, it is imperative for the applicant to show even at this point, that his developments do not contravene any physical planning and public health laws. </w:t>
      </w:r>
    </w:p>
    <w:p w:rsidR="00E639DC" w:rsidRPr="000D2BD8" w:rsidRDefault="00E639DC" w:rsidP="00E639DC">
      <w:pPr>
        <w:spacing w:line="360" w:lineRule="auto"/>
        <w:contextualSpacing/>
        <w:jc w:val="both"/>
        <w:rPr>
          <w:rFonts w:ascii="Times New Roman" w:hAnsi="Times New Roman"/>
          <w:sz w:val="24"/>
          <w:szCs w:val="24"/>
        </w:rPr>
      </w:pPr>
    </w:p>
    <w:p w:rsidR="00E639DC" w:rsidRPr="000D2BD8" w:rsidRDefault="00E639DC" w:rsidP="00E639DC">
      <w:pPr>
        <w:spacing w:line="360" w:lineRule="auto"/>
        <w:contextualSpacing/>
        <w:jc w:val="both"/>
        <w:rPr>
          <w:rFonts w:ascii="Times New Roman" w:hAnsi="Times New Roman"/>
          <w:sz w:val="24"/>
          <w:szCs w:val="24"/>
        </w:rPr>
      </w:pPr>
      <w:r w:rsidRPr="000D2BD8">
        <w:rPr>
          <w:rFonts w:ascii="Times New Roman" w:hAnsi="Times New Roman"/>
          <w:sz w:val="24"/>
          <w:szCs w:val="24"/>
        </w:rPr>
        <w:t xml:space="preserve">Therefore, the temporary injunction is granted on the condition that the applicant shall within 21 (twenty–one days) hereof, produce for the benefit of this court and the respondent,  proof that he holds approved building plans or any such permit in respect of the developments on the suit land from the respondent. Should he fail to do so, within the time stipulated, the temporary injunction shall automatically </w:t>
      </w:r>
      <w:proofErr w:type="gramStart"/>
      <w:r w:rsidRPr="000D2BD8">
        <w:rPr>
          <w:rFonts w:ascii="Times New Roman" w:hAnsi="Times New Roman"/>
          <w:sz w:val="24"/>
          <w:szCs w:val="24"/>
        </w:rPr>
        <w:t>expire.</w:t>
      </w:r>
      <w:proofErr w:type="gramEnd"/>
      <w:r w:rsidRPr="000D2BD8">
        <w:rPr>
          <w:rFonts w:ascii="Times New Roman" w:hAnsi="Times New Roman"/>
          <w:sz w:val="24"/>
          <w:szCs w:val="24"/>
        </w:rPr>
        <w:t xml:space="preserve"> He is of course at liberty to pursue the merits of his claim in the main suit.</w:t>
      </w:r>
    </w:p>
    <w:p w:rsidR="00E639DC" w:rsidRPr="000D2BD8" w:rsidRDefault="00E639DC" w:rsidP="00E639DC">
      <w:pPr>
        <w:spacing w:line="360" w:lineRule="auto"/>
        <w:contextualSpacing/>
        <w:jc w:val="both"/>
        <w:rPr>
          <w:rFonts w:ascii="Times New Roman" w:hAnsi="Times New Roman"/>
          <w:sz w:val="24"/>
          <w:szCs w:val="24"/>
        </w:rPr>
      </w:pPr>
    </w:p>
    <w:p w:rsidR="00E639DC" w:rsidRPr="000D2BD8" w:rsidRDefault="00E639DC" w:rsidP="00E639DC">
      <w:pPr>
        <w:spacing w:line="360" w:lineRule="auto"/>
        <w:contextualSpacing/>
        <w:jc w:val="both"/>
        <w:rPr>
          <w:rFonts w:ascii="Times New Roman" w:hAnsi="Times New Roman"/>
          <w:sz w:val="24"/>
          <w:szCs w:val="24"/>
        </w:rPr>
      </w:pPr>
      <w:r w:rsidRPr="000D2BD8">
        <w:rPr>
          <w:rFonts w:ascii="Times New Roman" w:hAnsi="Times New Roman"/>
          <w:sz w:val="24"/>
          <w:szCs w:val="24"/>
        </w:rPr>
        <w:t>Since at this point of the proceedings the parties have been found to be evenly placed, I order that each party bears their costs of the application.</w:t>
      </w:r>
    </w:p>
    <w:p w:rsidR="00E639DC" w:rsidRPr="000D2BD8" w:rsidRDefault="00E639DC" w:rsidP="00E639DC">
      <w:pPr>
        <w:spacing w:line="360" w:lineRule="auto"/>
        <w:contextualSpacing/>
        <w:jc w:val="both"/>
        <w:rPr>
          <w:rFonts w:ascii="Times New Roman" w:hAnsi="Times New Roman"/>
          <w:sz w:val="24"/>
          <w:szCs w:val="24"/>
        </w:rPr>
      </w:pPr>
    </w:p>
    <w:p w:rsidR="00E639DC" w:rsidRPr="000D2BD8" w:rsidRDefault="00E639DC" w:rsidP="00E639DC">
      <w:pPr>
        <w:spacing w:line="360" w:lineRule="auto"/>
        <w:jc w:val="both"/>
        <w:rPr>
          <w:rFonts w:ascii="Times New Roman" w:hAnsi="Times New Roman"/>
          <w:sz w:val="24"/>
          <w:szCs w:val="24"/>
        </w:rPr>
      </w:pPr>
      <w:r w:rsidRPr="000D2BD8">
        <w:rPr>
          <w:rFonts w:ascii="Times New Roman" w:hAnsi="Times New Roman"/>
          <w:sz w:val="24"/>
          <w:szCs w:val="24"/>
        </w:rPr>
        <w:t>I so order.</w:t>
      </w:r>
    </w:p>
    <w:p w:rsidR="00E639DC" w:rsidRPr="000D2BD8" w:rsidRDefault="00E639DC" w:rsidP="00E639DC">
      <w:pPr>
        <w:spacing w:line="360" w:lineRule="auto"/>
        <w:jc w:val="both"/>
        <w:rPr>
          <w:rFonts w:ascii="Times New Roman" w:hAnsi="Times New Roman"/>
          <w:sz w:val="24"/>
          <w:szCs w:val="24"/>
        </w:rPr>
      </w:pPr>
    </w:p>
    <w:p w:rsidR="00E639DC" w:rsidRPr="000D2BD8" w:rsidRDefault="00E639DC" w:rsidP="00E639DC">
      <w:pPr>
        <w:spacing w:line="360" w:lineRule="auto"/>
        <w:jc w:val="both"/>
        <w:rPr>
          <w:rFonts w:ascii="Times New Roman" w:hAnsi="Times New Roman"/>
          <w:sz w:val="24"/>
          <w:szCs w:val="24"/>
        </w:rPr>
      </w:pPr>
    </w:p>
    <w:p w:rsidR="00E639DC" w:rsidRPr="000D2BD8" w:rsidRDefault="00E639DC" w:rsidP="00E639DC">
      <w:pPr>
        <w:pStyle w:val="NoSpacing"/>
        <w:rPr>
          <w:rFonts w:ascii="Times New Roman" w:hAnsi="Times New Roman"/>
          <w:b/>
          <w:sz w:val="24"/>
          <w:szCs w:val="24"/>
        </w:rPr>
      </w:pPr>
      <w:r w:rsidRPr="000D2BD8">
        <w:rPr>
          <w:rFonts w:ascii="Times New Roman" w:hAnsi="Times New Roman"/>
          <w:b/>
          <w:sz w:val="24"/>
          <w:szCs w:val="24"/>
        </w:rPr>
        <w:t>EVA K. LUSWATA</w:t>
      </w:r>
    </w:p>
    <w:p w:rsidR="00E639DC" w:rsidRPr="000D2BD8" w:rsidRDefault="00E639DC" w:rsidP="00E639DC">
      <w:pPr>
        <w:pStyle w:val="NoSpacing"/>
        <w:rPr>
          <w:rFonts w:ascii="Times New Roman" w:hAnsi="Times New Roman"/>
          <w:b/>
          <w:sz w:val="24"/>
          <w:szCs w:val="24"/>
        </w:rPr>
      </w:pPr>
      <w:r w:rsidRPr="000D2BD8">
        <w:rPr>
          <w:rFonts w:ascii="Times New Roman" w:hAnsi="Times New Roman"/>
          <w:b/>
          <w:sz w:val="24"/>
          <w:szCs w:val="24"/>
        </w:rPr>
        <w:t>JUDGE</w:t>
      </w:r>
    </w:p>
    <w:p w:rsidR="00E639DC" w:rsidRPr="000D2BD8" w:rsidRDefault="00E639DC" w:rsidP="00E639DC">
      <w:pPr>
        <w:spacing w:line="360" w:lineRule="auto"/>
        <w:jc w:val="both"/>
        <w:rPr>
          <w:rFonts w:ascii="Times New Roman" w:hAnsi="Times New Roman"/>
          <w:b/>
          <w:sz w:val="24"/>
          <w:szCs w:val="24"/>
        </w:rPr>
      </w:pPr>
      <w:r w:rsidRPr="000D2BD8">
        <w:rPr>
          <w:rFonts w:ascii="Times New Roman" w:hAnsi="Times New Roman"/>
          <w:b/>
          <w:sz w:val="24"/>
          <w:szCs w:val="24"/>
        </w:rPr>
        <w:t>14/07/2016</w:t>
      </w:r>
    </w:p>
    <w:p w:rsidR="00E639DC" w:rsidRPr="000D2BD8" w:rsidRDefault="00E639DC" w:rsidP="00E639DC">
      <w:pPr>
        <w:pStyle w:val="ListParagraph"/>
        <w:spacing w:line="360" w:lineRule="auto"/>
        <w:ind w:left="0"/>
        <w:jc w:val="both"/>
        <w:rPr>
          <w:rFonts w:ascii="Times New Roman" w:hAnsi="Times New Roman" w:cs="Times New Roman"/>
          <w:sz w:val="24"/>
          <w:szCs w:val="24"/>
        </w:rPr>
      </w:pPr>
    </w:p>
    <w:p w:rsidR="00E639DC" w:rsidRPr="000D2BD8" w:rsidRDefault="00E639DC" w:rsidP="00E639DC">
      <w:pPr>
        <w:rPr>
          <w:rFonts w:ascii="Times New Roman" w:hAnsi="Times New Roman"/>
          <w:sz w:val="24"/>
          <w:szCs w:val="24"/>
        </w:rPr>
      </w:pPr>
    </w:p>
    <w:p w:rsidR="00D752AD" w:rsidRDefault="00D752AD"/>
    <w:sectPr w:rsidR="00D7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5709A"/>
    <w:multiLevelType w:val="hybridMultilevel"/>
    <w:tmpl w:val="1E0C2A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63C9C"/>
    <w:multiLevelType w:val="hybridMultilevel"/>
    <w:tmpl w:val="29F60D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776708F"/>
    <w:multiLevelType w:val="hybridMultilevel"/>
    <w:tmpl w:val="F3A832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DC"/>
    <w:rsid w:val="00D752AD"/>
    <w:rsid w:val="00E6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9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9DC"/>
    <w:pPr>
      <w:spacing w:after="0" w:line="240" w:lineRule="auto"/>
    </w:pPr>
    <w:rPr>
      <w:rFonts w:ascii="Calibri" w:eastAsia="Calibri" w:hAnsi="Calibri" w:cs="Times New Roman"/>
    </w:rPr>
  </w:style>
  <w:style w:type="paragraph" w:styleId="ListParagraph">
    <w:name w:val="List Paragraph"/>
    <w:basedOn w:val="Normal"/>
    <w:uiPriority w:val="34"/>
    <w:qFormat/>
    <w:rsid w:val="00E639DC"/>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9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9DC"/>
    <w:pPr>
      <w:spacing w:after="0" w:line="240" w:lineRule="auto"/>
    </w:pPr>
    <w:rPr>
      <w:rFonts w:ascii="Calibri" w:eastAsia="Calibri" w:hAnsi="Calibri" w:cs="Times New Roman"/>
    </w:rPr>
  </w:style>
  <w:style w:type="paragraph" w:styleId="ListParagraph">
    <w:name w:val="List Paragraph"/>
    <w:basedOn w:val="Normal"/>
    <w:uiPriority w:val="34"/>
    <w:qFormat/>
    <w:rsid w:val="00E639D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2017-02-02T08:16:00Z</dcterms:created>
  <dcterms:modified xsi:type="dcterms:W3CDTF">2017-02-02T08:17:00Z</dcterms:modified>
</cp:coreProperties>
</file>