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E1" w:rsidRPr="000D2BD8" w:rsidRDefault="004A29E1" w:rsidP="004A29E1">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4A29E1" w:rsidRPr="000D2BD8" w:rsidRDefault="004A29E1" w:rsidP="004A29E1">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4A29E1" w:rsidRPr="000D2BD8" w:rsidRDefault="004A29E1" w:rsidP="004A29E1">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4A29E1" w:rsidRPr="000D2BD8" w:rsidRDefault="004A29E1" w:rsidP="004A29E1">
      <w:pPr>
        <w:pStyle w:val="NoSpacing"/>
        <w:jc w:val="center"/>
        <w:rPr>
          <w:rFonts w:ascii="Times New Roman" w:hAnsi="Times New Roman"/>
          <w:b/>
          <w:sz w:val="24"/>
          <w:szCs w:val="24"/>
        </w:rPr>
      </w:pPr>
      <w:proofErr w:type="gramStart"/>
      <w:r w:rsidRPr="000D2BD8">
        <w:rPr>
          <w:rFonts w:ascii="Times New Roman" w:hAnsi="Times New Roman"/>
          <w:b/>
          <w:sz w:val="24"/>
          <w:szCs w:val="24"/>
        </w:rPr>
        <w:t>MISC. APPLICATION NO.</w:t>
      </w:r>
      <w:proofErr w:type="gramEnd"/>
      <w:r w:rsidRPr="000D2BD8">
        <w:rPr>
          <w:rFonts w:ascii="Times New Roman" w:hAnsi="Times New Roman"/>
          <w:b/>
          <w:sz w:val="24"/>
          <w:szCs w:val="24"/>
        </w:rPr>
        <w:t xml:space="preserve"> 841 OF 2014</w:t>
      </w:r>
    </w:p>
    <w:p w:rsidR="004A29E1" w:rsidRPr="000D2BD8" w:rsidRDefault="004A29E1" w:rsidP="004A29E1">
      <w:pPr>
        <w:pStyle w:val="NoSpacing"/>
        <w:jc w:val="center"/>
        <w:rPr>
          <w:rFonts w:ascii="Times New Roman" w:hAnsi="Times New Roman"/>
          <w:b/>
          <w:sz w:val="24"/>
          <w:szCs w:val="24"/>
        </w:rPr>
      </w:pPr>
      <w:r w:rsidRPr="000D2BD8">
        <w:rPr>
          <w:rFonts w:ascii="Times New Roman" w:hAnsi="Times New Roman"/>
          <w:b/>
          <w:sz w:val="24"/>
          <w:szCs w:val="24"/>
        </w:rPr>
        <w:t>(ARISING FROM MIS.CAUSE NO. 841 OF 2014)</w:t>
      </w:r>
    </w:p>
    <w:p w:rsidR="004A29E1" w:rsidRPr="000D2BD8" w:rsidRDefault="004A29E1" w:rsidP="004A29E1">
      <w:pPr>
        <w:pStyle w:val="NoSpacing"/>
        <w:jc w:val="center"/>
        <w:rPr>
          <w:rFonts w:ascii="Times New Roman" w:hAnsi="Times New Roman"/>
          <w:b/>
          <w:sz w:val="24"/>
          <w:szCs w:val="24"/>
        </w:rPr>
      </w:pPr>
      <w:r w:rsidRPr="000D2BD8">
        <w:rPr>
          <w:rFonts w:ascii="Times New Roman" w:hAnsi="Times New Roman"/>
          <w:b/>
          <w:sz w:val="24"/>
          <w:szCs w:val="24"/>
        </w:rPr>
        <w:t>(ARISING FROM CIVIL SUIT NO. 397 OF 2011)</w:t>
      </w:r>
    </w:p>
    <w:p w:rsidR="004A29E1" w:rsidRPr="000D2BD8" w:rsidRDefault="004A29E1" w:rsidP="004A29E1">
      <w:pPr>
        <w:pStyle w:val="NoSpacing"/>
        <w:jc w:val="center"/>
        <w:rPr>
          <w:rFonts w:ascii="Times New Roman" w:hAnsi="Times New Roman"/>
          <w:b/>
          <w:sz w:val="24"/>
          <w:szCs w:val="24"/>
        </w:rPr>
      </w:pPr>
    </w:p>
    <w:p w:rsidR="004A29E1" w:rsidRPr="000D2BD8" w:rsidRDefault="004A29E1" w:rsidP="004A29E1">
      <w:pPr>
        <w:pStyle w:val="NoSpacing"/>
        <w:numPr>
          <w:ilvl w:val="0"/>
          <w:numId w:val="2"/>
        </w:numPr>
        <w:rPr>
          <w:rFonts w:ascii="Times New Roman" w:hAnsi="Times New Roman"/>
          <w:b/>
          <w:sz w:val="24"/>
          <w:szCs w:val="24"/>
        </w:rPr>
      </w:pPr>
      <w:r w:rsidRPr="000D2BD8">
        <w:rPr>
          <w:rFonts w:ascii="Times New Roman" w:hAnsi="Times New Roman"/>
          <w:b/>
          <w:noProof/>
          <w:sz w:val="24"/>
          <w:szCs w:val="24"/>
        </w:rPr>
        <w:t xml:space="preserve">BETTY KITO SEMPANDA </w:t>
      </w:r>
    </w:p>
    <w:p w:rsidR="004A29E1" w:rsidRPr="000D2BD8" w:rsidRDefault="004A29E1" w:rsidP="004A29E1">
      <w:pPr>
        <w:pStyle w:val="NoSpacing"/>
        <w:numPr>
          <w:ilvl w:val="0"/>
          <w:numId w:val="2"/>
        </w:numPr>
        <w:rPr>
          <w:rFonts w:ascii="Times New Roman" w:hAnsi="Times New Roman"/>
          <w:b/>
          <w:sz w:val="24"/>
          <w:szCs w:val="24"/>
        </w:rPr>
      </w:pPr>
      <w:r w:rsidRPr="000D2BD8">
        <w:rPr>
          <w:rFonts w:ascii="Times New Roman" w:hAnsi="Times New Roman"/>
          <w:b/>
          <w:noProof/>
          <w:sz w:val="24"/>
          <w:szCs w:val="24"/>
        </w:rPr>
        <w:t xml:space="preserve">JOHN KIVUMU </w:t>
      </w:r>
    </w:p>
    <w:p w:rsidR="004A29E1" w:rsidRPr="000D2BD8" w:rsidRDefault="004A29E1" w:rsidP="004A29E1">
      <w:pPr>
        <w:pStyle w:val="NoSpacing"/>
        <w:rPr>
          <w:rFonts w:ascii="Times New Roman" w:hAnsi="Times New Roman"/>
          <w:b/>
          <w:sz w:val="24"/>
          <w:szCs w:val="24"/>
        </w:rPr>
      </w:pPr>
      <w:r w:rsidRPr="000D2BD8">
        <w:rPr>
          <w:rFonts w:ascii="Times New Roman" w:hAnsi="Times New Roman"/>
          <w:b/>
          <w:noProof/>
          <w:sz w:val="24"/>
          <w:szCs w:val="24"/>
        </w:rPr>
        <w:t>MOSES MUKIIBI</w:t>
      </w:r>
      <w:r w:rsidRPr="000D2BD8">
        <w:rPr>
          <w:rFonts w:ascii="Times New Roman" w:hAnsi="Times New Roman"/>
          <w:b/>
          <w:sz w:val="24"/>
          <w:szCs w:val="24"/>
        </w:rPr>
        <w:t>…</w:t>
      </w:r>
      <w:r>
        <w:rPr>
          <w:rFonts w:ascii="Times New Roman" w:hAnsi="Times New Roman"/>
          <w:b/>
          <w:sz w:val="24"/>
          <w:szCs w:val="24"/>
        </w:rPr>
        <w:t>…………………………….................</w:t>
      </w:r>
      <w:r w:rsidRPr="000D2BD8">
        <w:rPr>
          <w:rFonts w:ascii="Times New Roman" w:hAnsi="Times New Roman"/>
          <w:b/>
          <w:sz w:val="24"/>
          <w:szCs w:val="24"/>
        </w:rPr>
        <w:t>...................... APPLICANTS</w:t>
      </w:r>
    </w:p>
    <w:p w:rsidR="004A29E1" w:rsidRPr="000D2BD8" w:rsidRDefault="004A29E1" w:rsidP="004A29E1">
      <w:pPr>
        <w:pStyle w:val="NoSpacing"/>
        <w:rPr>
          <w:rFonts w:ascii="Times New Roman" w:hAnsi="Times New Roman"/>
          <w:b/>
          <w:noProof/>
          <w:sz w:val="24"/>
          <w:szCs w:val="24"/>
        </w:rPr>
      </w:pPr>
      <w:r w:rsidRPr="000D2BD8">
        <w:rPr>
          <w:rFonts w:ascii="Times New Roman" w:hAnsi="Times New Roman"/>
          <w:b/>
          <w:noProof/>
          <w:sz w:val="24"/>
          <w:szCs w:val="24"/>
        </w:rPr>
        <w:t>(</w:t>
      </w:r>
      <w:r w:rsidRPr="000D2BD8">
        <w:rPr>
          <w:rFonts w:ascii="Times New Roman" w:hAnsi="Times New Roman"/>
          <w:b/>
          <w:i/>
          <w:noProof/>
          <w:sz w:val="24"/>
          <w:szCs w:val="24"/>
        </w:rPr>
        <w:t>Admministratoros of the estate of the late GodfreySemakula Sempanda</w:t>
      </w:r>
      <w:r w:rsidRPr="000D2BD8">
        <w:rPr>
          <w:rFonts w:ascii="Times New Roman" w:hAnsi="Times New Roman"/>
          <w:b/>
          <w:noProof/>
          <w:sz w:val="24"/>
          <w:szCs w:val="24"/>
        </w:rPr>
        <w:t xml:space="preserve">)    </w:t>
      </w:r>
    </w:p>
    <w:p w:rsidR="004A29E1" w:rsidRPr="000D2BD8" w:rsidRDefault="004A29E1" w:rsidP="004A29E1">
      <w:pPr>
        <w:pStyle w:val="NoSpacing"/>
        <w:rPr>
          <w:rFonts w:ascii="Times New Roman" w:hAnsi="Times New Roman"/>
          <w:b/>
          <w:i/>
          <w:noProof/>
          <w:sz w:val="24"/>
          <w:szCs w:val="24"/>
        </w:rPr>
      </w:pPr>
    </w:p>
    <w:p w:rsidR="004A29E1" w:rsidRPr="000D2BD8" w:rsidRDefault="004A29E1" w:rsidP="004A29E1">
      <w:pPr>
        <w:pStyle w:val="NoSpacing"/>
        <w:ind w:left="720"/>
        <w:jc w:val="center"/>
        <w:rPr>
          <w:rFonts w:ascii="Times New Roman" w:hAnsi="Times New Roman"/>
          <w:b/>
          <w:sz w:val="24"/>
          <w:szCs w:val="24"/>
        </w:rPr>
      </w:pPr>
      <w:r w:rsidRPr="000D2BD8">
        <w:rPr>
          <w:rFonts w:ascii="Times New Roman" w:hAnsi="Times New Roman"/>
          <w:b/>
          <w:sz w:val="24"/>
          <w:szCs w:val="24"/>
        </w:rPr>
        <w:t>VERSUS</w:t>
      </w:r>
    </w:p>
    <w:p w:rsidR="004A29E1" w:rsidRPr="000D2BD8" w:rsidRDefault="004A29E1" w:rsidP="004A29E1">
      <w:pPr>
        <w:pStyle w:val="NoSpacing"/>
        <w:ind w:left="720"/>
        <w:jc w:val="center"/>
        <w:rPr>
          <w:rFonts w:ascii="Times New Roman" w:hAnsi="Times New Roman"/>
          <w:b/>
          <w:sz w:val="24"/>
          <w:szCs w:val="24"/>
        </w:rPr>
      </w:pPr>
    </w:p>
    <w:p w:rsidR="004A29E1" w:rsidRPr="000D2BD8" w:rsidRDefault="004A29E1" w:rsidP="004A29E1">
      <w:pPr>
        <w:pStyle w:val="NoSpacing"/>
        <w:numPr>
          <w:ilvl w:val="0"/>
          <w:numId w:val="1"/>
        </w:numPr>
        <w:rPr>
          <w:rFonts w:ascii="Times New Roman" w:hAnsi="Times New Roman"/>
          <w:b/>
          <w:sz w:val="24"/>
          <w:szCs w:val="24"/>
        </w:rPr>
      </w:pPr>
      <w:r w:rsidRPr="000D2BD8">
        <w:rPr>
          <w:rFonts w:ascii="Times New Roman" w:hAnsi="Times New Roman"/>
          <w:b/>
          <w:noProof/>
          <w:sz w:val="24"/>
          <w:szCs w:val="24"/>
        </w:rPr>
        <w:t xml:space="preserve">U-TURN SERVICES LIMITED </w:t>
      </w:r>
    </w:p>
    <w:p w:rsidR="004A29E1" w:rsidRPr="000D2BD8" w:rsidRDefault="004A29E1" w:rsidP="004A29E1">
      <w:pPr>
        <w:pStyle w:val="NoSpacing"/>
        <w:numPr>
          <w:ilvl w:val="0"/>
          <w:numId w:val="1"/>
        </w:numPr>
        <w:rPr>
          <w:rFonts w:ascii="Times New Roman" w:hAnsi="Times New Roman"/>
          <w:b/>
          <w:sz w:val="24"/>
          <w:szCs w:val="24"/>
        </w:rPr>
      </w:pPr>
      <w:r w:rsidRPr="000D2BD8">
        <w:rPr>
          <w:rFonts w:ascii="Times New Roman" w:hAnsi="Times New Roman"/>
          <w:b/>
          <w:noProof/>
          <w:sz w:val="24"/>
          <w:szCs w:val="24"/>
        </w:rPr>
        <w:t>EDGA</w:t>
      </w:r>
      <w:r>
        <w:rPr>
          <w:rFonts w:ascii="Times New Roman" w:hAnsi="Times New Roman"/>
          <w:b/>
          <w:noProof/>
          <w:sz w:val="24"/>
          <w:szCs w:val="24"/>
        </w:rPr>
        <w:t>R MUTAMBA KARAZARWE ……………………</w:t>
      </w:r>
      <w:r w:rsidRPr="000D2BD8">
        <w:rPr>
          <w:rFonts w:ascii="Times New Roman" w:hAnsi="Times New Roman"/>
          <w:b/>
          <w:noProof/>
          <w:sz w:val="24"/>
          <w:szCs w:val="24"/>
        </w:rPr>
        <w:t xml:space="preserve">…………. .RESPONDENTS </w:t>
      </w:r>
    </w:p>
    <w:p w:rsidR="004A29E1" w:rsidRPr="000D2BD8" w:rsidRDefault="004A29E1" w:rsidP="004A29E1">
      <w:pPr>
        <w:pStyle w:val="NoSpacing"/>
        <w:ind w:left="360"/>
        <w:rPr>
          <w:rFonts w:ascii="Times New Roman" w:hAnsi="Times New Roman"/>
          <w:b/>
          <w:sz w:val="24"/>
          <w:szCs w:val="24"/>
        </w:rPr>
      </w:pPr>
    </w:p>
    <w:p w:rsidR="004A29E1" w:rsidRPr="000D2BD8" w:rsidRDefault="004A29E1" w:rsidP="004A29E1">
      <w:pPr>
        <w:pStyle w:val="NoSpacing"/>
        <w:jc w:val="center"/>
        <w:rPr>
          <w:rFonts w:ascii="Times New Roman" w:hAnsi="Times New Roman"/>
          <w:b/>
          <w:noProof/>
          <w:sz w:val="24"/>
          <w:szCs w:val="24"/>
          <w:u w:val="single"/>
        </w:rPr>
      </w:pPr>
      <w:r w:rsidRPr="000D2BD8">
        <w:rPr>
          <w:rFonts w:ascii="Times New Roman" w:hAnsi="Times New Roman"/>
          <w:b/>
          <w:noProof/>
          <w:sz w:val="24"/>
          <w:szCs w:val="24"/>
          <w:u w:val="single"/>
        </w:rPr>
        <w:t>RULING</w:t>
      </w:r>
    </w:p>
    <w:p w:rsidR="004A29E1" w:rsidRPr="000D2BD8" w:rsidRDefault="004A29E1" w:rsidP="004A29E1">
      <w:pPr>
        <w:pStyle w:val="NoSpacing"/>
        <w:jc w:val="center"/>
        <w:rPr>
          <w:rFonts w:ascii="Times New Roman" w:hAnsi="Times New Roman"/>
          <w:b/>
          <w:sz w:val="24"/>
          <w:szCs w:val="24"/>
          <w:u w:val="single"/>
        </w:rPr>
      </w:pPr>
    </w:p>
    <w:p w:rsidR="004A29E1" w:rsidRPr="000D2BD8" w:rsidRDefault="004A29E1" w:rsidP="004A29E1">
      <w:pPr>
        <w:jc w:val="center"/>
        <w:rPr>
          <w:rFonts w:ascii="Times New Roman" w:hAnsi="Times New Roman"/>
          <w:b/>
          <w:sz w:val="24"/>
          <w:szCs w:val="24"/>
          <w:u w:val="single"/>
        </w:rPr>
      </w:pPr>
      <w:r w:rsidRPr="000D2BD8">
        <w:rPr>
          <w:rFonts w:ascii="Times New Roman" w:hAnsi="Times New Roman"/>
          <w:b/>
          <w:sz w:val="24"/>
          <w:szCs w:val="24"/>
          <w:u w:val="single"/>
        </w:rPr>
        <w:t xml:space="preserve">BEFORE </w:t>
      </w:r>
      <w:proofErr w:type="gramStart"/>
      <w:r w:rsidRPr="000D2BD8">
        <w:rPr>
          <w:rFonts w:ascii="Times New Roman" w:hAnsi="Times New Roman"/>
          <w:b/>
          <w:sz w:val="24"/>
          <w:szCs w:val="24"/>
          <w:u w:val="single"/>
        </w:rPr>
        <w:t>HONOURABLE  LADY</w:t>
      </w:r>
      <w:proofErr w:type="gramEnd"/>
      <w:r w:rsidRPr="000D2BD8">
        <w:rPr>
          <w:rFonts w:ascii="Times New Roman" w:hAnsi="Times New Roman"/>
          <w:b/>
          <w:sz w:val="24"/>
          <w:szCs w:val="24"/>
          <w:u w:val="single"/>
        </w:rPr>
        <w:t xml:space="preserve"> JUSTICE EVA K. LUSWATA</w:t>
      </w:r>
    </w:p>
    <w:p w:rsidR="004A29E1" w:rsidRPr="000D2BD8" w:rsidRDefault="004A29E1" w:rsidP="004A29E1">
      <w:pPr>
        <w:spacing w:line="360" w:lineRule="auto"/>
        <w:jc w:val="both"/>
        <w:rPr>
          <w:rFonts w:ascii="Times New Roman" w:hAnsi="Times New Roman"/>
          <w:sz w:val="24"/>
          <w:szCs w:val="24"/>
        </w:rPr>
      </w:pPr>
      <w:r w:rsidRPr="000D2BD8">
        <w:rPr>
          <w:rFonts w:ascii="Times New Roman" w:hAnsi="Times New Roman"/>
          <w:sz w:val="24"/>
          <w:szCs w:val="24"/>
        </w:rPr>
        <w:t xml:space="preserve">This application is presented by motion under Section 98 CPA.024 R.1.3 (1) and 12 CPR, seeking an order for the substitution of the applicants for Godfrey </w:t>
      </w:r>
      <w:proofErr w:type="spellStart"/>
      <w:r w:rsidRPr="000D2BD8">
        <w:rPr>
          <w:rFonts w:ascii="Times New Roman" w:hAnsi="Times New Roman"/>
          <w:sz w:val="24"/>
          <w:szCs w:val="24"/>
        </w:rPr>
        <w:t>Semakula</w:t>
      </w:r>
      <w:proofErr w:type="spellEnd"/>
      <w:r w:rsidRPr="000D2BD8">
        <w:rPr>
          <w:rFonts w:ascii="Times New Roman" w:hAnsi="Times New Roman"/>
          <w:sz w:val="24"/>
          <w:szCs w:val="24"/>
        </w:rPr>
        <w:t xml:space="preserve"> in Civil Suit No.397/11 plaintiff and the costs to be provided for.  The application is supported by the affidavit of Betty </w:t>
      </w:r>
      <w:proofErr w:type="spellStart"/>
      <w:r w:rsidRPr="000D2BD8">
        <w:rPr>
          <w:rFonts w:ascii="Times New Roman" w:hAnsi="Times New Roman"/>
          <w:sz w:val="24"/>
          <w:szCs w:val="24"/>
        </w:rPr>
        <w:t>Kityo</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Sempanda</w:t>
      </w:r>
      <w:proofErr w:type="spellEnd"/>
      <w:r w:rsidRPr="000D2BD8">
        <w:rPr>
          <w:rFonts w:ascii="Times New Roman" w:hAnsi="Times New Roman"/>
          <w:sz w:val="24"/>
          <w:szCs w:val="24"/>
        </w:rPr>
        <w:t xml:space="preserve"> the plaintiff’s widow.  There was no response to the application. </w:t>
      </w:r>
      <w:bookmarkStart w:id="0" w:name="_GoBack"/>
      <w:bookmarkEnd w:id="0"/>
    </w:p>
    <w:p w:rsidR="004A29E1" w:rsidRPr="000D2BD8" w:rsidRDefault="004A29E1" w:rsidP="004A29E1">
      <w:pPr>
        <w:spacing w:line="360" w:lineRule="auto"/>
        <w:jc w:val="both"/>
        <w:rPr>
          <w:rFonts w:ascii="Times New Roman" w:hAnsi="Times New Roman"/>
          <w:sz w:val="24"/>
          <w:szCs w:val="24"/>
        </w:rPr>
      </w:pPr>
    </w:p>
    <w:p w:rsidR="004A29E1" w:rsidRPr="000D2BD8" w:rsidRDefault="004A29E1" w:rsidP="004A29E1">
      <w:pPr>
        <w:spacing w:line="360" w:lineRule="auto"/>
        <w:jc w:val="both"/>
        <w:rPr>
          <w:rFonts w:ascii="Times New Roman" w:hAnsi="Times New Roman"/>
          <w:sz w:val="24"/>
          <w:szCs w:val="24"/>
        </w:rPr>
      </w:pPr>
      <w:r w:rsidRPr="000D2BD8">
        <w:rPr>
          <w:rFonts w:ascii="Times New Roman" w:hAnsi="Times New Roman"/>
          <w:sz w:val="24"/>
          <w:szCs w:val="24"/>
        </w:rPr>
        <w:t xml:space="preserve">On 29/4/15, I allowed </w:t>
      </w:r>
      <w:proofErr w:type="spellStart"/>
      <w:r w:rsidRPr="000D2BD8">
        <w:rPr>
          <w:rFonts w:ascii="Times New Roman" w:hAnsi="Times New Roman"/>
          <w:i/>
          <w:sz w:val="24"/>
          <w:szCs w:val="24"/>
        </w:rPr>
        <w:t>exparte</w:t>
      </w:r>
      <w:proofErr w:type="spellEnd"/>
      <w:r w:rsidRPr="000D2BD8">
        <w:rPr>
          <w:rFonts w:ascii="Times New Roman" w:hAnsi="Times New Roman"/>
          <w:sz w:val="24"/>
          <w:szCs w:val="24"/>
        </w:rPr>
        <w:t xml:space="preserve"> proceedings after I was satisfied that the respondents were effectively served with the motion through M/s Joel </w:t>
      </w:r>
      <w:proofErr w:type="spellStart"/>
      <w:r w:rsidRPr="000D2BD8">
        <w:rPr>
          <w:rFonts w:ascii="Times New Roman" w:hAnsi="Times New Roman"/>
          <w:sz w:val="24"/>
          <w:szCs w:val="24"/>
        </w:rPr>
        <w:t>Olweny</w:t>
      </w:r>
      <w:proofErr w:type="spellEnd"/>
      <w:r w:rsidRPr="000D2BD8">
        <w:rPr>
          <w:rFonts w:ascii="Times New Roman" w:hAnsi="Times New Roman"/>
          <w:sz w:val="24"/>
          <w:szCs w:val="24"/>
        </w:rPr>
        <w:t xml:space="preserve"> &amp; Co., Advocates, and their legal representatives.  Counsel for the applicant submitted no oral or written submissions indicating that the application and its supporting affidavit were sufficient. </w:t>
      </w:r>
    </w:p>
    <w:p w:rsidR="004A29E1" w:rsidRPr="000D2BD8" w:rsidRDefault="004A29E1" w:rsidP="004A29E1">
      <w:pPr>
        <w:spacing w:line="360" w:lineRule="auto"/>
        <w:jc w:val="both"/>
        <w:rPr>
          <w:rFonts w:ascii="Times New Roman" w:hAnsi="Times New Roman"/>
          <w:sz w:val="24"/>
          <w:szCs w:val="24"/>
        </w:rPr>
      </w:pPr>
    </w:p>
    <w:p w:rsidR="004A29E1" w:rsidRPr="000D2BD8" w:rsidRDefault="004A29E1" w:rsidP="004A29E1">
      <w:pPr>
        <w:spacing w:line="360" w:lineRule="auto"/>
        <w:jc w:val="both"/>
        <w:rPr>
          <w:rFonts w:ascii="Times New Roman" w:hAnsi="Times New Roman"/>
          <w:sz w:val="24"/>
          <w:szCs w:val="24"/>
        </w:rPr>
      </w:pPr>
      <w:r w:rsidRPr="000D2BD8">
        <w:rPr>
          <w:rFonts w:ascii="Times New Roman" w:hAnsi="Times New Roman"/>
          <w:sz w:val="24"/>
          <w:szCs w:val="24"/>
        </w:rPr>
        <w:t xml:space="preserve">Order 22 CPR makes provision for the substitution of a deceased party in a suit.  This is </w:t>
      </w:r>
      <w:proofErr w:type="gramStart"/>
      <w:r w:rsidRPr="000D2BD8">
        <w:rPr>
          <w:rFonts w:ascii="Times New Roman" w:hAnsi="Times New Roman"/>
          <w:sz w:val="24"/>
          <w:szCs w:val="24"/>
        </w:rPr>
        <w:t>because,</w:t>
      </w:r>
      <w:proofErr w:type="gramEnd"/>
      <w:r w:rsidRPr="000D2BD8">
        <w:rPr>
          <w:rFonts w:ascii="Times New Roman" w:hAnsi="Times New Roman"/>
          <w:sz w:val="24"/>
          <w:szCs w:val="24"/>
        </w:rPr>
        <w:t xml:space="preserve"> the death of a party to a suit does not necessarily cause the cause of action to abate.  Specifically under rule 3 and 12, the legal representatives of the estate of a deceased person who is a party to </w:t>
      </w:r>
      <w:r w:rsidRPr="000D2BD8">
        <w:rPr>
          <w:rFonts w:ascii="Times New Roman" w:hAnsi="Times New Roman"/>
          <w:sz w:val="24"/>
          <w:szCs w:val="24"/>
        </w:rPr>
        <w:lastRenderedPageBreak/>
        <w:t xml:space="preserve">a suit, may, where the cause of action outlives such party, apply to be substituted for such deceased party. </w:t>
      </w:r>
    </w:p>
    <w:p w:rsidR="004A29E1" w:rsidRPr="000D2BD8" w:rsidRDefault="004A29E1" w:rsidP="004A29E1">
      <w:pPr>
        <w:spacing w:line="360" w:lineRule="auto"/>
        <w:jc w:val="both"/>
        <w:rPr>
          <w:rFonts w:ascii="Times New Roman" w:hAnsi="Times New Roman"/>
          <w:sz w:val="24"/>
          <w:szCs w:val="24"/>
        </w:rPr>
      </w:pPr>
    </w:p>
    <w:p w:rsidR="004A29E1" w:rsidRPr="000D2BD8" w:rsidRDefault="004A29E1" w:rsidP="004A29E1">
      <w:pPr>
        <w:spacing w:line="360" w:lineRule="auto"/>
        <w:jc w:val="both"/>
        <w:rPr>
          <w:rFonts w:ascii="Times New Roman" w:hAnsi="Times New Roman"/>
          <w:sz w:val="24"/>
          <w:szCs w:val="24"/>
        </w:rPr>
      </w:pPr>
      <w:r w:rsidRPr="000D2BD8">
        <w:rPr>
          <w:rFonts w:ascii="Times New Roman" w:hAnsi="Times New Roman"/>
          <w:sz w:val="24"/>
          <w:szCs w:val="24"/>
        </w:rPr>
        <w:t xml:space="preserve">In her affidavit,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Sempanda</w:t>
      </w:r>
      <w:proofErr w:type="spellEnd"/>
      <w:r w:rsidRPr="000D2BD8">
        <w:rPr>
          <w:rFonts w:ascii="Times New Roman" w:hAnsi="Times New Roman"/>
          <w:sz w:val="24"/>
          <w:szCs w:val="24"/>
        </w:rPr>
        <w:t xml:space="preserve"> states that the plaintiff died on 24/9/12 after filing the suit.  That the applicants were on 24/3/14, appointed administrators of his estate vide a Grant of Letters of Administration with the will annexed in Administration Cause No.922/12.  I have seen a copy of the grant attached to the affidavit as </w:t>
      </w:r>
      <w:proofErr w:type="spellStart"/>
      <w:r w:rsidRPr="000D2BD8">
        <w:rPr>
          <w:rFonts w:ascii="Times New Roman" w:hAnsi="Times New Roman"/>
          <w:sz w:val="24"/>
          <w:szCs w:val="24"/>
        </w:rPr>
        <w:t>Annexture</w:t>
      </w:r>
      <w:proofErr w:type="spellEnd"/>
      <w:r w:rsidRPr="000D2BD8">
        <w:rPr>
          <w:rFonts w:ascii="Times New Roman" w:hAnsi="Times New Roman"/>
          <w:sz w:val="24"/>
          <w:szCs w:val="24"/>
        </w:rPr>
        <w:t xml:space="preserve"> “A”.  I have no reason to doubt that such grant was made under seal of the High Court on the date stated.  Having been so appointed, all three applicants have the mandate to continue with the prosecution of the main suit. </w:t>
      </w:r>
    </w:p>
    <w:p w:rsidR="004A29E1" w:rsidRPr="000D2BD8" w:rsidRDefault="004A29E1" w:rsidP="004A29E1">
      <w:pPr>
        <w:spacing w:line="360" w:lineRule="auto"/>
        <w:jc w:val="both"/>
        <w:rPr>
          <w:rFonts w:ascii="Times New Roman" w:hAnsi="Times New Roman"/>
          <w:sz w:val="24"/>
          <w:szCs w:val="24"/>
        </w:rPr>
      </w:pPr>
    </w:p>
    <w:p w:rsidR="004A29E1" w:rsidRPr="000D2BD8" w:rsidRDefault="004A29E1" w:rsidP="004A29E1">
      <w:pPr>
        <w:spacing w:line="360" w:lineRule="auto"/>
        <w:jc w:val="both"/>
        <w:rPr>
          <w:rFonts w:ascii="Times New Roman" w:hAnsi="Times New Roman"/>
          <w:sz w:val="24"/>
          <w:szCs w:val="24"/>
        </w:rPr>
      </w:pPr>
      <w:r w:rsidRPr="000D2BD8">
        <w:rPr>
          <w:rFonts w:ascii="Times New Roman" w:hAnsi="Times New Roman"/>
          <w:sz w:val="24"/>
          <w:szCs w:val="24"/>
        </w:rPr>
        <w:t xml:space="preserve">The respondent filed no response to the application an indication that they concede to its facts.  They will suffer no prejudice if the applicants are substituted for the plaintiff. </w:t>
      </w:r>
    </w:p>
    <w:p w:rsidR="004A29E1" w:rsidRPr="000D2BD8" w:rsidRDefault="004A29E1" w:rsidP="004A29E1">
      <w:pPr>
        <w:spacing w:line="360" w:lineRule="auto"/>
        <w:jc w:val="both"/>
        <w:rPr>
          <w:rFonts w:ascii="Times New Roman" w:hAnsi="Times New Roman"/>
          <w:sz w:val="24"/>
          <w:szCs w:val="24"/>
        </w:rPr>
      </w:pPr>
    </w:p>
    <w:p w:rsidR="004A29E1" w:rsidRPr="000D2BD8" w:rsidRDefault="004A29E1" w:rsidP="004A29E1">
      <w:pPr>
        <w:spacing w:line="360" w:lineRule="auto"/>
        <w:jc w:val="both"/>
        <w:rPr>
          <w:rFonts w:ascii="Times New Roman" w:hAnsi="Times New Roman"/>
          <w:sz w:val="24"/>
          <w:szCs w:val="24"/>
        </w:rPr>
      </w:pPr>
      <w:r w:rsidRPr="000D2BD8">
        <w:rPr>
          <w:rFonts w:ascii="Times New Roman" w:hAnsi="Times New Roman"/>
          <w:sz w:val="24"/>
          <w:szCs w:val="24"/>
        </w:rPr>
        <w:t xml:space="preserve">I thereby allow the application and order that Betty </w:t>
      </w:r>
      <w:proofErr w:type="spellStart"/>
      <w:r w:rsidRPr="000D2BD8">
        <w:rPr>
          <w:rFonts w:ascii="Times New Roman" w:hAnsi="Times New Roman"/>
          <w:sz w:val="24"/>
          <w:szCs w:val="24"/>
        </w:rPr>
        <w:t>Kityo</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Sempanda</w:t>
      </w:r>
      <w:proofErr w:type="spellEnd"/>
      <w:r w:rsidRPr="000D2BD8">
        <w:rPr>
          <w:rFonts w:ascii="Times New Roman" w:hAnsi="Times New Roman"/>
          <w:sz w:val="24"/>
          <w:szCs w:val="24"/>
        </w:rPr>
        <w:t xml:space="preserve">, John </w:t>
      </w:r>
      <w:proofErr w:type="spellStart"/>
      <w:r w:rsidRPr="000D2BD8">
        <w:rPr>
          <w:rFonts w:ascii="Times New Roman" w:hAnsi="Times New Roman"/>
          <w:sz w:val="24"/>
          <w:szCs w:val="24"/>
        </w:rPr>
        <w:t>Kivumu</w:t>
      </w:r>
      <w:proofErr w:type="spellEnd"/>
      <w:r w:rsidRPr="000D2BD8">
        <w:rPr>
          <w:rFonts w:ascii="Times New Roman" w:hAnsi="Times New Roman"/>
          <w:sz w:val="24"/>
          <w:szCs w:val="24"/>
        </w:rPr>
        <w:t xml:space="preserve"> and Moses </w:t>
      </w:r>
      <w:proofErr w:type="spellStart"/>
      <w:r w:rsidRPr="000D2BD8">
        <w:rPr>
          <w:rFonts w:ascii="Times New Roman" w:hAnsi="Times New Roman"/>
          <w:sz w:val="24"/>
          <w:szCs w:val="24"/>
        </w:rPr>
        <w:t>Mukiibi</w:t>
      </w:r>
      <w:proofErr w:type="spellEnd"/>
      <w:r w:rsidRPr="000D2BD8">
        <w:rPr>
          <w:rFonts w:ascii="Times New Roman" w:hAnsi="Times New Roman"/>
          <w:sz w:val="24"/>
          <w:szCs w:val="24"/>
        </w:rPr>
        <w:t xml:space="preserve">, being he administrators of the estate of the late </w:t>
      </w:r>
      <w:proofErr w:type="spellStart"/>
      <w:r w:rsidRPr="000D2BD8">
        <w:rPr>
          <w:rFonts w:ascii="Times New Roman" w:hAnsi="Times New Roman"/>
          <w:sz w:val="24"/>
          <w:szCs w:val="24"/>
        </w:rPr>
        <w:t>Semakula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Sempanda</w:t>
      </w:r>
      <w:proofErr w:type="spellEnd"/>
      <w:r w:rsidRPr="000D2BD8">
        <w:rPr>
          <w:rFonts w:ascii="Times New Roman" w:hAnsi="Times New Roman"/>
          <w:sz w:val="24"/>
          <w:szCs w:val="24"/>
        </w:rPr>
        <w:t xml:space="preserve"> be substituted for the plaintiff and the plaint be amended accordingly.  The amended plaint shall be filed within seven days from the date of the ruling.  </w:t>
      </w:r>
    </w:p>
    <w:p w:rsidR="004A29E1" w:rsidRPr="000D2BD8" w:rsidRDefault="004A29E1" w:rsidP="004A29E1">
      <w:pPr>
        <w:spacing w:line="360" w:lineRule="auto"/>
        <w:jc w:val="both"/>
        <w:rPr>
          <w:rFonts w:ascii="Times New Roman" w:hAnsi="Times New Roman"/>
          <w:sz w:val="24"/>
          <w:szCs w:val="24"/>
        </w:rPr>
      </w:pPr>
    </w:p>
    <w:p w:rsidR="004A29E1" w:rsidRPr="000D2BD8" w:rsidRDefault="004A29E1" w:rsidP="004A29E1">
      <w:pPr>
        <w:spacing w:line="360" w:lineRule="auto"/>
        <w:jc w:val="both"/>
        <w:rPr>
          <w:rFonts w:ascii="Times New Roman" w:hAnsi="Times New Roman"/>
          <w:sz w:val="24"/>
          <w:szCs w:val="24"/>
        </w:rPr>
      </w:pPr>
      <w:r w:rsidRPr="000D2BD8">
        <w:rPr>
          <w:rFonts w:ascii="Times New Roman" w:hAnsi="Times New Roman"/>
          <w:sz w:val="24"/>
          <w:szCs w:val="24"/>
        </w:rPr>
        <w:t xml:space="preserve">In addition, I order that the applicants meet the costs of this application. </w:t>
      </w:r>
    </w:p>
    <w:p w:rsidR="004A29E1" w:rsidRPr="000D2BD8" w:rsidRDefault="004A29E1" w:rsidP="004A29E1">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4A29E1" w:rsidRPr="000D2BD8" w:rsidRDefault="004A29E1" w:rsidP="004A29E1">
      <w:pPr>
        <w:spacing w:line="360" w:lineRule="auto"/>
        <w:jc w:val="both"/>
        <w:rPr>
          <w:rFonts w:ascii="Times New Roman" w:hAnsi="Times New Roman"/>
          <w:sz w:val="24"/>
          <w:szCs w:val="24"/>
        </w:rPr>
      </w:pPr>
    </w:p>
    <w:p w:rsidR="004A29E1" w:rsidRPr="000D2BD8" w:rsidRDefault="004A29E1" w:rsidP="004A29E1">
      <w:pPr>
        <w:spacing w:line="360" w:lineRule="auto"/>
        <w:jc w:val="both"/>
        <w:rPr>
          <w:rFonts w:ascii="Times New Roman" w:hAnsi="Times New Roman"/>
          <w:sz w:val="24"/>
          <w:szCs w:val="24"/>
        </w:rPr>
      </w:pPr>
    </w:p>
    <w:p w:rsidR="004A29E1" w:rsidRPr="000D2BD8" w:rsidRDefault="004A29E1" w:rsidP="004A29E1">
      <w:pPr>
        <w:pStyle w:val="NoSpacing"/>
        <w:rPr>
          <w:rFonts w:ascii="Times New Roman" w:hAnsi="Times New Roman"/>
          <w:b/>
          <w:sz w:val="24"/>
          <w:szCs w:val="24"/>
        </w:rPr>
      </w:pPr>
      <w:r w:rsidRPr="000D2BD8">
        <w:rPr>
          <w:rFonts w:ascii="Times New Roman" w:hAnsi="Times New Roman"/>
          <w:b/>
          <w:sz w:val="24"/>
          <w:szCs w:val="24"/>
        </w:rPr>
        <w:t>EVA K. LUSWATA</w:t>
      </w:r>
    </w:p>
    <w:p w:rsidR="004A29E1" w:rsidRPr="000D2BD8" w:rsidRDefault="004A29E1" w:rsidP="004A29E1">
      <w:pPr>
        <w:pStyle w:val="NoSpacing"/>
        <w:rPr>
          <w:rFonts w:ascii="Times New Roman" w:hAnsi="Times New Roman"/>
          <w:b/>
          <w:sz w:val="24"/>
          <w:szCs w:val="24"/>
        </w:rPr>
      </w:pPr>
      <w:r w:rsidRPr="000D2BD8">
        <w:rPr>
          <w:rFonts w:ascii="Times New Roman" w:hAnsi="Times New Roman"/>
          <w:b/>
          <w:sz w:val="24"/>
          <w:szCs w:val="24"/>
        </w:rPr>
        <w:t>JUDGE</w:t>
      </w:r>
    </w:p>
    <w:p w:rsidR="004A29E1" w:rsidRPr="000D2BD8" w:rsidRDefault="004A29E1" w:rsidP="004A29E1">
      <w:pPr>
        <w:pStyle w:val="NoSpacing"/>
        <w:rPr>
          <w:rFonts w:ascii="Times New Roman" w:hAnsi="Times New Roman"/>
          <w:sz w:val="24"/>
          <w:szCs w:val="24"/>
        </w:rPr>
      </w:pPr>
      <w:r w:rsidRPr="000D2BD8">
        <w:rPr>
          <w:rFonts w:ascii="Times New Roman" w:hAnsi="Times New Roman"/>
          <w:b/>
          <w:sz w:val="24"/>
          <w:szCs w:val="24"/>
        </w:rPr>
        <w:t>30</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April, 2015</w:t>
      </w:r>
      <w:r w:rsidRPr="000D2BD8">
        <w:rPr>
          <w:rFonts w:ascii="Times New Roman" w:hAnsi="Times New Roman"/>
          <w:sz w:val="24"/>
          <w:szCs w:val="24"/>
        </w:rPr>
        <w:t>.</w:t>
      </w:r>
    </w:p>
    <w:p w:rsidR="004A29E1" w:rsidRPr="000D2BD8" w:rsidRDefault="004A29E1" w:rsidP="004A29E1">
      <w:pPr>
        <w:pStyle w:val="NoSpacing"/>
        <w:rPr>
          <w:rFonts w:ascii="Times New Roman" w:hAnsi="Times New Roman"/>
          <w:sz w:val="24"/>
          <w:szCs w:val="24"/>
        </w:rPr>
      </w:pPr>
    </w:p>
    <w:p w:rsidR="004A29E1" w:rsidRPr="000D2BD8" w:rsidRDefault="004A29E1" w:rsidP="004A29E1">
      <w:pPr>
        <w:pStyle w:val="NoSpacing"/>
        <w:rPr>
          <w:rFonts w:ascii="Times New Roman" w:hAnsi="Times New Roman"/>
          <w:sz w:val="24"/>
          <w:szCs w:val="24"/>
        </w:rPr>
      </w:pPr>
    </w:p>
    <w:sectPr w:rsidR="004A29E1" w:rsidRPr="000D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690"/>
    <w:multiLevelType w:val="hybridMultilevel"/>
    <w:tmpl w:val="048EF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4F18CA"/>
    <w:multiLevelType w:val="hybridMultilevel"/>
    <w:tmpl w:val="EAC88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E1"/>
    <w:rsid w:val="000A49CD"/>
    <w:rsid w:val="004A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E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2017-02-02T07:27:00Z</dcterms:created>
  <dcterms:modified xsi:type="dcterms:W3CDTF">2017-02-02T07:34:00Z</dcterms:modified>
</cp:coreProperties>
</file>