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68" w:rsidRPr="000D2BD8" w:rsidRDefault="00F24A68" w:rsidP="00F24A68">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F24A68" w:rsidRPr="000D2BD8" w:rsidRDefault="00F24A68" w:rsidP="00F24A68">
      <w:pPr>
        <w:pStyle w:val="NoSpacing"/>
        <w:jc w:val="center"/>
        <w:rPr>
          <w:rFonts w:ascii="Times New Roman" w:hAnsi="Times New Roman"/>
          <w:b/>
          <w:sz w:val="24"/>
          <w:szCs w:val="24"/>
        </w:rPr>
      </w:pPr>
      <w:r w:rsidRPr="000D2BD8">
        <w:rPr>
          <w:rFonts w:ascii="Times New Roman" w:hAnsi="Times New Roman"/>
          <w:b/>
          <w:sz w:val="24"/>
          <w:szCs w:val="24"/>
        </w:rPr>
        <w:t>IN THE HIGH OF UGANDA AT KAMPALA</w:t>
      </w:r>
    </w:p>
    <w:p w:rsidR="00F24A68" w:rsidRPr="000D2BD8" w:rsidRDefault="00F24A68" w:rsidP="00F24A68">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F24A68" w:rsidRPr="000D2BD8" w:rsidRDefault="00F24A68" w:rsidP="00F24A68">
      <w:pPr>
        <w:pStyle w:val="NoSpacing"/>
        <w:jc w:val="center"/>
        <w:rPr>
          <w:rFonts w:ascii="Times New Roman" w:hAnsi="Times New Roman"/>
          <w:b/>
          <w:sz w:val="24"/>
          <w:szCs w:val="24"/>
        </w:rPr>
      </w:pPr>
      <w:proofErr w:type="gramStart"/>
      <w:r w:rsidRPr="000D2BD8">
        <w:rPr>
          <w:rFonts w:ascii="Times New Roman" w:hAnsi="Times New Roman"/>
          <w:b/>
          <w:sz w:val="24"/>
          <w:szCs w:val="24"/>
        </w:rPr>
        <w:t>MISCELLANEOUS CAUSES NO.</w:t>
      </w:r>
      <w:proofErr w:type="gramEnd"/>
      <w:r w:rsidRPr="000D2BD8">
        <w:rPr>
          <w:rFonts w:ascii="Times New Roman" w:hAnsi="Times New Roman"/>
          <w:b/>
          <w:sz w:val="24"/>
          <w:szCs w:val="24"/>
        </w:rPr>
        <w:t xml:space="preserve"> 902 OF 2014</w:t>
      </w:r>
    </w:p>
    <w:p w:rsidR="00F24A68" w:rsidRPr="000D2BD8" w:rsidRDefault="00F24A68" w:rsidP="00F24A68">
      <w:pPr>
        <w:pStyle w:val="NoSpacing"/>
        <w:jc w:val="center"/>
        <w:rPr>
          <w:rFonts w:ascii="Times New Roman" w:hAnsi="Times New Roman"/>
          <w:b/>
          <w:sz w:val="24"/>
          <w:szCs w:val="24"/>
        </w:rPr>
      </w:pPr>
      <w:proofErr w:type="gramStart"/>
      <w:r w:rsidRPr="000D2BD8">
        <w:rPr>
          <w:rFonts w:ascii="Times New Roman" w:hAnsi="Times New Roman"/>
          <w:b/>
          <w:sz w:val="24"/>
          <w:szCs w:val="24"/>
        </w:rPr>
        <w:t>AND MC.NO.</w:t>
      </w:r>
      <w:proofErr w:type="gramEnd"/>
      <w:r w:rsidRPr="000D2BD8">
        <w:rPr>
          <w:rFonts w:ascii="Times New Roman" w:hAnsi="Times New Roman"/>
          <w:b/>
          <w:sz w:val="24"/>
          <w:szCs w:val="24"/>
        </w:rPr>
        <w:t xml:space="preserve"> 1030 OF 2014</w:t>
      </w:r>
    </w:p>
    <w:p w:rsidR="00F24A68" w:rsidRPr="000D2BD8" w:rsidRDefault="00F24A68" w:rsidP="00F24A68">
      <w:pPr>
        <w:pStyle w:val="NoSpacing"/>
        <w:jc w:val="center"/>
        <w:rPr>
          <w:rFonts w:ascii="Times New Roman" w:hAnsi="Times New Roman"/>
          <w:b/>
          <w:sz w:val="24"/>
          <w:szCs w:val="24"/>
        </w:rPr>
      </w:pPr>
      <w:r w:rsidRPr="000D2BD8">
        <w:rPr>
          <w:rFonts w:ascii="Times New Roman" w:hAnsi="Times New Roman"/>
          <w:b/>
          <w:sz w:val="24"/>
          <w:szCs w:val="24"/>
        </w:rPr>
        <w:t>[ARISING FROM CIVIL SUIT NO. 315 OF 2014]</w:t>
      </w:r>
    </w:p>
    <w:p w:rsidR="00F24A68" w:rsidRPr="000D2BD8" w:rsidRDefault="00F24A68" w:rsidP="00F24A68">
      <w:pPr>
        <w:pStyle w:val="NoSpacing"/>
        <w:jc w:val="center"/>
        <w:rPr>
          <w:rFonts w:ascii="Times New Roman" w:hAnsi="Times New Roman"/>
          <w:b/>
          <w:sz w:val="24"/>
          <w:szCs w:val="24"/>
        </w:rPr>
      </w:pPr>
    </w:p>
    <w:p w:rsidR="00F24A68" w:rsidRPr="000D2BD8" w:rsidRDefault="00F24A68" w:rsidP="00F24A68">
      <w:pPr>
        <w:pStyle w:val="NoSpacing"/>
        <w:numPr>
          <w:ilvl w:val="0"/>
          <w:numId w:val="1"/>
        </w:numPr>
        <w:rPr>
          <w:rFonts w:ascii="Times New Roman" w:hAnsi="Times New Roman"/>
          <w:b/>
          <w:sz w:val="24"/>
          <w:szCs w:val="24"/>
        </w:rPr>
      </w:pPr>
      <w:r w:rsidRPr="000D2BD8">
        <w:rPr>
          <w:rFonts w:ascii="Times New Roman" w:hAnsi="Times New Roman"/>
          <w:b/>
          <w:sz w:val="24"/>
          <w:szCs w:val="24"/>
        </w:rPr>
        <w:t>GEORGE LUKANGA</w:t>
      </w:r>
    </w:p>
    <w:p w:rsidR="00F24A68" w:rsidRPr="000D2BD8" w:rsidRDefault="00F24A68" w:rsidP="00F24A68">
      <w:pPr>
        <w:pStyle w:val="NoSpacing"/>
        <w:numPr>
          <w:ilvl w:val="0"/>
          <w:numId w:val="1"/>
        </w:numPr>
        <w:rPr>
          <w:rFonts w:ascii="Times New Roman" w:hAnsi="Times New Roman"/>
          <w:b/>
          <w:sz w:val="24"/>
          <w:szCs w:val="24"/>
        </w:rPr>
      </w:pPr>
      <w:r w:rsidRPr="000D2BD8">
        <w:rPr>
          <w:rFonts w:ascii="Times New Roman" w:hAnsi="Times New Roman"/>
          <w:b/>
          <w:sz w:val="24"/>
          <w:szCs w:val="24"/>
        </w:rPr>
        <w:t>JOHN KYABAGU</w:t>
      </w:r>
    </w:p>
    <w:p w:rsidR="00F24A68" w:rsidRPr="000D2BD8" w:rsidRDefault="00F24A68" w:rsidP="00F24A68">
      <w:pPr>
        <w:pStyle w:val="NoSpacing"/>
        <w:numPr>
          <w:ilvl w:val="0"/>
          <w:numId w:val="1"/>
        </w:numPr>
        <w:rPr>
          <w:rFonts w:ascii="Times New Roman" w:hAnsi="Times New Roman"/>
          <w:b/>
          <w:sz w:val="24"/>
          <w:szCs w:val="24"/>
        </w:rPr>
      </w:pPr>
      <w:r>
        <w:rPr>
          <w:rFonts w:ascii="Times New Roman" w:hAnsi="Times New Roman"/>
          <w:b/>
          <w:sz w:val="24"/>
          <w:szCs w:val="24"/>
        </w:rPr>
        <w:t>BURUHAN SSEMAKULA………</w:t>
      </w:r>
      <w:r w:rsidRPr="000D2BD8">
        <w:rPr>
          <w:rFonts w:ascii="Times New Roman" w:hAnsi="Times New Roman"/>
          <w:b/>
          <w:sz w:val="24"/>
          <w:szCs w:val="24"/>
        </w:rPr>
        <w:t>………………………………  APPLICANTS</w:t>
      </w:r>
    </w:p>
    <w:p w:rsidR="00F24A68" w:rsidRPr="000D2BD8" w:rsidRDefault="00F24A68" w:rsidP="00F24A68">
      <w:pPr>
        <w:pStyle w:val="NoSpacing"/>
        <w:numPr>
          <w:ilvl w:val="0"/>
          <w:numId w:val="1"/>
        </w:numPr>
        <w:rPr>
          <w:rFonts w:ascii="Times New Roman" w:hAnsi="Times New Roman"/>
          <w:b/>
          <w:sz w:val="24"/>
          <w:szCs w:val="24"/>
        </w:rPr>
      </w:pPr>
      <w:r w:rsidRPr="000D2BD8">
        <w:rPr>
          <w:rFonts w:ascii="Times New Roman" w:hAnsi="Times New Roman"/>
          <w:b/>
          <w:sz w:val="24"/>
          <w:szCs w:val="24"/>
        </w:rPr>
        <w:t xml:space="preserve">KATO MOSES </w:t>
      </w:r>
    </w:p>
    <w:p w:rsidR="00F24A68" w:rsidRPr="000D2BD8" w:rsidRDefault="00F24A68" w:rsidP="00F24A68">
      <w:pPr>
        <w:jc w:val="center"/>
        <w:rPr>
          <w:rFonts w:ascii="Times New Roman" w:hAnsi="Times New Roman"/>
          <w:b/>
          <w:sz w:val="24"/>
          <w:szCs w:val="24"/>
        </w:rPr>
      </w:pPr>
      <w:r w:rsidRPr="000D2BD8">
        <w:rPr>
          <w:rFonts w:ascii="Times New Roman" w:hAnsi="Times New Roman"/>
          <w:b/>
          <w:sz w:val="24"/>
          <w:szCs w:val="24"/>
        </w:rPr>
        <w:t>VERSUS</w:t>
      </w:r>
    </w:p>
    <w:p w:rsidR="00F24A68" w:rsidRPr="000D2BD8" w:rsidRDefault="00F24A68" w:rsidP="00F24A68">
      <w:pPr>
        <w:rPr>
          <w:rFonts w:ascii="Times New Roman" w:hAnsi="Times New Roman"/>
          <w:b/>
          <w:sz w:val="24"/>
          <w:szCs w:val="24"/>
        </w:rPr>
      </w:pPr>
      <w:r w:rsidRPr="000D2BD8">
        <w:rPr>
          <w:rFonts w:ascii="Times New Roman" w:hAnsi="Times New Roman"/>
          <w:b/>
          <w:sz w:val="24"/>
          <w:szCs w:val="24"/>
        </w:rPr>
        <w:t>PATRICK</w:t>
      </w:r>
      <w:r>
        <w:rPr>
          <w:rFonts w:ascii="Times New Roman" w:hAnsi="Times New Roman"/>
          <w:b/>
          <w:sz w:val="24"/>
          <w:szCs w:val="24"/>
        </w:rPr>
        <w:t xml:space="preserve"> DAVID KANAKULYA……………………………</w:t>
      </w:r>
      <w:r w:rsidRPr="000D2BD8">
        <w:rPr>
          <w:rFonts w:ascii="Times New Roman" w:hAnsi="Times New Roman"/>
          <w:b/>
          <w:sz w:val="24"/>
          <w:szCs w:val="24"/>
        </w:rPr>
        <w:t>…………….  RESPONDENT</w:t>
      </w:r>
    </w:p>
    <w:p w:rsidR="00F24A68" w:rsidRPr="000D2BD8" w:rsidRDefault="00F24A68" w:rsidP="00F24A68">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F24A68" w:rsidRPr="000D2BD8" w:rsidRDefault="00F24A68" w:rsidP="00F24A68">
      <w:pPr>
        <w:pStyle w:val="ListParagraph"/>
        <w:rPr>
          <w:rFonts w:ascii="Times New Roman" w:hAnsi="Times New Roman" w:cs="Times New Roman"/>
          <w:sz w:val="24"/>
          <w:szCs w:val="24"/>
        </w:rPr>
      </w:pPr>
    </w:p>
    <w:p w:rsidR="00F24A68" w:rsidRPr="000D2BD8" w:rsidRDefault="00F24A68" w:rsidP="00F24A68">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HON. LADY JUSTICE EVA K. LUSWATA</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This is my ruling with respect to the two applications which were amalgamated by consent of counsel of both parties on 17/9/14.  I find it necessary to give a brief background of HCCS.No.315/14 from which both these applications emanate.  Patrick David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the plaintiff in the main suit, claims ownership of land known as </w:t>
      </w:r>
      <w:proofErr w:type="spellStart"/>
      <w:r w:rsidRPr="000D2BD8">
        <w:rPr>
          <w:rFonts w:ascii="Times New Roman" w:hAnsi="Times New Roman"/>
          <w:sz w:val="24"/>
          <w:szCs w:val="24"/>
        </w:rPr>
        <w:t>Busiro</w:t>
      </w:r>
      <w:proofErr w:type="spellEnd"/>
      <w:r w:rsidRPr="000D2BD8">
        <w:rPr>
          <w:rFonts w:ascii="Times New Roman" w:hAnsi="Times New Roman"/>
          <w:sz w:val="24"/>
          <w:szCs w:val="24"/>
        </w:rPr>
        <w:t xml:space="preserve"> Block 201 Plot 35 by virtue of being an administrator of the estate of the late Christopher </w:t>
      </w:r>
      <w:proofErr w:type="spellStart"/>
      <w:r w:rsidRPr="000D2BD8">
        <w:rPr>
          <w:rFonts w:ascii="Times New Roman" w:hAnsi="Times New Roman"/>
          <w:sz w:val="24"/>
          <w:szCs w:val="24"/>
        </w:rPr>
        <w:t>Katerega</w:t>
      </w:r>
      <w:proofErr w:type="spellEnd"/>
      <w:r w:rsidRPr="000D2BD8">
        <w:rPr>
          <w:rFonts w:ascii="Times New Roman" w:hAnsi="Times New Roman"/>
          <w:sz w:val="24"/>
          <w:szCs w:val="24"/>
        </w:rPr>
        <w:t xml:space="preserve"> the former owner of the suit land. He claims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defendants have trespassed upon the suit land fenced off the burial grounds on it and this, with the assistance of the 3</w:t>
      </w:r>
      <w:r w:rsidRPr="000D2BD8">
        <w:rPr>
          <w:rFonts w:ascii="Times New Roman" w:hAnsi="Times New Roman"/>
          <w:sz w:val="24"/>
          <w:szCs w:val="24"/>
          <w:vertAlign w:val="superscript"/>
        </w:rPr>
        <w:t>rd</w:t>
      </w:r>
      <w:r w:rsidRPr="000D2BD8">
        <w:rPr>
          <w:rFonts w:ascii="Times New Roman" w:hAnsi="Times New Roman"/>
          <w:sz w:val="24"/>
          <w:szCs w:val="24"/>
        </w:rPr>
        <w:t>and 4</w:t>
      </w:r>
      <w:r w:rsidRPr="000D2BD8">
        <w:rPr>
          <w:rFonts w:ascii="Times New Roman" w:hAnsi="Times New Roman"/>
          <w:sz w:val="24"/>
          <w:szCs w:val="24"/>
          <w:vertAlign w:val="superscript"/>
        </w:rPr>
        <w:t>th</w:t>
      </w:r>
      <w:r w:rsidRPr="000D2BD8">
        <w:rPr>
          <w:rFonts w:ascii="Times New Roman" w:hAnsi="Times New Roman"/>
          <w:sz w:val="24"/>
          <w:szCs w:val="24"/>
        </w:rPr>
        <w:t xml:space="preserve"> defendant.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In MA.902/14, the applicants (who are the defendants in the main suit) seek an order of dismissal of the main suit on account of late service of summons   On the other hand, in MA. 1030/14, the applicant (who is the plaintiff in the main suit) seeks leave to extend time within which to serve the same summons.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The applicants in MA.902/14 argue that the summons were sealed on 12/6/14 and service effected upon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applicant/defendant on 18/7/14,  the later who accepted service on behalf of all the applicants.  They argued that such summons had expired and had no legal effect and therefore, </w:t>
      </w:r>
      <w:proofErr w:type="gramStart"/>
      <w:r w:rsidRPr="000D2BD8">
        <w:rPr>
          <w:rFonts w:ascii="Times New Roman" w:hAnsi="Times New Roman"/>
          <w:sz w:val="24"/>
          <w:szCs w:val="24"/>
        </w:rPr>
        <w:t>that  the</w:t>
      </w:r>
      <w:proofErr w:type="gramEnd"/>
      <w:r w:rsidRPr="000D2BD8">
        <w:rPr>
          <w:rFonts w:ascii="Times New Roman" w:hAnsi="Times New Roman"/>
          <w:sz w:val="24"/>
          <w:szCs w:val="24"/>
        </w:rPr>
        <w:t xml:space="preserve"> suit cannot be maintained.  David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by his affidavit of reply admitted the service but argued that the onus of effecting service fell on the process server of his lawyer who failed to do his duty.  That as a litigant</w:t>
      </w:r>
      <w:proofErr w:type="gramStart"/>
      <w:r w:rsidRPr="000D2BD8">
        <w:rPr>
          <w:rFonts w:ascii="Times New Roman" w:hAnsi="Times New Roman"/>
          <w:sz w:val="24"/>
          <w:szCs w:val="24"/>
        </w:rPr>
        <w:t>,  he</w:t>
      </w:r>
      <w:proofErr w:type="gramEnd"/>
      <w:r w:rsidRPr="000D2BD8">
        <w:rPr>
          <w:rFonts w:ascii="Times New Roman" w:hAnsi="Times New Roman"/>
          <w:sz w:val="24"/>
          <w:szCs w:val="24"/>
        </w:rPr>
        <w:t xml:space="preserve"> played no pivotal role in the service and the mistake of that clerk should not be visited upon him.  He further argued that court </w:t>
      </w:r>
      <w:proofErr w:type="gramStart"/>
      <w:r w:rsidRPr="000D2BD8">
        <w:rPr>
          <w:rFonts w:ascii="Times New Roman" w:hAnsi="Times New Roman"/>
          <w:sz w:val="24"/>
          <w:szCs w:val="24"/>
        </w:rPr>
        <w:t xml:space="preserve">registries  </w:t>
      </w:r>
      <w:r w:rsidRPr="000D2BD8">
        <w:rPr>
          <w:rFonts w:ascii="Times New Roman" w:hAnsi="Times New Roman"/>
          <w:sz w:val="24"/>
          <w:szCs w:val="24"/>
        </w:rPr>
        <w:lastRenderedPageBreak/>
        <w:t>are</w:t>
      </w:r>
      <w:proofErr w:type="gramEnd"/>
      <w:r w:rsidRPr="000D2BD8">
        <w:rPr>
          <w:rFonts w:ascii="Times New Roman" w:hAnsi="Times New Roman"/>
          <w:sz w:val="24"/>
          <w:szCs w:val="24"/>
        </w:rPr>
        <w:t xml:space="preserve"> bound to receive court documents even when filed late,  and the main suit is still maintainable until a decision is made by this court.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to extend time within which to serve the summons of Civil Suit 315/14 was based on S.96 </w:t>
      </w:r>
      <w:proofErr w:type="gramStart"/>
      <w:r w:rsidRPr="000D2BD8">
        <w:rPr>
          <w:rFonts w:ascii="Times New Roman" w:hAnsi="Times New Roman"/>
          <w:sz w:val="24"/>
          <w:szCs w:val="24"/>
        </w:rPr>
        <w:t>&amp;  S.98</w:t>
      </w:r>
      <w:proofErr w:type="gramEnd"/>
      <w:r w:rsidRPr="000D2BD8">
        <w:rPr>
          <w:rFonts w:ascii="Times New Roman" w:hAnsi="Times New Roman"/>
          <w:sz w:val="24"/>
          <w:szCs w:val="24"/>
        </w:rPr>
        <w:t xml:space="preserve"> CPA.   Again Patrick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repeated most of his averments made in reply to MA.902/14, and in addition, stated that he honestly believed that both the summons and application in the proceedings with respect to MA.761/14 were served upon the respondents by the process server at the same time.  He further argued that this being a land dispute, court should accommodate him and allow extension of time to serve the summons, and the respondents would not be prejudiced thereby.  Conversely that if the application is not allowed, he will be prejudiced as the suit land accommodates burial grounds which are being put to waste.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In response to MA.1030/14,  </w:t>
      </w:r>
      <w:proofErr w:type="spellStart"/>
      <w:r w:rsidRPr="000D2BD8">
        <w:rPr>
          <w:rFonts w:ascii="Times New Roman" w:hAnsi="Times New Roman"/>
          <w:sz w:val="24"/>
          <w:szCs w:val="24"/>
        </w:rPr>
        <w:t>Buruhani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Ssemakula</w:t>
      </w:r>
      <w:proofErr w:type="spellEnd"/>
      <w:r w:rsidRPr="000D2BD8">
        <w:rPr>
          <w:rFonts w:ascii="Times New Roman" w:hAnsi="Times New Roman"/>
          <w:sz w:val="24"/>
          <w:szCs w:val="24"/>
        </w:rPr>
        <w:t xml:space="preserve">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stated in his affidavit, that the application was served upon him and other respondents 9/9/14 long after summons in the main suit  were served and after the application  to strike  out the head suit had been filed.  He argued that the applicant slept on his rights to apply to extend time within which to serve the summons.    He argued therefore that the head suit is an illegality that cannot be cured by an application, and he will be prejudiced if it is maintained on the record.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Since this is an amalgamated action I will consider the arguments of both counsel concurrently but shall take into account the fact that MA.902/14 was filed first in time.  On request of the court, both counsel filed written submissions and provided authorities in support of the applications.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The basis of MA.902/14 is that service of the summons in respect of the head suit was done out of time.  Both counsel agreed and it is a fact that the relevant law would be order 5. R. 1, R2 &amp; R3 CPR.  I will give emphasis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rule which provides as follows;</w:t>
      </w:r>
    </w:p>
    <w:p w:rsidR="00F24A68" w:rsidRPr="000D2BD8" w:rsidRDefault="00F24A68" w:rsidP="00F24A68">
      <w:pPr>
        <w:pStyle w:val="NoSpacing"/>
        <w:numPr>
          <w:ilvl w:val="0"/>
          <w:numId w:val="2"/>
        </w:numPr>
        <w:rPr>
          <w:rFonts w:ascii="Times New Roman" w:hAnsi="Times New Roman"/>
          <w:i/>
          <w:sz w:val="24"/>
          <w:szCs w:val="24"/>
        </w:rPr>
      </w:pPr>
      <w:r w:rsidRPr="000D2BD8">
        <w:rPr>
          <w:rFonts w:ascii="Times New Roman" w:hAnsi="Times New Roman"/>
          <w:i/>
          <w:sz w:val="24"/>
          <w:szCs w:val="24"/>
        </w:rPr>
        <w:t xml:space="preserve">Service of summons issued under </w:t>
      </w:r>
      <w:proofErr w:type="spellStart"/>
      <w:r w:rsidRPr="000D2BD8">
        <w:rPr>
          <w:rFonts w:ascii="Times New Roman" w:hAnsi="Times New Roman"/>
          <w:i/>
          <w:sz w:val="24"/>
          <w:szCs w:val="24"/>
        </w:rPr>
        <w:t>subrule</w:t>
      </w:r>
      <w:proofErr w:type="spellEnd"/>
      <w:r w:rsidRPr="000D2BD8">
        <w:rPr>
          <w:rFonts w:ascii="Times New Roman" w:hAnsi="Times New Roman"/>
          <w:i/>
          <w:sz w:val="24"/>
          <w:szCs w:val="24"/>
        </w:rPr>
        <w:t xml:space="preserve"> (1) of this rule shall be </w:t>
      </w:r>
      <w:proofErr w:type="gramStart"/>
      <w:r w:rsidRPr="000D2BD8">
        <w:rPr>
          <w:rFonts w:ascii="Times New Roman" w:hAnsi="Times New Roman"/>
          <w:i/>
          <w:sz w:val="24"/>
          <w:szCs w:val="24"/>
        </w:rPr>
        <w:t>effected</w:t>
      </w:r>
      <w:proofErr w:type="gramEnd"/>
      <w:r w:rsidRPr="000D2BD8">
        <w:rPr>
          <w:rFonts w:ascii="Times New Roman" w:hAnsi="Times New Roman"/>
          <w:i/>
          <w:sz w:val="24"/>
          <w:szCs w:val="24"/>
        </w:rPr>
        <w:t xml:space="preserve"> within twenty-one days from the date of issue; except that the time may be extended on application to the court, made within fifteen days after the expiration of the twenty-one days, showing sufficient reasons for the extension. </w:t>
      </w:r>
    </w:p>
    <w:p w:rsidR="00F24A68" w:rsidRPr="000D2BD8" w:rsidRDefault="00F24A68" w:rsidP="00F24A68">
      <w:pPr>
        <w:pStyle w:val="NoSpacing"/>
        <w:numPr>
          <w:ilvl w:val="0"/>
          <w:numId w:val="2"/>
        </w:numPr>
        <w:rPr>
          <w:rFonts w:ascii="Times New Roman" w:hAnsi="Times New Roman"/>
          <w:i/>
          <w:sz w:val="24"/>
          <w:szCs w:val="24"/>
        </w:rPr>
      </w:pPr>
      <w:r w:rsidRPr="000D2BD8">
        <w:rPr>
          <w:rFonts w:ascii="Times New Roman" w:hAnsi="Times New Roman"/>
          <w:i/>
          <w:sz w:val="24"/>
          <w:szCs w:val="24"/>
        </w:rPr>
        <w:t>Where summons have been issued under this rule, and –</w:t>
      </w:r>
    </w:p>
    <w:p w:rsidR="00F24A68" w:rsidRPr="000D2BD8" w:rsidRDefault="00F24A68" w:rsidP="00F24A68">
      <w:pPr>
        <w:pStyle w:val="NoSpacing"/>
        <w:numPr>
          <w:ilvl w:val="0"/>
          <w:numId w:val="3"/>
        </w:numPr>
        <w:rPr>
          <w:rFonts w:ascii="Times New Roman" w:hAnsi="Times New Roman"/>
          <w:i/>
          <w:sz w:val="24"/>
          <w:szCs w:val="24"/>
        </w:rPr>
      </w:pPr>
      <w:r w:rsidRPr="000D2BD8">
        <w:rPr>
          <w:rFonts w:ascii="Times New Roman" w:hAnsi="Times New Roman"/>
          <w:i/>
          <w:sz w:val="24"/>
          <w:szCs w:val="24"/>
        </w:rPr>
        <w:t xml:space="preserve">Service has not been effected with twenty-one days from the date if issued; and </w:t>
      </w:r>
    </w:p>
    <w:p w:rsidR="00F24A68" w:rsidRPr="000D2BD8" w:rsidRDefault="00F24A68" w:rsidP="00F24A68">
      <w:pPr>
        <w:pStyle w:val="NoSpacing"/>
        <w:numPr>
          <w:ilvl w:val="0"/>
          <w:numId w:val="3"/>
        </w:numPr>
        <w:rPr>
          <w:rFonts w:ascii="Times New Roman" w:hAnsi="Times New Roman"/>
          <w:i/>
          <w:sz w:val="24"/>
          <w:szCs w:val="24"/>
        </w:rPr>
      </w:pPr>
      <w:r w:rsidRPr="000D2BD8">
        <w:rPr>
          <w:rFonts w:ascii="Times New Roman" w:hAnsi="Times New Roman"/>
          <w:i/>
          <w:sz w:val="24"/>
          <w:szCs w:val="24"/>
        </w:rPr>
        <w:t xml:space="preserve">There is no application for an extension of time under </w:t>
      </w:r>
      <w:proofErr w:type="spellStart"/>
      <w:r w:rsidRPr="000D2BD8">
        <w:rPr>
          <w:rFonts w:ascii="Times New Roman" w:hAnsi="Times New Roman"/>
          <w:i/>
          <w:sz w:val="24"/>
          <w:szCs w:val="24"/>
        </w:rPr>
        <w:t>subrule</w:t>
      </w:r>
      <w:proofErr w:type="spellEnd"/>
      <w:r w:rsidRPr="000D2BD8">
        <w:rPr>
          <w:rFonts w:ascii="Times New Roman" w:hAnsi="Times New Roman"/>
          <w:i/>
          <w:sz w:val="24"/>
          <w:szCs w:val="24"/>
        </w:rPr>
        <w:t xml:space="preserve"> (2 of this rule; or </w:t>
      </w:r>
    </w:p>
    <w:p w:rsidR="00F24A68" w:rsidRPr="000D2BD8" w:rsidRDefault="00F24A68" w:rsidP="00F24A68">
      <w:pPr>
        <w:pStyle w:val="NoSpacing"/>
        <w:numPr>
          <w:ilvl w:val="0"/>
          <w:numId w:val="3"/>
        </w:numPr>
        <w:rPr>
          <w:rFonts w:ascii="Times New Roman" w:hAnsi="Times New Roman"/>
          <w:i/>
          <w:sz w:val="24"/>
          <w:szCs w:val="24"/>
        </w:rPr>
      </w:pPr>
      <w:r w:rsidRPr="000D2BD8">
        <w:rPr>
          <w:rFonts w:ascii="Times New Roman" w:hAnsi="Times New Roman"/>
          <w:i/>
          <w:sz w:val="24"/>
          <w:szCs w:val="24"/>
        </w:rPr>
        <w:lastRenderedPageBreak/>
        <w:t>The application for extension of time has been dismissed; the suit shall be dismissed without notice.</w:t>
      </w:r>
    </w:p>
    <w:p w:rsidR="00F24A68" w:rsidRPr="000D2BD8" w:rsidRDefault="00F24A68" w:rsidP="00F24A68">
      <w:pPr>
        <w:pStyle w:val="NoSpacing"/>
        <w:rPr>
          <w:rFonts w:ascii="Times New Roman" w:hAnsi="Times New Roman"/>
          <w:i/>
          <w:sz w:val="24"/>
          <w:szCs w:val="24"/>
        </w:rPr>
      </w:pPr>
    </w:p>
    <w:p w:rsidR="00F24A68" w:rsidRPr="000D2BD8" w:rsidRDefault="00F24A68" w:rsidP="00F24A68">
      <w:pPr>
        <w:spacing w:line="360" w:lineRule="auto"/>
        <w:jc w:val="both"/>
        <w:rPr>
          <w:rFonts w:ascii="Times New Roman" w:hAnsi="Times New Roman"/>
          <w:b/>
          <w:sz w:val="24"/>
          <w:szCs w:val="24"/>
        </w:rPr>
      </w:pPr>
      <w:r w:rsidRPr="000D2BD8">
        <w:rPr>
          <w:rFonts w:ascii="Times New Roman" w:hAnsi="Times New Roman"/>
          <w:sz w:val="24"/>
          <w:szCs w:val="24"/>
        </w:rPr>
        <w:t xml:space="preserve"> Counsel for the applicant argued, and I agree that service of summons must be done within 21 days and failure to apply for an extension would attract dismissal of the suit without notice.  He further argued that the suit is bad in law as no extension was sought within the statutory period of 15 days and in such instance, the court has no jurisdiction to issue fresh summons to a party who has not complied with those provisions. In this counsel relied on the Court of Appeal judgment in </w:t>
      </w:r>
      <w:proofErr w:type="spellStart"/>
      <w:r w:rsidRPr="000D2BD8">
        <w:rPr>
          <w:rFonts w:ascii="Times New Roman" w:hAnsi="Times New Roman"/>
          <w:b/>
          <w:sz w:val="24"/>
          <w:szCs w:val="24"/>
        </w:rPr>
        <w:t>Rwabuganda</w:t>
      </w:r>
      <w:proofErr w:type="spellEnd"/>
      <w:r w:rsidRPr="000D2BD8">
        <w:rPr>
          <w:rFonts w:ascii="Times New Roman" w:hAnsi="Times New Roman"/>
          <w:b/>
          <w:sz w:val="24"/>
          <w:szCs w:val="24"/>
        </w:rPr>
        <w:t xml:space="preserve"> Godfrey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Bitamisi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Namuddu</w:t>
      </w:r>
      <w:proofErr w:type="spellEnd"/>
      <w:r w:rsidRPr="000D2BD8">
        <w:rPr>
          <w:rFonts w:ascii="Times New Roman" w:hAnsi="Times New Roman"/>
          <w:b/>
          <w:sz w:val="24"/>
          <w:szCs w:val="24"/>
        </w:rPr>
        <w:t xml:space="preserve"> CA.87.10</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 There was no serious contest on these points by David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because he did admit that his counsel (or in particular the clerk/process server of the firm) failed to take the necessary step within the statutory time.  He argued however that </w:t>
      </w:r>
      <w:proofErr w:type="gramStart"/>
      <w:r w:rsidRPr="000D2BD8">
        <w:rPr>
          <w:rFonts w:ascii="Times New Roman" w:hAnsi="Times New Roman"/>
          <w:sz w:val="24"/>
          <w:szCs w:val="24"/>
        </w:rPr>
        <w:t>under  S.96</w:t>
      </w:r>
      <w:proofErr w:type="gramEnd"/>
      <w:r w:rsidRPr="000D2BD8">
        <w:rPr>
          <w:rFonts w:ascii="Times New Roman" w:hAnsi="Times New Roman"/>
          <w:sz w:val="24"/>
          <w:szCs w:val="24"/>
        </w:rPr>
        <w:t xml:space="preserve"> &amp; 98 CPA, Court has jurisdiction to enlarge time where a fixed period has expired and it is necessary for the ends of justice or to prevent abuse of court process.  Mr. </w:t>
      </w:r>
      <w:proofErr w:type="spellStart"/>
      <w:r w:rsidRPr="000D2BD8">
        <w:rPr>
          <w:rFonts w:ascii="Times New Roman" w:hAnsi="Times New Roman"/>
          <w:sz w:val="24"/>
          <w:szCs w:val="24"/>
        </w:rPr>
        <w:t>Kanakulya’s</w:t>
      </w:r>
      <w:proofErr w:type="spellEnd"/>
      <w:r w:rsidRPr="000D2BD8">
        <w:rPr>
          <w:rFonts w:ascii="Times New Roman" w:hAnsi="Times New Roman"/>
          <w:sz w:val="24"/>
          <w:szCs w:val="24"/>
        </w:rPr>
        <w:t xml:space="preserve"> counsel argued that the objective of service is to give notice to the other side and thereby afford him an opportunity to act upon that action against them and late service would not prejudice the defendants. He also relied on a host of authorities.  However, I noted that most of them were in respect of Rule 4 (now </w:t>
      </w:r>
      <w:proofErr w:type="gramStart"/>
      <w:r w:rsidRPr="000D2BD8">
        <w:rPr>
          <w:rFonts w:ascii="Times New Roman" w:hAnsi="Times New Roman"/>
          <w:sz w:val="24"/>
          <w:szCs w:val="24"/>
        </w:rPr>
        <w:t>R.2(</w:t>
      </w:r>
      <w:proofErr w:type="gramEnd"/>
      <w:r w:rsidRPr="000D2BD8">
        <w:rPr>
          <w:rFonts w:ascii="Times New Roman" w:hAnsi="Times New Roman"/>
          <w:sz w:val="24"/>
          <w:szCs w:val="24"/>
        </w:rPr>
        <w:t xml:space="preserve">2) Judicature Supreme Court rules.  With due respect,  I decline to be bound by those authorities because they dealt with a particular section on appeals to the Supreme Court and should not apply here where a specific provision has been made in the Civil Procedure Rules that apply to this court.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I have already agreed with counsel for the defendants that the provisions of 0.5 rule (1), (2) and </w:t>
      </w:r>
      <w:proofErr w:type="gramStart"/>
      <w:r w:rsidRPr="000D2BD8">
        <w:rPr>
          <w:rFonts w:ascii="Times New Roman" w:hAnsi="Times New Roman"/>
          <w:sz w:val="24"/>
          <w:szCs w:val="24"/>
        </w:rPr>
        <w:t>(3) are</w:t>
      </w:r>
      <w:proofErr w:type="gramEnd"/>
      <w:r w:rsidRPr="000D2BD8">
        <w:rPr>
          <w:rFonts w:ascii="Times New Roman" w:hAnsi="Times New Roman"/>
          <w:sz w:val="24"/>
          <w:szCs w:val="24"/>
        </w:rPr>
        <w:t xml:space="preserve"> couched in mandatory terms and have routinely been regarded as much by this court.  See for example </w:t>
      </w:r>
      <w:proofErr w:type="spellStart"/>
      <w:r w:rsidRPr="000D2BD8">
        <w:rPr>
          <w:rFonts w:ascii="Times New Roman" w:hAnsi="Times New Roman"/>
          <w:b/>
          <w:sz w:val="24"/>
          <w:szCs w:val="24"/>
        </w:rPr>
        <w:t>Rwabugand</w:t>
      </w:r>
      <w:proofErr w:type="spellEnd"/>
      <w:r w:rsidRPr="000D2BD8">
        <w:rPr>
          <w:rFonts w:ascii="Times New Roman" w:hAnsi="Times New Roman"/>
          <w:b/>
          <w:sz w:val="24"/>
          <w:szCs w:val="24"/>
        </w:rPr>
        <w:t xml:space="preserve"> Godfrey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Bitamisi</w:t>
      </w:r>
      <w:proofErr w:type="spellEnd"/>
      <w:r w:rsidRPr="000D2BD8">
        <w:rPr>
          <w:rFonts w:ascii="Times New Roman" w:hAnsi="Times New Roman"/>
          <w:b/>
          <w:sz w:val="24"/>
          <w:szCs w:val="24"/>
        </w:rPr>
        <w:t>.</w:t>
      </w:r>
      <w:r w:rsidRPr="000D2BD8">
        <w:rPr>
          <w:rFonts w:ascii="Times New Roman" w:hAnsi="Times New Roman"/>
          <w:sz w:val="24"/>
          <w:szCs w:val="24"/>
        </w:rPr>
        <w:t xml:space="preserve">  However I do agree with counsel for Patrick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that the object of service is meant mainly to satisfy the tenets of natural justice and due process i.e. to give notice to the other side and afford them an opportunity to respond to the allegations made against them in the plaint.    I find the authority provided by counsel for David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useful in this aspect.  That is, in </w:t>
      </w:r>
      <w:proofErr w:type="spellStart"/>
      <w:r w:rsidRPr="000D2BD8">
        <w:rPr>
          <w:rFonts w:ascii="Times New Roman" w:hAnsi="Times New Roman"/>
          <w:b/>
          <w:sz w:val="24"/>
          <w:szCs w:val="24"/>
        </w:rPr>
        <w:t>Intercar</w:t>
      </w:r>
      <w:proofErr w:type="spellEnd"/>
      <w:r w:rsidRPr="000D2BD8">
        <w:rPr>
          <w:rFonts w:ascii="Times New Roman" w:hAnsi="Times New Roman"/>
          <w:b/>
          <w:sz w:val="24"/>
          <w:szCs w:val="24"/>
        </w:rPr>
        <w:t xml:space="preserve"> (U)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Spear Motors Ltd CA.88/08,</w:t>
      </w:r>
      <w:r w:rsidRPr="000D2BD8">
        <w:rPr>
          <w:rFonts w:ascii="Times New Roman" w:hAnsi="Times New Roman"/>
          <w:sz w:val="24"/>
          <w:szCs w:val="24"/>
        </w:rPr>
        <w:t xml:space="preserve">  the Court of Appeal took the liberal view that the mandatory provisions of O.5 r1(3)(C) can be qualified in certain circumstances.  The court was of the </w:t>
      </w:r>
      <w:proofErr w:type="gramStart"/>
      <w:r w:rsidRPr="000D2BD8">
        <w:rPr>
          <w:rFonts w:ascii="Times New Roman" w:hAnsi="Times New Roman"/>
          <w:sz w:val="24"/>
          <w:szCs w:val="24"/>
        </w:rPr>
        <w:t>view  that</w:t>
      </w:r>
      <w:proofErr w:type="gramEnd"/>
      <w:r w:rsidRPr="000D2BD8">
        <w:rPr>
          <w:rFonts w:ascii="Times New Roman" w:hAnsi="Times New Roman"/>
          <w:sz w:val="24"/>
          <w:szCs w:val="24"/>
        </w:rPr>
        <w:t xml:space="preserve"> the purpose of summons has its background in the doctrine of natural justice i.e. is to give notice to the party on whom it is made and give him a chance to resist the action.  </w:t>
      </w:r>
      <w:proofErr w:type="gramStart"/>
      <w:r w:rsidRPr="000D2BD8">
        <w:rPr>
          <w:rFonts w:ascii="Times New Roman" w:hAnsi="Times New Roman"/>
          <w:sz w:val="24"/>
          <w:szCs w:val="24"/>
        </w:rPr>
        <w:t xml:space="preserve">That the mandatory provision should be </w:t>
      </w:r>
      <w:r w:rsidRPr="000D2BD8">
        <w:rPr>
          <w:rFonts w:ascii="Times New Roman" w:hAnsi="Times New Roman"/>
          <w:sz w:val="24"/>
          <w:szCs w:val="24"/>
        </w:rPr>
        <w:lastRenderedPageBreak/>
        <w:t>qualified where the appellant has filed his defense because that shows that they are now aware of the suit and made a reply to it.</w:t>
      </w:r>
      <w:proofErr w:type="gramEnd"/>
      <w:r w:rsidRPr="000D2BD8">
        <w:rPr>
          <w:rFonts w:ascii="Times New Roman" w:hAnsi="Times New Roman"/>
          <w:sz w:val="24"/>
          <w:szCs w:val="24"/>
        </w:rPr>
        <w:t xml:space="preserve">  In their view</w:t>
      </w:r>
      <w:proofErr w:type="gramStart"/>
      <w:r w:rsidRPr="000D2BD8">
        <w:rPr>
          <w:rFonts w:ascii="Times New Roman" w:hAnsi="Times New Roman"/>
          <w:sz w:val="24"/>
          <w:szCs w:val="24"/>
        </w:rPr>
        <w:t>,  the</w:t>
      </w:r>
      <w:proofErr w:type="gramEnd"/>
      <w:r w:rsidRPr="000D2BD8">
        <w:rPr>
          <w:rFonts w:ascii="Times New Roman" w:hAnsi="Times New Roman"/>
          <w:sz w:val="24"/>
          <w:szCs w:val="24"/>
        </w:rPr>
        <w:t xml:space="preserve"> mandatory provisions of Order 5 have been superseded by article 126(2) (e) of the Constitution.  The court then concluded that a Judge can </w:t>
      </w:r>
      <w:proofErr w:type="gramStart"/>
      <w:r w:rsidRPr="000D2BD8">
        <w:rPr>
          <w:rFonts w:ascii="Times New Roman" w:hAnsi="Times New Roman"/>
          <w:sz w:val="24"/>
          <w:szCs w:val="24"/>
        </w:rPr>
        <w:t>use  her</w:t>
      </w:r>
      <w:proofErr w:type="gramEnd"/>
      <w:r w:rsidRPr="000D2BD8">
        <w:rPr>
          <w:rFonts w:ascii="Times New Roman" w:hAnsi="Times New Roman"/>
          <w:sz w:val="24"/>
          <w:szCs w:val="24"/>
        </w:rPr>
        <w:t xml:space="preserve"> discretion to extend time to serve summons if the defense is already filed on record.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However, the same court in </w:t>
      </w:r>
      <w:proofErr w:type="spellStart"/>
      <w:r w:rsidRPr="000D2BD8">
        <w:rPr>
          <w:rFonts w:ascii="Times New Roman" w:hAnsi="Times New Roman"/>
          <w:b/>
          <w:sz w:val="24"/>
          <w:szCs w:val="24"/>
        </w:rPr>
        <w:t>Rwabuganda</w:t>
      </w:r>
      <w:proofErr w:type="spellEnd"/>
      <w:r w:rsidRPr="000D2BD8">
        <w:rPr>
          <w:rFonts w:ascii="Times New Roman" w:hAnsi="Times New Roman"/>
          <w:b/>
          <w:sz w:val="24"/>
          <w:szCs w:val="24"/>
        </w:rPr>
        <w:t xml:space="preserve"> Godfrey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Bitamisi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Namuddu</w:t>
      </w:r>
      <w:proofErr w:type="spellEnd"/>
      <w:r w:rsidRPr="000D2BD8">
        <w:rPr>
          <w:rFonts w:ascii="Times New Roman" w:hAnsi="Times New Roman"/>
          <w:sz w:val="24"/>
          <w:szCs w:val="24"/>
        </w:rPr>
        <w:t xml:space="preserve"> (</w:t>
      </w:r>
      <w:r w:rsidRPr="000D2BD8">
        <w:rPr>
          <w:rFonts w:ascii="Times New Roman" w:hAnsi="Times New Roman"/>
          <w:b/>
          <w:sz w:val="24"/>
          <w:szCs w:val="24"/>
        </w:rPr>
        <w:t>supra</w:t>
      </w:r>
      <w:r w:rsidRPr="000D2BD8">
        <w:rPr>
          <w:rFonts w:ascii="Times New Roman" w:hAnsi="Times New Roman"/>
          <w:sz w:val="24"/>
          <w:szCs w:val="24"/>
        </w:rPr>
        <w:t xml:space="preserve">) was of a different view.  They sought to apply the provisions of O.5 strictly and set aside an </w:t>
      </w:r>
      <w:proofErr w:type="spellStart"/>
      <w:r w:rsidRPr="000D2BD8">
        <w:rPr>
          <w:rFonts w:ascii="Times New Roman" w:hAnsi="Times New Roman"/>
          <w:i/>
          <w:sz w:val="24"/>
          <w:szCs w:val="24"/>
        </w:rPr>
        <w:t>exparte</w:t>
      </w:r>
      <w:proofErr w:type="spellEnd"/>
      <w:r w:rsidRPr="000D2BD8">
        <w:rPr>
          <w:rFonts w:ascii="Times New Roman" w:hAnsi="Times New Roman"/>
          <w:sz w:val="24"/>
          <w:szCs w:val="24"/>
        </w:rPr>
        <w:t xml:space="preserve"> decision of the Land Tribunal which allowed the issuance of fresh summons to a party who had not complied with the provisions of O.5 r2 CPR.  The court held the opinion that the </w:t>
      </w:r>
      <w:proofErr w:type="spellStart"/>
      <w:r w:rsidRPr="000D2BD8">
        <w:rPr>
          <w:rFonts w:ascii="Times New Roman" w:hAnsi="Times New Roman"/>
          <w:i/>
          <w:sz w:val="24"/>
          <w:szCs w:val="24"/>
        </w:rPr>
        <w:t>exparte</w:t>
      </w:r>
      <w:proofErr w:type="spellEnd"/>
      <w:r w:rsidRPr="000D2BD8">
        <w:rPr>
          <w:rFonts w:ascii="Times New Roman" w:hAnsi="Times New Roman"/>
          <w:sz w:val="24"/>
          <w:szCs w:val="24"/>
        </w:rPr>
        <w:t xml:space="preserve"> decree and judgment of the Land Tribunal that followed the substituted service was a nullity.   </w:t>
      </w: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In the two authorities above, the Court of Appeal appears to have a contradictory interpretation of mode and times of summons under Order 5 CPR.    However, I do hasten to add that even the court in </w:t>
      </w:r>
      <w:r w:rsidRPr="000D2BD8">
        <w:rPr>
          <w:rFonts w:ascii="Times New Roman" w:hAnsi="Times New Roman"/>
          <w:b/>
          <w:sz w:val="24"/>
          <w:szCs w:val="24"/>
        </w:rPr>
        <w:t xml:space="preserve">Inter Car (U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spear Motors (U) Ltd (</w:t>
      </w:r>
      <w:r w:rsidRPr="000D2BD8">
        <w:rPr>
          <w:rFonts w:ascii="Times New Roman" w:hAnsi="Times New Roman"/>
          <w:sz w:val="24"/>
          <w:szCs w:val="24"/>
        </w:rPr>
        <w:t xml:space="preserve">supra)  did agree that the provisions of  O.5 CPR are mandatory but can, in view of the supremacy of the Constitution (Art.126(e) in particular) and the particular circumstances of each case,  be waived.  This liberal view appears to run strongly through other decisions of the Court of Appeal where they have chosen to treat certain procedural rules as merely directory and not mandatory.  I find the quote from Smith’s </w:t>
      </w:r>
      <w:proofErr w:type="gramStart"/>
      <w:r w:rsidRPr="000D2BD8">
        <w:rPr>
          <w:rFonts w:ascii="Times New Roman" w:hAnsi="Times New Roman"/>
          <w:sz w:val="24"/>
          <w:szCs w:val="24"/>
        </w:rPr>
        <w:t>Judicial</w:t>
      </w:r>
      <w:proofErr w:type="gramEnd"/>
      <w:r w:rsidRPr="000D2BD8">
        <w:rPr>
          <w:rFonts w:ascii="Times New Roman" w:hAnsi="Times New Roman"/>
          <w:sz w:val="24"/>
          <w:szCs w:val="24"/>
        </w:rPr>
        <w:t xml:space="preserve"> review of an </w:t>
      </w:r>
      <w:proofErr w:type="spellStart"/>
      <w:r w:rsidRPr="000D2BD8">
        <w:rPr>
          <w:rFonts w:ascii="Times New Roman" w:hAnsi="Times New Roman"/>
          <w:sz w:val="24"/>
          <w:szCs w:val="24"/>
        </w:rPr>
        <w:t>Aministrative</w:t>
      </w:r>
      <w:proofErr w:type="spellEnd"/>
      <w:r w:rsidRPr="000D2BD8">
        <w:rPr>
          <w:rFonts w:ascii="Times New Roman" w:hAnsi="Times New Roman"/>
          <w:sz w:val="24"/>
          <w:szCs w:val="24"/>
        </w:rPr>
        <w:t xml:space="preserve"> Action 4</w:t>
      </w:r>
      <w:r w:rsidRPr="000D2BD8">
        <w:rPr>
          <w:rFonts w:ascii="Times New Roman" w:hAnsi="Times New Roman"/>
          <w:sz w:val="24"/>
          <w:szCs w:val="24"/>
          <w:vertAlign w:val="superscript"/>
        </w:rPr>
        <w:t>th</w:t>
      </w:r>
      <w:r w:rsidRPr="000D2BD8">
        <w:rPr>
          <w:rFonts w:ascii="Times New Roman" w:hAnsi="Times New Roman"/>
          <w:sz w:val="24"/>
          <w:szCs w:val="24"/>
        </w:rPr>
        <w:t xml:space="preserve"> Ed. 1980 at </w:t>
      </w:r>
      <w:proofErr w:type="spellStart"/>
      <w:r w:rsidRPr="000D2BD8">
        <w:rPr>
          <w:rFonts w:ascii="Times New Roman" w:hAnsi="Times New Roman"/>
          <w:sz w:val="24"/>
          <w:szCs w:val="24"/>
        </w:rPr>
        <w:t>pg</w:t>
      </w:r>
      <w:proofErr w:type="spellEnd"/>
      <w:r w:rsidRPr="000D2BD8">
        <w:rPr>
          <w:rFonts w:ascii="Times New Roman" w:hAnsi="Times New Roman"/>
          <w:sz w:val="24"/>
          <w:szCs w:val="24"/>
        </w:rPr>
        <w:t xml:space="preserve"> 142 (quoted in election appeal 26/2007) instructive,  </w:t>
      </w:r>
    </w:p>
    <w:p w:rsidR="00F24A68" w:rsidRPr="000D2BD8" w:rsidRDefault="00F24A68" w:rsidP="00F24A68">
      <w:pPr>
        <w:spacing w:line="360" w:lineRule="auto"/>
        <w:ind w:left="720"/>
        <w:jc w:val="both"/>
        <w:rPr>
          <w:rFonts w:ascii="Times New Roman" w:hAnsi="Times New Roman"/>
          <w:i/>
          <w:sz w:val="24"/>
          <w:szCs w:val="24"/>
        </w:rPr>
      </w:pPr>
      <w:proofErr w:type="gramStart"/>
      <w:r w:rsidRPr="000D2BD8">
        <w:rPr>
          <w:rFonts w:ascii="Times New Roman" w:hAnsi="Times New Roman"/>
          <w:sz w:val="24"/>
          <w:szCs w:val="24"/>
        </w:rPr>
        <w:t xml:space="preserve">“ </w:t>
      </w:r>
      <w:r w:rsidRPr="000D2BD8">
        <w:rPr>
          <w:rFonts w:ascii="Times New Roman" w:hAnsi="Times New Roman"/>
          <w:i/>
          <w:sz w:val="24"/>
          <w:szCs w:val="24"/>
        </w:rPr>
        <w:t>In</w:t>
      </w:r>
      <w:proofErr w:type="gramEnd"/>
      <w:r w:rsidRPr="000D2BD8">
        <w:rPr>
          <w:rFonts w:ascii="Times New Roman" w:hAnsi="Times New Roman"/>
          <w:i/>
          <w:sz w:val="24"/>
          <w:szCs w:val="24"/>
        </w:rPr>
        <w:t xml:space="preserve"> assessing the importance of the provision, particular regard may be had to its significance as protection of individual rights, the relative value that is normally attached to the rights that may be adversely affected by the decision and the importance of the procedural requirement in the overall administration scheme established by the statute.  </w:t>
      </w:r>
    </w:p>
    <w:p w:rsidR="00F24A68" w:rsidRPr="000D2BD8" w:rsidRDefault="00F24A68" w:rsidP="00F24A68">
      <w:pPr>
        <w:spacing w:line="360" w:lineRule="auto"/>
        <w:ind w:left="720"/>
        <w:jc w:val="both"/>
        <w:rPr>
          <w:rFonts w:ascii="Times New Roman" w:hAnsi="Times New Roman"/>
          <w:i/>
          <w:sz w:val="24"/>
          <w:szCs w:val="24"/>
        </w:rPr>
      </w:pPr>
      <w:r w:rsidRPr="000D2BD8">
        <w:rPr>
          <w:rFonts w:ascii="Times New Roman" w:hAnsi="Times New Roman"/>
          <w:i/>
          <w:sz w:val="24"/>
          <w:szCs w:val="24"/>
        </w:rPr>
        <w:t>Although nullification is the natural and usual consequence of disobedience, breach of procedural or formal rules is likely to be treated as a mere irregularity if the departure from the terms of the Act is of a trivial nature or if no substantial prejudice has been suffered by those for worse benefit the requirements were introduced or if serious public inconvenience would be caused by holding them to be mandatory or if the court is for any reason disinclined to interfere with the act or decision that is impugned”.</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Service of summons is clearly a procedural action meant to alert a party of proceedings against them.  It is but just one small albeit important step required to be taken in a long range of proceedings that will allow a dispute to be heard and adjudicated upon by a court.  The circumstances of this case are such that summons which should have been served not later than 3/7/14 were instead served on 18/7/14, a mere 15 days late.  The defendants did not deny the fact of service and did in fact file a defense to the suit.  They have not in any of their proceedings shown how late service has prejudiced their defense or affected the case in general.  The head suit is not yet dismissed and in my view, its dismissal may in fact result into a public inconvenience as it would mean filing of a fresh suit and the possible attendant interlocutory proceedings.  Again, going by the facts in the written statement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filed in the head suit, the parties are known to each other, with each claiming a stake (as administrator/beneficiary respectively) to the estate of the same deceased person.  In such circumstances the court is inclined to encourage an expeditious trial than de-support it.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The above notwithstanding, I do agree with counsel for the defendants that their filing of a defense should not be treated as a waiver by them of the irregularities now being raised against late service.  However,  the provisions of O.9  rule 2 ought to be read in conjunction with 0.9 r. 3 (a) (b) which provide that a defendant who wishes to dispute jurisdiction owing to any irregularities in the summons or its service,  should give notice and then make a specific application to set aside the summons or service of the service on him.  In fact under rule 0.9 r. 3(6) where a defendant does file such an application their deference on file is to be treated as a submission by them to the jurisdiction of the court in the proceedings. </w:t>
      </w: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In my view therefore I choose to treat late service of the summons as a mere technicality that does not go to the root of the suits existence.  I thereby find that the circumstances of this case merit exercise of my discretion to allow the application to extend the time within which service of summons in Civil Suit No.315/14 can be extended.  Since the summons </w:t>
      </w:r>
      <w:proofErr w:type="gramStart"/>
      <w:r w:rsidRPr="000D2BD8">
        <w:rPr>
          <w:rFonts w:ascii="Times New Roman" w:hAnsi="Times New Roman"/>
          <w:sz w:val="24"/>
          <w:szCs w:val="24"/>
        </w:rPr>
        <w:t>have  already</w:t>
      </w:r>
      <w:proofErr w:type="gramEnd"/>
      <w:r w:rsidRPr="000D2BD8">
        <w:rPr>
          <w:rFonts w:ascii="Times New Roman" w:hAnsi="Times New Roman"/>
          <w:sz w:val="24"/>
          <w:szCs w:val="24"/>
        </w:rPr>
        <w:t xml:space="preserve"> been  served  and the defendants do not deny such service, it is deemed that the head suit is properly maintainable before me and shall take its course.  Thereby MA.902/14 is dismissed and MA.1030/14 is allowed.  However</w:t>
      </w:r>
      <w:proofErr w:type="gramStart"/>
      <w:r w:rsidRPr="000D2BD8">
        <w:rPr>
          <w:rFonts w:ascii="Times New Roman" w:hAnsi="Times New Roman"/>
          <w:sz w:val="24"/>
          <w:szCs w:val="24"/>
        </w:rPr>
        <w:t>,  since</w:t>
      </w:r>
      <w:proofErr w:type="gramEnd"/>
      <w:r w:rsidRPr="000D2BD8">
        <w:rPr>
          <w:rFonts w:ascii="Times New Roman" w:hAnsi="Times New Roman"/>
          <w:sz w:val="24"/>
          <w:szCs w:val="24"/>
        </w:rPr>
        <w:t xml:space="preserve"> the plaintiff admitted his wrong, I decline to allow him </w:t>
      </w:r>
      <w:r w:rsidRPr="000D2BD8">
        <w:rPr>
          <w:rFonts w:ascii="Times New Roman" w:hAnsi="Times New Roman"/>
          <w:sz w:val="24"/>
          <w:szCs w:val="24"/>
        </w:rPr>
        <w:lastRenderedPageBreak/>
        <w:t>costs in both applications.  Accordingly, the interim order granted by the learned Registrar in MA.762/14 is maintained on the record until further orders to the contrary.</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 However, before I take leave of this case, I need to mention that my attention was drawn from facts related in the Written Statement of Defense of the head suit here (and not controverted by Mr.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the plaintiff) to the fact that there is an existing dispute in the Family Division, HCCS.</w:t>
      </w:r>
      <w:r w:rsidRPr="000D2BD8">
        <w:rPr>
          <w:rFonts w:ascii="Times New Roman" w:hAnsi="Times New Roman"/>
          <w:b/>
          <w:sz w:val="24"/>
          <w:szCs w:val="24"/>
        </w:rPr>
        <w:t xml:space="preserve"> </w:t>
      </w:r>
      <w:proofErr w:type="gramStart"/>
      <w:r w:rsidRPr="000D2BD8">
        <w:rPr>
          <w:rFonts w:ascii="Times New Roman" w:hAnsi="Times New Roman"/>
          <w:b/>
          <w:sz w:val="24"/>
          <w:szCs w:val="24"/>
        </w:rPr>
        <w:t xml:space="preserve">No. 42/08 George </w:t>
      </w:r>
      <w:proofErr w:type="spellStart"/>
      <w:r w:rsidRPr="000D2BD8">
        <w:rPr>
          <w:rFonts w:ascii="Times New Roman" w:hAnsi="Times New Roman"/>
          <w:b/>
          <w:sz w:val="24"/>
          <w:szCs w:val="24"/>
        </w:rPr>
        <w:t>Lukanga</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Patrick David </w:t>
      </w:r>
      <w:proofErr w:type="spellStart"/>
      <w:r w:rsidRPr="000D2BD8">
        <w:rPr>
          <w:rFonts w:ascii="Times New Roman" w:hAnsi="Times New Roman"/>
          <w:b/>
          <w:sz w:val="24"/>
          <w:szCs w:val="24"/>
        </w:rPr>
        <w:t>Kanakulya</w:t>
      </w:r>
      <w:proofErr w:type="spellEnd"/>
      <w:r w:rsidRPr="000D2BD8">
        <w:rPr>
          <w:rFonts w:ascii="Times New Roman" w:hAnsi="Times New Roman"/>
          <w:sz w:val="24"/>
          <w:szCs w:val="24"/>
        </w:rPr>
        <w:t>.</w:t>
      </w:r>
      <w:proofErr w:type="gramEnd"/>
      <w:r w:rsidRPr="000D2BD8">
        <w:rPr>
          <w:rFonts w:ascii="Times New Roman" w:hAnsi="Times New Roman"/>
          <w:sz w:val="24"/>
          <w:szCs w:val="24"/>
        </w:rPr>
        <w:t xml:space="preserve">    It is clear that some of the parties and the issue in dispute in HCCS. No.42/08 are the same </w:t>
      </w:r>
      <w:proofErr w:type="gramStart"/>
      <w:r w:rsidRPr="000D2BD8">
        <w:rPr>
          <w:rFonts w:ascii="Times New Roman" w:hAnsi="Times New Roman"/>
          <w:sz w:val="24"/>
          <w:szCs w:val="24"/>
        </w:rPr>
        <w:t>as  those</w:t>
      </w:r>
      <w:proofErr w:type="gramEnd"/>
      <w:r w:rsidRPr="000D2BD8">
        <w:rPr>
          <w:rFonts w:ascii="Times New Roman" w:hAnsi="Times New Roman"/>
          <w:sz w:val="24"/>
          <w:szCs w:val="24"/>
        </w:rPr>
        <w:t xml:space="preserve"> in the head suit before me.  In the family division the present defendants are the plaintiffs and claim to be beneficiaries of the estate of the late Christopher </w:t>
      </w:r>
      <w:proofErr w:type="spellStart"/>
      <w:r w:rsidRPr="000D2BD8">
        <w:rPr>
          <w:rFonts w:ascii="Times New Roman" w:hAnsi="Times New Roman"/>
          <w:sz w:val="24"/>
          <w:szCs w:val="24"/>
        </w:rPr>
        <w:t>Katerega</w:t>
      </w:r>
      <w:proofErr w:type="spellEnd"/>
      <w:r w:rsidRPr="000D2BD8">
        <w:rPr>
          <w:rFonts w:ascii="Times New Roman" w:hAnsi="Times New Roman"/>
          <w:sz w:val="24"/>
          <w:szCs w:val="24"/>
        </w:rPr>
        <w:t xml:space="preserve"> (hereinafter called the deceased) and that Mr.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obtained administration of the deceased’s estate fraudulently.  </w:t>
      </w:r>
      <w:proofErr w:type="gramStart"/>
      <w:r w:rsidRPr="000D2BD8">
        <w:rPr>
          <w:rFonts w:ascii="Times New Roman" w:hAnsi="Times New Roman"/>
          <w:sz w:val="24"/>
          <w:szCs w:val="24"/>
        </w:rPr>
        <w:t>The nature of the defense in that case is not disclosed but in HCCS.</w:t>
      </w:r>
      <w:proofErr w:type="gramEnd"/>
      <w:r w:rsidRPr="000D2BD8">
        <w:rPr>
          <w:rFonts w:ascii="Times New Roman" w:hAnsi="Times New Roman"/>
          <w:sz w:val="24"/>
          <w:szCs w:val="24"/>
        </w:rPr>
        <w:t xml:space="preserve"> No. 315/14 (which was filed five years later), Patrick </w:t>
      </w:r>
      <w:proofErr w:type="spellStart"/>
      <w:r w:rsidRPr="000D2BD8">
        <w:rPr>
          <w:rFonts w:ascii="Times New Roman" w:hAnsi="Times New Roman"/>
          <w:sz w:val="24"/>
          <w:szCs w:val="24"/>
        </w:rPr>
        <w:t>Kanakulya</w:t>
      </w:r>
      <w:proofErr w:type="spellEnd"/>
      <w:r w:rsidRPr="000D2BD8">
        <w:rPr>
          <w:rFonts w:ascii="Times New Roman" w:hAnsi="Times New Roman"/>
          <w:sz w:val="24"/>
          <w:szCs w:val="24"/>
        </w:rPr>
        <w:t xml:space="preserve"> claims ownership of the suit land having obtained administration as a grandchild and administrator of the deceased’s estate.  The defendants have a </w:t>
      </w:r>
      <w:proofErr w:type="spellStart"/>
      <w:r w:rsidRPr="000D2BD8">
        <w:rPr>
          <w:rFonts w:ascii="Times New Roman" w:hAnsi="Times New Roman"/>
          <w:sz w:val="24"/>
          <w:szCs w:val="24"/>
        </w:rPr>
        <w:t>parrel</w:t>
      </w:r>
      <w:proofErr w:type="spellEnd"/>
      <w:r w:rsidRPr="000D2BD8">
        <w:rPr>
          <w:rFonts w:ascii="Times New Roman" w:hAnsi="Times New Roman"/>
          <w:sz w:val="24"/>
          <w:szCs w:val="24"/>
        </w:rPr>
        <w:t xml:space="preserve"> claim to the said land as beneficiaries of the same estate.  Although the suit land was not specifically quoted in the earlier suit, I can assume that it is one of the properties owned by the deceased’s estate.  In my view therefore, it is important that the succession issues be settled first.    In fact, a verdict in the first case would completely resolve the dispute before me.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Therefore, I order that hearing of both HCCS. No.315/14 shall be stayed until final disposal of HCCS. </w:t>
      </w:r>
      <w:proofErr w:type="gramStart"/>
      <w:r w:rsidRPr="000D2BD8">
        <w:rPr>
          <w:rFonts w:ascii="Times New Roman" w:hAnsi="Times New Roman"/>
          <w:sz w:val="24"/>
          <w:szCs w:val="24"/>
        </w:rPr>
        <w:t>No.42/08 at the Family Division.</w:t>
      </w:r>
      <w:proofErr w:type="gramEnd"/>
      <w:r w:rsidRPr="000D2BD8">
        <w:rPr>
          <w:rFonts w:ascii="Times New Roman" w:hAnsi="Times New Roman"/>
          <w:sz w:val="24"/>
          <w:szCs w:val="24"/>
        </w:rPr>
        <w:t xml:space="preserve">  </w:t>
      </w: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My order with regard to costs shall be as here before stated.  </w:t>
      </w:r>
    </w:p>
    <w:p w:rsidR="00F24A68" w:rsidRPr="000D2BD8" w:rsidRDefault="00F24A68" w:rsidP="00F24A68">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spacing w:line="360" w:lineRule="auto"/>
        <w:jc w:val="both"/>
        <w:rPr>
          <w:rFonts w:ascii="Times New Roman" w:hAnsi="Times New Roman"/>
          <w:sz w:val="24"/>
          <w:szCs w:val="24"/>
        </w:rPr>
      </w:pPr>
    </w:p>
    <w:p w:rsidR="00F24A68" w:rsidRPr="000D2BD8" w:rsidRDefault="00F24A68" w:rsidP="00F24A68">
      <w:pPr>
        <w:pStyle w:val="NoSpacing"/>
        <w:rPr>
          <w:rFonts w:ascii="Times New Roman" w:hAnsi="Times New Roman"/>
          <w:b/>
          <w:sz w:val="24"/>
          <w:szCs w:val="24"/>
        </w:rPr>
      </w:pPr>
      <w:r w:rsidRPr="000D2BD8">
        <w:rPr>
          <w:rFonts w:ascii="Times New Roman" w:hAnsi="Times New Roman"/>
          <w:b/>
          <w:sz w:val="24"/>
          <w:szCs w:val="24"/>
        </w:rPr>
        <w:lastRenderedPageBreak/>
        <w:t>EVA K. LUSWATA</w:t>
      </w:r>
    </w:p>
    <w:p w:rsidR="00F24A68" w:rsidRPr="000D2BD8" w:rsidRDefault="00F24A68" w:rsidP="00F24A68">
      <w:pPr>
        <w:pStyle w:val="NoSpacing"/>
        <w:rPr>
          <w:rFonts w:ascii="Times New Roman" w:hAnsi="Times New Roman"/>
          <w:b/>
          <w:sz w:val="24"/>
          <w:szCs w:val="24"/>
        </w:rPr>
      </w:pPr>
      <w:r w:rsidRPr="000D2BD8">
        <w:rPr>
          <w:rFonts w:ascii="Times New Roman" w:hAnsi="Times New Roman"/>
          <w:b/>
          <w:sz w:val="24"/>
          <w:szCs w:val="24"/>
        </w:rPr>
        <w:t>JUDGE</w:t>
      </w:r>
    </w:p>
    <w:p w:rsidR="00F24A68" w:rsidRPr="000D2BD8" w:rsidRDefault="00F24A68" w:rsidP="00F24A68">
      <w:pPr>
        <w:pStyle w:val="NoSpacing"/>
        <w:rPr>
          <w:rFonts w:ascii="Times New Roman" w:hAnsi="Times New Roman"/>
          <w:b/>
          <w:sz w:val="24"/>
          <w:szCs w:val="24"/>
        </w:rPr>
      </w:pPr>
      <w:r w:rsidRPr="000D2BD8">
        <w:rPr>
          <w:rFonts w:ascii="Times New Roman" w:hAnsi="Times New Roman"/>
          <w:b/>
          <w:sz w:val="24"/>
          <w:szCs w:val="24"/>
        </w:rPr>
        <w:t>16 February 2015</w:t>
      </w:r>
    </w:p>
    <w:p w:rsidR="00F24A68" w:rsidRPr="000D2BD8" w:rsidRDefault="00F24A68" w:rsidP="00F24A68">
      <w:pPr>
        <w:spacing w:line="360" w:lineRule="auto"/>
        <w:rPr>
          <w:rFonts w:ascii="Times New Roman" w:hAnsi="Times New Roman"/>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09F"/>
    <w:multiLevelType w:val="hybridMultilevel"/>
    <w:tmpl w:val="77E03D7A"/>
    <w:lvl w:ilvl="0" w:tplc="B0EE440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36FDB"/>
    <w:multiLevelType w:val="hybridMultilevel"/>
    <w:tmpl w:val="27C4E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54C7B"/>
    <w:multiLevelType w:val="hybridMultilevel"/>
    <w:tmpl w:val="C942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68"/>
    <w:rsid w:val="009A77C0"/>
    <w:rsid w:val="00F2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A68"/>
    <w:pPr>
      <w:spacing w:after="0" w:line="240" w:lineRule="auto"/>
    </w:pPr>
    <w:rPr>
      <w:rFonts w:ascii="Calibri" w:eastAsia="Calibri" w:hAnsi="Calibri" w:cs="Times New Roman"/>
    </w:rPr>
  </w:style>
  <w:style w:type="paragraph" w:styleId="ListParagraph">
    <w:name w:val="List Paragraph"/>
    <w:basedOn w:val="Normal"/>
    <w:uiPriority w:val="34"/>
    <w:qFormat/>
    <w:rsid w:val="00F24A6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A68"/>
    <w:pPr>
      <w:spacing w:after="0" w:line="240" w:lineRule="auto"/>
    </w:pPr>
    <w:rPr>
      <w:rFonts w:ascii="Calibri" w:eastAsia="Calibri" w:hAnsi="Calibri" w:cs="Times New Roman"/>
    </w:rPr>
  </w:style>
  <w:style w:type="paragraph" w:styleId="ListParagraph">
    <w:name w:val="List Paragraph"/>
    <w:basedOn w:val="Normal"/>
    <w:uiPriority w:val="34"/>
    <w:qFormat/>
    <w:rsid w:val="00F24A6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2017-02-01T13:30:00Z</dcterms:created>
  <dcterms:modified xsi:type="dcterms:W3CDTF">2017-02-01T13:30:00Z</dcterms:modified>
</cp:coreProperties>
</file>