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B7B" w:rsidRPr="00D24334" w:rsidRDefault="003F6B7B" w:rsidP="003F6B7B">
      <w:pPr>
        <w:pStyle w:val="NoSpacing"/>
        <w:ind w:left="2160" w:firstLine="720"/>
        <w:rPr>
          <w:rFonts w:ascii="Times New Roman" w:hAnsi="Times New Roman"/>
          <w:b/>
          <w:sz w:val="24"/>
          <w:szCs w:val="24"/>
        </w:rPr>
      </w:pPr>
      <w:r w:rsidRPr="00D24334">
        <w:rPr>
          <w:rFonts w:ascii="Times New Roman" w:hAnsi="Times New Roman"/>
          <w:b/>
          <w:sz w:val="24"/>
          <w:szCs w:val="24"/>
        </w:rPr>
        <w:t>THE REPUBLIC OF UGANDA</w:t>
      </w:r>
    </w:p>
    <w:p w:rsidR="003F6B7B" w:rsidRPr="00D24334" w:rsidRDefault="003F6B7B" w:rsidP="003F6B7B">
      <w:pPr>
        <w:pStyle w:val="NoSpacing"/>
        <w:jc w:val="center"/>
        <w:rPr>
          <w:rFonts w:ascii="Times New Roman" w:hAnsi="Times New Roman"/>
          <w:b/>
          <w:sz w:val="24"/>
          <w:szCs w:val="24"/>
        </w:rPr>
      </w:pPr>
      <w:r w:rsidRPr="00D24334">
        <w:rPr>
          <w:rFonts w:ascii="Times New Roman" w:hAnsi="Times New Roman"/>
          <w:b/>
          <w:sz w:val="24"/>
          <w:szCs w:val="24"/>
        </w:rPr>
        <w:t>IN THE HIGH COURT OF UGANDA AT KAMPALA</w:t>
      </w:r>
    </w:p>
    <w:p w:rsidR="003F6B7B" w:rsidRPr="00D24334" w:rsidRDefault="003F6B7B" w:rsidP="003F6B7B">
      <w:pPr>
        <w:pStyle w:val="NoSpacing"/>
        <w:jc w:val="center"/>
        <w:rPr>
          <w:rFonts w:ascii="Times New Roman" w:hAnsi="Times New Roman"/>
          <w:b/>
          <w:sz w:val="24"/>
          <w:szCs w:val="24"/>
        </w:rPr>
      </w:pPr>
      <w:r w:rsidRPr="00D24334">
        <w:rPr>
          <w:rFonts w:ascii="Times New Roman" w:hAnsi="Times New Roman"/>
          <w:b/>
          <w:sz w:val="24"/>
          <w:szCs w:val="24"/>
        </w:rPr>
        <w:t>LAND DIVISION</w:t>
      </w:r>
    </w:p>
    <w:p w:rsidR="003F6B7B" w:rsidRPr="00D24334" w:rsidRDefault="003F6B7B" w:rsidP="003F6B7B">
      <w:pPr>
        <w:jc w:val="center"/>
        <w:rPr>
          <w:rFonts w:ascii="Times New Roman" w:hAnsi="Times New Roman"/>
          <w:b/>
          <w:sz w:val="24"/>
          <w:szCs w:val="24"/>
        </w:rPr>
      </w:pPr>
      <w:proofErr w:type="gramStart"/>
      <w:r w:rsidRPr="00D24334">
        <w:rPr>
          <w:rFonts w:ascii="Times New Roman" w:hAnsi="Times New Roman"/>
          <w:b/>
          <w:sz w:val="24"/>
          <w:szCs w:val="24"/>
        </w:rPr>
        <w:t>CIVIL SUIT NO.</w:t>
      </w:r>
      <w:proofErr w:type="gramEnd"/>
      <w:r w:rsidRPr="00D24334">
        <w:rPr>
          <w:rFonts w:ascii="Times New Roman" w:hAnsi="Times New Roman"/>
          <w:b/>
          <w:sz w:val="24"/>
          <w:szCs w:val="24"/>
        </w:rPr>
        <w:t xml:space="preserve"> 136 OF 2012</w:t>
      </w:r>
    </w:p>
    <w:p w:rsidR="003F6B7B" w:rsidRPr="00D24334" w:rsidRDefault="003F6B7B" w:rsidP="003F6B7B">
      <w:pPr>
        <w:pStyle w:val="NoSpacing"/>
        <w:numPr>
          <w:ilvl w:val="0"/>
          <w:numId w:val="1"/>
        </w:numPr>
        <w:rPr>
          <w:rFonts w:ascii="Times New Roman" w:hAnsi="Times New Roman"/>
          <w:b/>
          <w:sz w:val="24"/>
          <w:szCs w:val="24"/>
        </w:rPr>
      </w:pPr>
      <w:r w:rsidRPr="00D24334">
        <w:rPr>
          <w:rFonts w:ascii="Times New Roman" w:hAnsi="Times New Roman"/>
          <w:b/>
          <w:sz w:val="24"/>
          <w:szCs w:val="24"/>
        </w:rPr>
        <w:t xml:space="preserve">NUBUWATI NAMYALA                                    </w:t>
      </w:r>
    </w:p>
    <w:p w:rsidR="003F6B7B" w:rsidRPr="00D24334" w:rsidRDefault="003F6B7B" w:rsidP="003F6B7B">
      <w:pPr>
        <w:pStyle w:val="NoSpacing"/>
        <w:numPr>
          <w:ilvl w:val="0"/>
          <w:numId w:val="1"/>
        </w:numPr>
        <w:rPr>
          <w:rFonts w:ascii="Times New Roman" w:hAnsi="Times New Roman"/>
          <w:b/>
          <w:sz w:val="24"/>
          <w:szCs w:val="24"/>
        </w:rPr>
      </w:pPr>
      <w:r w:rsidRPr="00D24334">
        <w:rPr>
          <w:rFonts w:ascii="Times New Roman" w:hAnsi="Times New Roman"/>
          <w:b/>
          <w:sz w:val="24"/>
          <w:szCs w:val="24"/>
        </w:rPr>
        <w:t>MUSLIM  SEKITOLEKO</w:t>
      </w:r>
    </w:p>
    <w:p w:rsidR="003F6B7B" w:rsidRPr="00D24334" w:rsidRDefault="003F6B7B" w:rsidP="003F6B7B">
      <w:pPr>
        <w:pStyle w:val="NoSpacing"/>
        <w:numPr>
          <w:ilvl w:val="0"/>
          <w:numId w:val="1"/>
        </w:numPr>
        <w:rPr>
          <w:rFonts w:ascii="Times New Roman" w:hAnsi="Times New Roman"/>
          <w:b/>
          <w:sz w:val="24"/>
          <w:szCs w:val="24"/>
        </w:rPr>
      </w:pPr>
      <w:r w:rsidRPr="00D24334">
        <w:rPr>
          <w:rFonts w:ascii="Times New Roman" w:hAnsi="Times New Roman"/>
          <w:b/>
          <w:sz w:val="24"/>
          <w:szCs w:val="24"/>
        </w:rPr>
        <w:t>YUNUS SEGAWA KIWENDO                ………………   PLAINTIFFS</w:t>
      </w:r>
    </w:p>
    <w:p w:rsidR="003F6B7B" w:rsidRPr="00D24334" w:rsidRDefault="003F6B7B" w:rsidP="003F6B7B">
      <w:pPr>
        <w:pStyle w:val="NoSpacing"/>
        <w:rPr>
          <w:rFonts w:ascii="Times New Roman" w:hAnsi="Times New Roman"/>
          <w:b/>
          <w:sz w:val="24"/>
          <w:szCs w:val="24"/>
        </w:rPr>
      </w:pPr>
      <w:r w:rsidRPr="00D24334">
        <w:rPr>
          <w:rFonts w:ascii="Times New Roman" w:hAnsi="Times New Roman"/>
          <w:b/>
          <w:sz w:val="24"/>
          <w:szCs w:val="24"/>
        </w:rPr>
        <w:t xml:space="preserve">      (ADMINISTRATORS OF THE</w:t>
      </w:r>
    </w:p>
    <w:p w:rsidR="003F6B7B" w:rsidRPr="00D24334" w:rsidRDefault="003F6B7B" w:rsidP="003F6B7B">
      <w:pPr>
        <w:pStyle w:val="NoSpacing"/>
        <w:rPr>
          <w:rFonts w:ascii="Times New Roman" w:hAnsi="Times New Roman"/>
          <w:b/>
          <w:sz w:val="24"/>
          <w:szCs w:val="24"/>
        </w:rPr>
      </w:pPr>
      <w:r w:rsidRPr="00D24334">
        <w:rPr>
          <w:rFonts w:ascii="Times New Roman" w:hAnsi="Times New Roman"/>
          <w:b/>
          <w:sz w:val="24"/>
          <w:szCs w:val="24"/>
        </w:rPr>
        <w:t xml:space="preserve">      ESTATE OF THE ESTATE OF </w:t>
      </w:r>
    </w:p>
    <w:p w:rsidR="003F6B7B" w:rsidRPr="00D24334" w:rsidRDefault="003F6B7B" w:rsidP="003F6B7B">
      <w:pPr>
        <w:pStyle w:val="NoSpacing"/>
        <w:rPr>
          <w:rFonts w:ascii="Times New Roman" w:hAnsi="Times New Roman"/>
          <w:b/>
          <w:sz w:val="24"/>
          <w:szCs w:val="24"/>
        </w:rPr>
      </w:pPr>
      <w:r w:rsidRPr="00D24334">
        <w:rPr>
          <w:rFonts w:ascii="Times New Roman" w:hAnsi="Times New Roman"/>
          <w:b/>
          <w:sz w:val="24"/>
          <w:szCs w:val="24"/>
        </w:rPr>
        <w:t>THE LATE HASSAN SSALI</w:t>
      </w:r>
    </w:p>
    <w:p w:rsidR="003F6B7B" w:rsidRPr="00D24334" w:rsidRDefault="003F6B7B" w:rsidP="003F6B7B">
      <w:pPr>
        <w:pStyle w:val="NoSpacing"/>
        <w:rPr>
          <w:rFonts w:ascii="Times New Roman" w:hAnsi="Times New Roman"/>
          <w:b/>
          <w:sz w:val="24"/>
          <w:szCs w:val="24"/>
        </w:rPr>
      </w:pPr>
    </w:p>
    <w:p w:rsidR="003F6B7B" w:rsidRPr="00D24334" w:rsidRDefault="003F6B7B" w:rsidP="003F6B7B">
      <w:pPr>
        <w:pStyle w:val="NoSpacing"/>
        <w:jc w:val="center"/>
        <w:rPr>
          <w:rFonts w:ascii="Times New Roman" w:hAnsi="Times New Roman"/>
          <w:b/>
          <w:sz w:val="24"/>
          <w:szCs w:val="24"/>
        </w:rPr>
      </w:pPr>
      <w:r w:rsidRPr="00D24334">
        <w:rPr>
          <w:rFonts w:ascii="Times New Roman" w:hAnsi="Times New Roman"/>
          <w:b/>
          <w:sz w:val="24"/>
          <w:szCs w:val="24"/>
        </w:rPr>
        <w:t>VERSUS</w:t>
      </w:r>
    </w:p>
    <w:p w:rsidR="003F6B7B" w:rsidRPr="00D24334" w:rsidRDefault="003F6B7B" w:rsidP="003F6B7B">
      <w:pPr>
        <w:pStyle w:val="NoSpacing"/>
        <w:jc w:val="center"/>
        <w:rPr>
          <w:rFonts w:ascii="Times New Roman" w:hAnsi="Times New Roman"/>
          <w:b/>
          <w:sz w:val="24"/>
          <w:szCs w:val="24"/>
        </w:rPr>
      </w:pPr>
    </w:p>
    <w:p w:rsidR="003F6B7B" w:rsidRPr="00D24334" w:rsidRDefault="003F6B7B" w:rsidP="003F6B7B">
      <w:pPr>
        <w:pStyle w:val="ListParagraph"/>
        <w:numPr>
          <w:ilvl w:val="0"/>
          <w:numId w:val="2"/>
        </w:numPr>
        <w:rPr>
          <w:rFonts w:ascii="Times New Roman" w:hAnsi="Times New Roman" w:cs="Times New Roman"/>
          <w:b/>
          <w:sz w:val="24"/>
          <w:szCs w:val="24"/>
        </w:rPr>
      </w:pPr>
      <w:r w:rsidRPr="00D24334">
        <w:rPr>
          <w:rFonts w:ascii="Times New Roman" w:hAnsi="Times New Roman" w:cs="Times New Roman"/>
          <w:b/>
          <w:sz w:val="24"/>
          <w:szCs w:val="24"/>
        </w:rPr>
        <w:t xml:space="preserve"> UGANDA NATIONAL ROADS AUTHORITY</w:t>
      </w:r>
    </w:p>
    <w:p w:rsidR="003F6B7B" w:rsidRPr="00D24334" w:rsidRDefault="003F6B7B" w:rsidP="003F6B7B">
      <w:pPr>
        <w:pStyle w:val="ListParagraph"/>
        <w:numPr>
          <w:ilvl w:val="0"/>
          <w:numId w:val="2"/>
        </w:numPr>
        <w:rPr>
          <w:rFonts w:ascii="Times New Roman" w:hAnsi="Times New Roman" w:cs="Times New Roman"/>
          <w:b/>
          <w:sz w:val="24"/>
          <w:szCs w:val="24"/>
        </w:rPr>
      </w:pPr>
      <w:r w:rsidRPr="00D24334">
        <w:rPr>
          <w:rFonts w:ascii="Times New Roman" w:hAnsi="Times New Roman" w:cs="Times New Roman"/>
          <w:b/>
          <w:sz w:val="24"/>
          <w:szCs w:val="24"/>
        </w:rPr>
        <w:t xml:space="preserve"> ANTORNEY GENERAL…………………………………   DEFENDANTS</w:t>
      </w:r>
    </w:p>
    <w:p w:rsidR="003F6B7B" w:rsidRPr="00D24334" w:rsidRDefault="003F6B7B" w:rsidP="003F6B7B">
      <w:pPr>
        <w:jc w:val="center"/>
        <w:rPr>
          <w:rFonts w:ascii="Times New Roman" w:hAnsi="Times New Roman"/>
          <w:b/>
          <w:sz w:val="24"/>
          <w:szCs w:val="24"/>
          <w:u w:val="single"/>
        </w:rPr>
      </w:pPr>
      <w:r w:rsidRPr="00D24334">
        <w:rPr>
          <w:rFonts w:ascii="Times New Roman" w:hAnsi="Times New Roman"/>
          <w:b/>
          <w:sz w:val="24"/>
          <w:szCs w:val="24"/>
          <w:u w:val="single"/>
        </w:rPr>
        <w:t>RULING</w:t>
      </w:r>
    </w:p>
    <w:p w:rsidR="003F6B7B" w:rsidRPr="00D24334" w:rsidRDefault="003F6B7B" w:rsidP="003F6B7B">
      <w:pPr>
        <w:tabs>
          <w:tab w:val="left" w:pos="8310"/>
        </w:tabs>
        <w:rPr>
          <w:rFonts w:ascii="Times New Roman" w:hAnsi="Times New Roman"/>
          <w:b/>
          <w:sz w:val="24"/>
          <w:szCs w:val="24"/>
          <w:u w:val="single"/>
        </w:rPr>
      </w:pPr>
      <w:r w:rsidRPr="00D24334">
        <w:rPr>
          <w:rFonts w:ascii="Times New Roman" w:hAnsi="Times New Roman"/>
          <w:b/>
          <w:sz w:val="24"/>
          <w:szCs w:val="24"/>
          <w:u w:val="single"/>
        </w:rPr>
        <w:t>BEFORE HONOURABLE LADY JUSTICE EVA K. LUSWATA</w:t>
      </w:r>
    </w:p>
    <w:p w:rsidR="003F6B7B" w:rsidRPr="00D24334" w:rsidRDefault="003F6B7B" w:rsidP="003F6B7B">
      <w:pPr>
        <w:jc w:val="both"/>
        <w:rPr>
          <w:rFonts w:ascii="Times New Roman" w:hAnsi="Times New Roman"/>
          <w:sz w:val="24"/>
          <w:szCs w:val="24"/>
        </w:rPr>
      </w:pPr>
      <w:r w:rsidRPr="00D24334">
        <w:rPr>
          <w:rFonts w:ascii="Times New Roman" w:hAnsi="Times New Roman"/>
          <w:sz w:val="24"/>
          <w:szCs w:val="24"/>
        </w:rPr>
        <w:t xml:space="preserve">In this suit, the plaintiffs as administrators of the estate of the late Hassan </w:t>
      </w:r>
      <w:proofErr w:type="spellStart"/>
      <w:r w:rsidRPr="00D24334">
        <w:rPr>
          <w:rFonts w:ascii="Times New Roman" w:hAnsi="Times New Roman"/>
          <w:sz w:val="24"/>
          <w:szCs w:val="24"/>
        </w:rPr>
        <w:t>Ssali</w:t>
      </w:r>
      <w:proofErr w:type="spellEnd"/>
      <w:r w:rsidRPr="00D24334">
        <w:rPr>
          <w:rFonts w:ascii="Times New Roman" w:hAnsi="Times New Roman"/>
          <w:sz w:val="24"/>
          <w:szCs w:val="24"/>
        </w:rPr>
        <w:t xml:space="preserve"> seek for a declaratory order that they are the rightful owners of land comprised in </w:t>
      </w:r>
      <w:proofErr w:type="spellStart"/>
      <w:r w:rsidRPr="00D24334">
        <w:rPr>
          <w:rFonts w:ascii="Times New Roman" w:hAnsi="Times New Roman"/>
          <w:sz w:val="24"/>
          <w:szCs w:val="24"/>
        </w:rPr>
        <w:t>Kyadondo</w:t>
      </w:r>
      <w:proofErr w:type="spellEnd"/>
      <w:r w:rsidRPr="00D24334">
        <w:rPr>
          <w:rFonts w:ascii="Times New Roman" w:hAnsi="Times New Roman"/>
          <w:sz w:val="24"/>
          <w:szCs w:val="24"/>
        </w:rPr>
        <w:t xml:space="preserve"> Block 234 Plot 250 at </w:t>
      </w:r>
      <w:proofErr w:type="spellStart"/>
      <w:r w:rsidRPr="00D24334">
        <w:rPr>
          <w:rFonts w:ascii="Times New Roman" w:hAnsi="Times New Roman"/>
          <w:sz w:val="24"/>
          <w:szCs w:val="24"/>
        </w:rPr>
        <w:t>Kirinya</w:t>
      </w:r>
      <w:proofErr w:type="spellEnd"/>
      <w:r w:rsidRPr="00D24334">
        <w:rPr>
          <w:rFonts w:ascii="Times New Roman" w:hAnsi="Times New Roman"/>
          <w:sz w:val="24"/>
          <w:szCs w:val="24"/>
        </w:rPr>
        <w:t xml:space="preserve"> (hereinafter called the suit land), compensation as a result of trespass and in lieu of an illegal alienation of the suit land by the defendants, disturbance allowance, interest and costs.  They sought in the alternative a permanent injunction restraining the defendants from further trespass on the suit </w:t>
      </w:r>
      <w:proofErr w:type="spellStart"/>
      <w:r w:rsidRPr="00D24334">
        <w:rPr>
          <w:rFonts w:ascii="Times New Roman" w:hAnsi="Times New Roman"/>
          <w:sz w:val="24"/>
          <w:szCs w:val="24"/>
        </w:rPr>
        <w:t>land</w:t>
      </w:r>
      <w:proofErr w:type="gramStart"/>
      <w:r w:rsidRPr="00D24334">
        <w:rPr>
          <w:rFonts w:ascii="Times New Roman" w:hAnsi="Times New Roman"/>
          <w:sz w:val="24"/>
          <w:szCs w:val="24"/>
        </w:rPr>
        <w:t>,interest</w:t>
      </w:r>
      <w:proofErr w:type="spellEnd"/>
      <w:proofErr w:type="gramEnd"/>
      <w:r w:rsidRPr="00D24334">
        <w:rPr>
          <w:rFonts w:ascii="Times New Roman" w:hAnsi="Times New Roman"/>
          <w:sz w:val="24"/>
          <w:szCs w:val="24"/>
        </w:rPr>
        <w:t xml:space="preserve">, and costs of the suit. In their written statement of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filed on 23/4/2012,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showed that they intended to raise a preliminary objection to the effect that the suit is premature and an abuse of court process. By leave of court, the submissions on the objections were presented in writing.</w:t>
      </w:r>
      <w:r w:rsidRPr="00D24334">
        <w:rPr>
          <w:rFonts w:ascii="Times New Roman" w:hAnsi="Times New Roman"/>
          <w:sz w:val="24"/>
          <w:szCs w:val="24"/>
        </w:rPr>
        <w:br/>
        <w:t>The preliminary objection was raised under Order 7 rule 11(d), Order 6 rules 28, 29 and 30, Order 15 rule 2 and Section 98 of the Civil Procedure Act Cap 71. It was argued for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that that the plaintiff’s suit does not disclose a cause of action and the same is an abuse of court process. </w:t>
      </w:r>
      <w:r w:rsidRPr="00D24334">
        <w:rPr>
          <w:rFonts w:ascii="Times New Roman" w:hAnsi="Times New Roman"/>
          <w:sz w:val="24"/>
          <w:szCs w:val="24"/>
        </w:rPr>
        <w:br/>
        <w:t xml:space="preserve">Counsel then presented a host of authorities which define a cause of action and </w:t>
      </w:r>
    </w:p>
    <w:p w:rsidR="003F6B7B" w:rsidRPr="00D24334" w:rsidRDefault="003F6B7B" w:rsidP="003F6B7B">
      <w:pPr>
        <w:jc w:val="both"/>
        <w:rPr>
          <w:rFonts w:ascii="Times New Roman" w:hAnsi="Times New Roman"/>
          <w:sz w:val="24"/>
          <w:szCs w:val="24"/>
        </w:rPr>
      </w:pPr>
      <w:proofErr w:type="gramStart"/>
      <w:r w:rsidRPr="00D24334">
        <w:rPr>
          <w:rFonts w:ascii="Times New Roman" w:hAnsi="Times New Roman"/>
          <w:sz w:val="24"/>
          <w:szCs w:val="24"/>
        </w:rPr>
        <w:t>what</w:t>
      </w:r>
      <w:proofErr w:type="gramEnd"/>
      <w:r w:rsidRPr="00D24334">
        <w:rPr>
          <w:rFonts w:ascii="Times New Roman" w:hAnsi="Times New Roman"/>
          <w:sz w:val="24"/>
          <w:szCs w:val="24"/>
        </w:rPr>
        <w:t xml:space="preserve"> is to be done where pleadings omit to establish one. Worthy of mention is the celebrated case of </w:t>
      </w:r>
      <w:r w:rsidRPr="00D24334">
        <w:rPr>
          <w:rFonts w:ascii="Times New Roman" w:hAnsi="Times New Roman"/>
          <w:b/>
          <w:sz w:val="24"/>
          <w:szCs w:val="24"/>
        </w:rPr>
        <w:t xml:space="preserve">Auto Garage and others Vs. </w:t>
      </w:r>
      <w:proofErr w:type="spellStart"/>
      <w:r w:rsidRPr="00D24334">
        <w:rPr>
          <w:rFonts w:ascii="Times New Roman" w:hAnsi="Times New Roman"/>
          <w:b/>
          <w:sz w:val="24"/>
          <w:szCs w:val="24"/>
        </w:rPr>
        <w:t>Motokov</w:t>
      </w:r>
      <w:proofErr w:type="spellEnd"/>
      <w:r w:rsidRPr="00D24334">
        <w:rPr>
          <w:rFonts w:ascii="Times New Roman" w:hAnsi="Times New Roman"/>
          <w:b/>
          <w:sz w:val="24"/>
          <w:szCs w:val="24"/>
        </w:rPr>
        <w:t xml:space="preserve"> (No.3) (1971) EA 514</w:t>
      </w:r>
      <w:r w:rsidRPr="00D24334">
        <w:rPr>
          <w:rFonts w:ascii="Times New Roman" w:hAnsi="Times New Roman"/>
          <w:sz w:val="24"/>
          <w:szCs w:val="24"/>
        </w:rPr>
        <w:t xml:space="preserve"> where </w:t>
      </w:r>
      <w:r w:rsidRPr="00D24334">
        <w:rPr>
          <w:rFonts w:ascii="Times New Roman" w:hAnsi="Times New Roman"/>
          <w:b/>
          <w:i/>
          <w:sz w:val="24"/>
          <w:szCs w:val="24"/>
        </w:rPr>
        <w:t xml:space="preserve">Spry J </w:t>
      </w:r>
      <w:r w:rsidRPr="00D24334">
        <w:rPr>
          <w:rFonts w:ascii="Times New Roman" w:hAnsi="Times New Roman"/>
          <w:sz w:val="24"/>
          <w:szCs w:val="24"/>
        </w:rPr>
        <w:t xml:space="preserve">stated that in order to prove that there is a cause of action, it is necessary for the plaintiff to establish in the plaint three essential elements namely, that the plaintiff enjoyed a right, the right has been violated and the defendant is liable for the violation.  </w:t>
      </w:r>
    </w:p>
    <w:p w:rsidR="003F6B7B" w:rsidRPr="00D24334" w:rsidRDefault="003F6B7B" w:rsidP="003F6B7B">
      <w:pPr>
        <w:jc w:val="both"/>
        <w:rPr>
          <w:rFonts w:ascii="Times New Roman" w:hAnsi="Times New Roman"/>
          <w:sz w:val="24"/>
          <w:szCs w:val="24"/>
        </w:rPr>
      </w:pPr>
      <w:r w:rsidRPr="00D24334">
        <w:rPr>
          <w:rFonts w:ascii="Times New Roman" w:hAnsi="Times New Roman"/>
          <w:sz w:val="24"/>
          <w:szCs w:val="24"/>
        </w:rPr>
        <w:t xml:space="preserve">Counsel then argued that in paragraph 7 of the plaint, it was shown that the process of land acquisition in respect of the northern by pass was concluded by the Government of Uganda </w:t>
      </w:r>
      <w:r w:rsidRPr="00D24334">
        <w:rPr>
          <w:rFonts w:ascii="Times New Roman" w:hAnsi="Times New Roman"/>
          <w:sz w:val="24"/>
          <w:szCs w:val="24"/>
        </w:rPr>
        <w:lastRenderedPageBreak/>
        <w:t>(GOU) through the Road Agency Formation Unit (RAFU) and Ministry of Works and Transport before the establishment of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That even after formation of the first defendant, they did not take up the liabilities in respect of the construction of the northern by pass which they argued remained vested in Government.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also raised issue of the fact that the plaintiff in the notice of intention to sue only mentioned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Upon those arguments, it was contended that the plaintiffs did not raise a cause of action against them and prayed for the suit against them to be dismissed with costs.</w:t>
      </w:r>
    </w:p>
    <w:p w:rsidR="003F6B7B" w:rsidRPr="00D24334" w:rsidRDefault="003F6B7B" w:rsidP="003F6B7B">
      <w:pPr>
        <w:jc w:val="both"/>
        <w:rPr>
          <w:rFonts w:ascii="Times New Roman" w:hAnsi="Times New Roman"/>
          <w:sz w:val="24"/>
          <w:szCs w:val="24"/>
        </w:rPr>
      </w:pPr>
      <w:r w:rsidRPr="00D24334">
        <w:rPr>
          <w:rFonts w:ascii="Times New Roman" w:hAnsi="Times New Roman"/>
          <w:sz w:val="24"/>
          <w:szCs w:val="24"/>
        </w:rPr>
        <w:t>It was further argued for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that the annexure attached to the plaint indicate that prior to filing the suit, the plaintiffs had been communicating with RAFU and steps were being taken to verify their claim. They instead chose to erroneously bring this suit against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This in their opinion is abuse of court process and they invited the court to exercise its inherent powers under section 98 of the CPA to dismiss the suit in order to prevent abuse of court process. </w:t>
      </w:r>
    </w:p>
    <w:p w:rsidR="003F6B7B" w:rsidRPr="00D24334" w:rsidRDefault="003F6B7B" w:rsidP="003F6B7B">
      <w:pPr>
        <w:jc w:val="both"/>
        <w:rPr>
          <w:rFonts w:ascii="Times New Roman" w:hAnsi="Times New Roman"/>
          <w:sz w:val="24"/>
          <w:szCs w:val="24"/>
        </w:rPr>
      </w:pPr>
      <w:r w:rsidRPr="00D24334">
        <w:rPr>
          <w:rFonts w:ascii="Times New Roman" w:hAnsi="Times New Roman"/>
          <w:sz w:val="24"/>
          <w:szCs w:val="24"/>
        </w:rPr>
        <w:t xml:space="preserve">In reply, counsel for the plaintiffs submitted that suit land is the property of the plaintiffs. That their legal right to the suit land was violated when the GOU illegally alienated the suit land without compensation or before negotiations for compensation could be completed. He further argued that the alienation of the suit land was done by the GOU through RAFU a department in the Ministry of Works.  It was further argued that in 2008, the Uganda National Roads Authority (UNRA) Act came into force effectively disbanding RAFU, and under </w:t>
      </w:r>
      <w:r w:rsidRPr="00D24334">
        <w:rPr>
          <w:rFonts w:ascii="Times New Roman" w:hAnsi="Times New Roman"/>
          <w:b/>
          <w:sz w:val="24"/>
          <w:szCs w:val="24"/>
        </w:rPr>
        <w:t>Section 6</w:t>
      </w:r>
      <w:r w:rsidRPr="00D24334">
        <w:rPr>
          <w:rFonts w:ascii="Times New Roman" w:hAnsi="Times New Roman"/>
          <w:sz w:val="24"/>
          <w:szCs w:val="24"/>
        </w:rPr>
        <w:t xml:space="preserve"> of the said Act, the national road network including the northern by pass road became the responsibility of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Thence, the plaintiff could only turn to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for remedy. </w:t>
      </w:r>
    </w:p>
    <w:p w:rsidR="003F6B7B" w:rsidRPr="00D24334" w:rsidRDefault="003F6B7B" w:rsidP="003F6B7B">
      <w:pPr>
        <w:jc w:val="both"/>
        <w:rPr>
          <w:rFonts w:ascii="Times New Roman" w:hAnsi="Times New Roman"/>
          <w:sz w:val="24"/>
          <w:szCs w:val="24"/>
        </w:rPr>
      </w:pPr>
      <w:r w:rsidRPr="00D24334">
        <w:rPr>
          <w:rFonts w:ascii="Times New Roman" w:hAnsi="Times New Roman"/>
          <w:sz w:val="24"/>
          <w:szCs w:val="24"/>
        </w:rPr>
        <w:t>It was further argued for the plaintiff that under Cap</w:t>
      </w:r>
      <w:r w:rsidRPr="00D24334">
        <w:rPr>
          <w:rFonts w:ascii="Times New Roman" w:hAnsi="Times New Roman"/>
          <w:b/>
          <w:sz w:val="24"/>
          <w:szCs w:val="24"/>
        </w:rPr>
        <w:t xml:space="preserve"> 72 </w:t>
      </w:r>
      <w:r w:rsidRPr="00D24334">
        <w:rPr>
          <w:rFonts w:ascii="Times New Roman" w:hAnsi="Times New Roman"/>
          <w:sz w:val="24"/>
          <w:szCs w:val="24"/>
        </w:rPr>
        <w:t>of the Civil Procedure and Limitation (</w:t>
      </w:r>
      <w:proofErr w:type="spellStart"/>
      <w:r w:rsidRPr="00D24334">
        <w:rPr>
          <w:rFonts w:ascii="Times New Roman" w:hAnsi="Times New Roman"/>
          <w:sz w:val="24"/>
          <w:szCs w:val="24"/>
        </w:rPr>
        <w:t>Misc</w:t>
      </w:r>
      <w:proofErr w:type="spellEnd"/>
      <w:r w:rsidRPr="00D24334">
        <w:rPr>
          <w:rFonts w:ascii="Times New Roman" w:hAnsi="Times New Roman"/>
          <w:sz w:val="24"/>
          <w:szCs w:val="24"/>
        </w:rPr>
        <w:t xml:space="preserve"> Provisions) Act (1</w:t>
      </w:r>
      <w:r w:rsidRPr="00D24334">
        <w:rPr>
          <w:rFonts w:ascii="Times New Roman" w:hAnsi="Times New Roman"/>
          <w:sz w:val="24"/>
          <w:szCs w:val="24"/>
          <w:vertAlign w:val="superscript"/>
        </w:rPr>
        <w:t>st</w:t>
      </w:r>
      <w:r w:rsidRPr="00D24334">
        <w:rPr>
          <w:rFonts w:ascii="Times New Roman" w:hAnsi="Times New Roman"/>
          <w:sz w:val="24"/>
          <w:szCs w:val="24"/>
        </w:rPr>
        <w:t xml:space="preserve"> schedule thereof),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is not a scheduled corporation and would therefore not require service of a statutory notice. Counsel concluded that the plaint discloses a cause of action against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in as far as it is vested with a statutory duty to remedy the violations of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in all issues concerning road network in Uganda.</w:t>
      </w:r>
    </w:p>
    <w:p w:rsidR="003F6B7B" w:rsidRPr="00D24334" w:rsidRDefault="003F6B7B" w:rsidP="003F6B7B">
      <w:pPr>
        <w:jc w:val="both"/>
        <w:rPr>
          <w:rFonts w:ascii="Times New Roman" w:hAnsi="Times New Roman"/>
          <w:sz w:val="24"/>
          <w:szCs w:val="24"/>
        </w:rPr>
      </w:pPr>
      <w:r w:rsidRPr="00D24334">
        <w:rPr>
          <w:rFonts w:ascii="Times New Roman" w:hAnsi="Times New Roman"/>
          <w:sz w:val="24"/>
          <w:szCs w:val="24"/>
        </w:rPr>
        <w:t xml:space="preserve">It is trite law that a plaint which does not disclose a cause of action ought to be struck out or rejected. In the case of </w:t>
      </w:r>
      <w:r w:rsidRPr="00D24334">
        <w:rPr>
          <w:rFonts w:ascii="Times New Roman" w:hAnsi="Times New Roman"/>
          <w:b/>
          <w:sz w:val="24"/>
          <w:szCs w:val="24"/>
        </w:rPr>
        <w:t>Cotter vs. Attorney General of Kenya [1938] EACA 18</w:t>
      </w:r>
      <w:r w:rsidRPr="00D24334">
        <w:rPr>
          <w:rFonts w:ascii="Times New Roman" w:hAnsi="Times New Roman"/>
          <w:sz w:val="24"/>
          <w:szCs w:val="24"/>
        </w:rPr>
        <w:t xml:space="preserve"> it was stated by </w:t>
      </w:r>
      <w:r w:rsidRPr="00D24334">
        <w:rPr>
          <w:rFonts w:ascii="Times New Roman" w:hAnsi="Times New Roman"/>
          <w:b/>
          <w:i/>
          <w:sz w:val="24"/>
          <w:szCs w:val="24"/>
        </w:rPr>
        <w:t>Sir Joseph Sheridan</w:t>
      </w:r>
      <w:r w:rsidRPr="00D24334">
        <w:rPr>
          <w:rFonts w:ascii="Times New Roman" w:hAnsi="Times New Roman"/>
          <w:sz w:val="24"/>
          <w:szCs w:val="24"/>
        </w:rPr>
        <w:t xml:space="preserve"> that </w:t>
      </w:r>
      <w:r w:rsidRPr="00D24334">
        <w:rPr>
          <w:rFonts w:ascii="Times New Roman" w:hAnsi="Times New Roman"/>
          <w:i/>
          <w:sz w:val="24"/>
          <w:szCs w:val="24"/>
        </w:rPr>
        <w:t xml:space="preserve">“what is important in considering whether a cause of action is revealed by the pleadings is the question as to which right has been violate” </w:t>
      </w:r>
      <w:r w:rsidRPr="00D24334">
        <w:rPr>
          <w:rFonts w:ascii="Times New Roman" w:hAnsi="Times New Roman"/>
          <w:sz w:val="24"/>
          <w:szCs w:val="24"/>
        </w:rPr>
        <w:t xml:space="preserve">and to that I add,  “by whom?”.   The position was further expounded by </w:t>
      </w:r>
      <w:r w:rsidRPr="00D24334">
        <w:rPr>
          <w:rFonts w:ascii="Times New Roman" w:hAnsi="Times New Roman"/>
          <w:b/>
          <w:i/>
          <w:sz w:val="24"/>
          <w:szCs w:val="24"/>
        </w:rPr>
        <w:t>Spry. J</w:t>
      </w:r>
      <w:r w:rsidRPr="00D24334">
        <w:rPr>
          <w:rFonts w:ascii="Times New Roman" w:hAnsi="Times New Roman"/>
          <w:sz w:val="24"/>
          <w:szCs w:val="24"/>
        </w:rPr>
        <w:t xml:space="preserve"> in the case of </w:t>
      </w:r>
      <w:r w:rsidRPr="00D24334">
        <w:rPr>
          <w:rFonts w:ascii="Times New Roman" w:hAnsi="Times New Roman"/>
          <w:b/>
          <w:sz w:val="24"/>
          <w:szCs w:val="24"/>
        </w:rPr>
        <w:t xml:space="preserve">Auto Garage and others vs. </w:t>
      </w:r>
      <w:proofErr w:type="spellStart"/>
      <w:r w:rsidRPr="00D24334">
        <w:rPr>
          <w:rFonts w:ascii="Times New Roman" w:hAnsi="Times New Roman"/>
          <w:b/>
          <w:sz w:val="24"/>
          <w:szCs w:val="24"/>
        </w:rPr>
        <w:t>Motokov</w:t>
      </w:r>
      <w:proofErr w:type="spellEnd"/>
      <w:r w:rsidRPr="00D24334">
        <w:rPr>
          <w:rFonts w:ascii="Times New Roman" w:hAnsi="Times New Roman"/>
          <w:b/>
          <w:sz w:val="24"/>
          <w:szCs w:val="24"/>
        </w:rPr>
        <w:t xml:space="preserve"> (supra</w:t>
      </w:r>
      <w:r w:rsidRPr="00D24334">
        <w:rPr>
          <w:rFonts w:ascii="Times New Roman" w:hAnsi="Times New Roman"/>
          <w:sz w:val="24"/>
          <w:szCs w:val="24"/>
        </w:rPr>
        <w:t>) that was cited by counsel for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where it was held that a cause of action arises where a plaintiff enjoyed a right, that right has been violated and that the defendant is liable. In my view, should one of those ingredients be missing, then the plaint should be struck out for not disclosing a cause of action. It is also important to note that the cause of action must be plainly apparent on the face of the plaint. </w:t>
      </w:r>
      <w:r w:rsidRPr="00D24334">
        <w:rPr>
          <w:rFonts w:ascii="Times New Roman" w:hAnsi="Times New Roman"/>
          <w:b/>
          <w:sz w:val="24"/>
          <w:szCs w:val="24"/>
        </w:rPr>
        <w:t xml:space="preserve">See: Attorney General vs. Major General David </w:t>
      </w:r>
      <w:proofErr w:type="spellStart"/>
      <w:r w:rsidRPr="00D24334">
        <w:rPr>
          <w:rFonts w:ascii="Times New Roman" w:hAnsi="Times New Roman"/>
          <w:b/>
          <w:sz w:val="24"/>
          <w:szCs w:val="24"/>
        </w:rPr>
        <w:t>Tinyenfuza</w:t>
      </w:r>
      <w:proofErr w:type="spellEnd"/>
      <w:r w:rsidRPr="00D24334">
        <w:rPr>
          <w:rFonts w:ascii="Times New Roman" w:hAnsi="Times New Roman"/>
          <w:b/>
          <w:sz w:val="24"/>
          <w:szCs w:val="24"/>
        </w:rPr>
        <w:t xml:space="preserve"> SC Constitutional Appeal No. 1 of 1997. </w:t>
      </w:r>
      <w:r w:rsidRPr="00D24334">
        <w:rPr>
          <w:rFonts w:ascii="Times New Roman" w:hAnsi="Times New Roman"/>
          <w:sz w:val="24"/>
          <w:szCs w:val="24"/>
        </w:rPr>
        <w:t>Therefore</w:t>
      </w:r>
      <w:r w:rsidRPr="00D24334">
        <w:rPr>
          <w:rFonts w:ascii="Times New Roman" w:hAnsi="Times New Roman"/>
          <w:b/>
          <w:sz w:val="24"/>
          <w:szCs w:val="24"/>
        </w:rPr>
        <w:t xml:space="preserve">, </w:t>
      </w:r>
      <w:r w:rsidRPr="00D24334">
        <w:rPr>
          <w:rFonts w:ascii="Times New Roman" w:hAnsi="Times New Roman"/>
          <w:sz w:val="24"/>
          <w:szCs w:val="24"/>
        </w:rPr>
        <w:t xml:space="preserve">my decision </w:t>
      </w:r>
      <w:r w:rsidRPr="00D24334">
        <w:rPr>
          <w:rFonts w:ascii="Times New Roman" w:hAnsi="Times New Roman"/>
          <w:sz w:val="24"/>
          <w:szCs w:val="24"/>
        </w:rPr>
        <w:lastRenderedPageBreak/>
        <w:t xml:space="preserve">will be based on the facts in the plaint and </w:t>
      </w:r>
      <w:proofErr w:type="spellStart"/>
      <w:r w:rsidRPr="00D24334">
        <w:rPr>
          <w:rFonts w:ascii="Times New Roman" w:hAnsi="Times New Roman"/>
          <w:sz w:val="24"/>
          <w:szCs w:val="24"/>
        </w:rPr>
        <w:t>theattachments</w:t>
      </w:r>
      <w:proofErr w:type="spellEnd"/>
      <w:r w:rsidRPr="00D24334">
        <w:rPr>
          <w:rFonts w:ascii="Times New Roman" w:hAnsi="Times New Roman"/>
          <w:sz w:val="24"/>
          <w:szCs w:val="24"/>
        </w:rPr>
        <w:t xml:space="preserve"> thereto to ascertain whether the plaint discloses a cause of action.</w:t>
      </w:r>
    </w:p>
    <w:p w:rsidR="003F6B7B" w:rsidRPr="00D24334" w:rsidRDefault="003F6B7B" w:rsidP="003F6B7B">
      <w:pPr>
        <w:jc w:val="both"/>
        <w:rPr>
          <w:rFonts w:ascii="Times New Roman" w:hAnsi="Times New Roman"/>
          <w:sz w:val="24"/>
          <w:szCs w:val="24"/>
        </w:rPr>
      </w:pPr>
      <w:r w:rsidRPr="00D24334">
        <w:rPr>
          <w:rFonts w:ascii="Times New Roman" w:hAnsi="Times New Roman"/>
          <w:sz w:val="24"/>
          <w:szCs w:val="24"/>
        </w:rPr>
        <w:t>In paragraph 5a to 5c of the amended plaint, it was pleaded that on 25</w:t>
      </w:r>
      <w:r w:rsidRPr="00D24334">
        <w:rPr>
          <w:rFonts w:ascii="Times New Roman" w:hAnsi="Times New Roman"/>
          <w:sz w:val="24"/>
          <w:szCs w:val="24"/>
          <w:vertAlign w:val="superscript"/>
        </w:rPr>
        <w:t>th</w:t>
      </w:r>
      <w:r w:rsidRPr="00D24334">
        <w:rPr>
          <w:rFonts w:ascii="Times New Roman" w:hAnsi="Times New Roman"/>
          <w:sz w:val="24"/>
          <w:szCs w:val="24"/>
        </w:rPr>
        <w:t xml:space="preserve"> October 1974, the late Hassan </w:t>
      </w:r>
      <w:proofErr w:type="spellStart"/>
      <w:r w:rsidRPr="00D24334">
        <w:rPr>
          <w:rFonts w:ascii="Times New Roman" w:hAnsi="Times New Roman"/>
          <w:sz w:val="24"/>
          <w:szCs w:val="24"/>
        </w:rPr>
        <w:t>Ssali</w:t>
      </w:r>
      <w:proofErr w:type="spellEnd"/>
      <w:r w:rsidRPr="00D24334">
        <w:rPr>
          <w:rFonts w:ascii="Times New Roman" w:hAnsi="Times New Roman"/>
          <w:sz w:val="24"/>
          <w:szCs w:val="24"/>
        </w:rPr>
        <w:t xml:space="preserve"> of </w:t>
      </w:r>
      <w:proofErr w:type="spellStart"/>
      <w:r w:rsidRPr="00D24334">
        <w:rPr>
          <w:rFonts w:ascii="Times New Roman" w:hAnsi="Times New Roman"/>
          <w:sz w:val="24"/>
          <w:szCs w:val="24"/>
        </w:rPr>
        <w:t>Bweyogerere</w:t>
      </w:r>
      <w:proofErr w:type="spellEnd"/>
      <w:r w:rsidRPr="00D24334">
        <w:rPr>
          <w:rFonts w:ascii="Times New Roman" w:hAnsi="Times New Roman"/>
          <w:sz w:val="24"/>
          <w:szCs w:val="24"/>
        </w:rPr>
        <w:t xml:space="preserve"> was under Instrument No. KLA 75485 registered as the registered proprietor of the suit land. In proof of ownership, a certificate of title was attached as annexure A. </w:t>
      </w:r>
      <w:proofErr w:type="gramStart"/>
      <w:r w:rsidRPr="00D24334">
        <w:rPr>
          <w:rFonts w:ascii="Times New Roman" w:hAnsi="Times New Roman"/>
          <w:sz w:val="24"/>
          <w:szCs w:val="24"/>
        </w:rPr>
        <w:t>That upon his death, the plaintiffs applied and were granted letters of administration and they brought this suit in that capacity.</w:t>
      </w:r>
      <w:proofErr w:type="gramEnd"/>
      <w:r w:rsidRPr="00D24334">
        <w:rPr>
          <w:rFonts w:ascii="Times New Roman" w:hAnsi="Times New Roman"/>
          <w:sz w:val="24"/>
          <w:szCs w:val="24"/>
        </w:rPr>
        <w:t xml:space="preserve"> Letters of administration were attached as annexure “B”. That on 12</w:t>
      </w:r>
      <w:r w:rsidRPr="00D24334">
        <w:rPr>
          <w:rFonts w:ascii="Times New Roman" w:hAnsi="Times New Roman"/>
          <w:sz w:val="24"/>
          <w:szCs w:val="24"/>
          <w:vertAlign w:val="superscript"/>
        </w:rPr>
        <w:t>th</w:t>
      </w:r>
      <w:r w:rsidRPr="00D24334">
        <w:rPr>
          <w:rFonts w:ascii="Times New Roman" w:hAnsi="Times New Roman"/>
          <w:sz w:val="24"/>
          <w:szCs w:val="24"/>
        </w:rPr>
        <w:t xml:space="preserve"> June 2006, when the plaintiffs learnt that their land was to be appropriated for construction of the road known as the northern by pass, the plaintiffs communicated a notice to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demanding compensation for the same. That in response, the defendant requested the plaintiffs to provide the certificate of title and thereafter requested them to be patient as their claim was being verified. However, no compensation was ever paid to them. From those facts and the documentary evidence provided, I am satisfied that the suit land is owned by the late Hassan </w:t>
      </w:r>
      <w:proofErr w:type="spellStart"/>
      <w:r w:rsidRPr="00D24334">
        <w:rPr>
          <w:rFonts w:ascii="Times New Roman" w:hAnsi="Times New Roman"/>
          <w:sz w:val="24"/>
          <w:szCs w:val="24"/>
        </w:rPr>
        <w:t>Ssali</w:t>
      </w:r>
      <w:proofErr w:type="spellEnd"/>
      <w:r w:rsidRPr="00D24334">
        <w:rPr>
          <w:rFonts w:ascii="Times New Roman" w:hAnsi="Times New Roman"/>
          <w:sz w:val="24"/>
          <w:szCs w:val="24"/>
        </w:rPr>
        <w:t xml:space="preserve"> and that the plaintiffs have the legal mandate to administer the affairs of his estate, including the suit land.  They have established that they enjoyed a right that ought to be protected. </w:t>
      </w:r>
    </w:p>
    <w:p w:rsidR="003F6B7B" w:rsidRPr="00D24334" w:rsidRDefault="003F6B7B" w:rsidP="003F6B7B">
      <w:pPr>
        <w:jc w:val="both"/>
        <w:rPr>
          <w:rFonts w:ascii="Times New Roman" w:hAnsi="Times New Roman"/>
          <w:sz w:val="24"/>
          <w:szCs w:val="24"/>
        </w:rPr>
      </w:pPr>
      <w:r w:rsidRPr="00D24334">
        <w:rPr>
          <w:rFonts w:ascii="Times New Roman" w:hAnsi="Times New Roman"/>
          <w:sz w:val="24"/>
          <w:szCs w:val="24"/>
        </w:rPr>
        <w:t xml:space="preserve">As to whether the above right was violated, the plaintiffs contended in paragraph 6 and 8 of the amended plaint, that the defendants appropriated the suit land without payment or any compensation and have now constructed a fly over and around about thereon. </w:t>
      </w:r>
      <w:proofErr w:type="gramStart"/>
      <w:r w:rsidRPr="00D24334">
        <w:rPr>
          <w:rFonts w:ascii="Times New Roman" w:hAnsi="Times New Roman"/>
          <w:sz w:val="24"/>
          <w:szCs w:val="24"/>
        </w:rPr>
        <w:t>That due to the said actions the plaintiffs have</w:t>
      </w:r>
      <w:proofErr w:type="gramEnd"/>
      <w:r w:rsidRPr="00D24334">
        <w:rPr>
          <w:rFonts w:ascii="Times New Roman" w:hAnsi="Times New Roman"/>
          <w:sz w:val="24"/>
          <w:szCs w:val="24"/>
        </w:rPr>
        <w:t xml:space="preserve"> suffered great loss of income in the excess of </w:t>
      </w:r>
      <w:proofErr w:type="spellStart"/>
      <w:r w:rsidRPr="00D24334">
        <w:rPr>
          <w:rFonts w:ascii="Times New Roman" w:hAnsi="Times New Roman"/>
          <w:sz w:val="24"/>
          <w:szCs w:val="24"/>
        </w:rPr>
        <w:t>Shs</w:t>
      </w:r>
      <w:proofErr w:type="spellEnd"/>
      <w:r w:rsidRPr="00D24334">
        <w:rPr>
          <w:rFonts w:ascii="Times New Roman" w:hAnsi="Times New Roman"/>
          <w:sz w:val="24"/>
          <w:szCs w:val="24"/>
        </w:rPr>
        <w:t xml:space="preserve">. 50,000,000 and mental anguish. There was no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that the plaintiffs ever acquiesced to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defendants taking over the suit land, or that any compensation was ever paid to them. It is correct therefore that the plaintiff’s right to own and enjoy the suit land has been violated and I hold so.  </w:t>
      </w:r>
    </w:p>
    <w:p w:rsidR="003F6B7B" w:rsidRPr="00D24334" w:rsidRDefault="003F6B7B" w:rsidP="003F6B7B">
      <w:pPr>
        <w:jc w:val="both"/>
        <w:rPr>
          <w:rFonts w:ascii="Times New Roman" w:hAnsi="Times New Roman"/>
          <w:sz w:val="24"/>
          <w:szCs w:val="24"/>
        </w:rPr>
      </w:pPr>
      <w:r w:rsidRPr="00D24334">
        <w:rPr>
          <w:rFonts w:ascii="Times New Roman" w:hAnsi="Times New Roman"/>
          <w:sz w:val="24"/>
          <w:szCs w:val="24"/>
        </w:rPr>
        <w:t>In my mind, the real dispute appears to be whether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was responsible or liable for the violation of the plaintiffs’ right to the ownership and enjoyment of the suit land.  According to counsel for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in paragraph seven of the plaint, it was shown that the process of land acquisition in respect of the northern by pass was concluded by GOU through the Road Agency Formation Unit RAFU and Ministry of Works and Transport before the establishment of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She further argued that the </w:t>
      </w:r>
      <w:proofErr w:type="spellStart"/>
      <w:r w:rsidRPr="00D24334">
        <w:rPr>
          <w:rFonts w:ascii="Times New Roman" w:hAnsi="Times New Roman"/>
          <w:sz w:val="24"/>
          <w:szCs w:val="24"/>
        </w:rPr>
        <w:t>annexture</w:t>
      </w:r>
      <w:proofErr w:type="spellEnd"/>
      <w:r w:rsidRPr="00D24334">
        <w:rPr>
          <w:rFonts w:ascii="Times New Roman" w:hAnsi="Times New Roman"/>
          <w:sz w:val="24"/>
          <w:szCs w:val="24"/>
        </w:rPr>
        <w:t xml:space="preserve"> to the plaint shows the project of the by-pass was undertaken by GOU before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came in existence and all matters concerning the project were concluded under RAFU.   </w:t>
      </w:r>
      <w:proofErr w:type="gramStart"/>
      <w:r w:rsidRPr="00D24334">
        <w:rPr>
          <w:rFonts w:ascii="Times New Roman" w:hAnsi="Times New Roman"/>
          <w:sz w:val="24"/>
          <w:szCs w:val="24"/>
        </w:rPr>
        <w:t>That although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did take over the liabilities of the GOU in that respect, it could only do so under the provisions of the Uganda National Roads Authority Act.</w:t>
      </w:r>
      <w:proofErr w:type="gramEnd"/>
      <w:r w:rsidRPr="00D24334">
        <w:rPr>
          <w:rFonts w:ascii="Times New Roman" w:hAnsi="Times New Roman"/>
          <w:sz w:val="24"/>
          <w:szCs w:val="24"/>
        </w:rPr>
        <w:t xml:space="preserve"> Even then, the liability of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could only be operationalized under the Uganda National Roads Authority (Transfer of Assets and Liabilities) Regulations 2012 (hereinafter referred to as the Rules). She further argued that any assets that were not mentioned in the schedule to those regulations remained vested in Government. That since the acquisition of the northern by pass by the GOU was not mentioned in the </w:t>
      </w:r>
      <w:proofErr w:type="gramStart"/>
      <w:r w:rsidRPr="00D24334">
        <w:rPr>
          <w:rFonts w:ascii="Times New Roman" w:hAnsi="Times New Roman"/>
          <w:sz w:val="24"/>
          <w:szCs w:val="24"/>
        </w:rPr>
        <w:t>regulations,</w:t>
      </w:r>
      <w:proofErr w:type="gramEnd"/>
      <w:r w:rsidRPr="00D24334">
        <w:rPr>
          <w:rFonts w:ascii="Times New Roman" w:hAnsi="Times New Roman"/>
          <w:sz w:val="24"/>
          <w:szCs w:val="24"/>
        </w:rPr>
        <w:t xml:space="preserve"> it was therefore not taken over by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w:t>
      </w:r>
    </w:p>
    <w:p w:rsidR="003F6B7B" w:rsidRPr="00D24334" w:rsidRDefault="003F6B7B" w:rsidP="003F6B7B">
      <w:pPr>
        <w:jc w:val="both"/>
        <w:rPr>
          <w:rFonts w:ascii="Times New Roman" w:hAnsi="Times New Roman"/>
          <w:sz w:val="24"/>
          <w:szCs w:val="24"/>
        </w:rPr>
      </w:pPr>
      <w:r w:rsidRPr="00D24334">
        <w:rPr>
          <w:rFonts w:ascii="Times New Roman" w:hAnsi="Times New Roman"/>
          <w:sz w:val="24"/>
          <w:szCs w:val="24"/>
        </w:rPr>
        <w:lastRenderedPageBreak/>
        <w:t xml:space="preserve">Going by the address indicated on </w:t>
      </w:r>
      <w:proofErr w:type="spellStart"/>
      <w:r w:rsidRPr="00D24334">
        <w:rPr>
          <w:rFonts w:ascii="Times New Roman" w:hAnsi="Times New Roman"/>
          <w:sz w:val="24"/>
          <w:szCs w:val="24"/>
        </w:rPr>
        <w:t>Annexture</w:t>
      </w:r>
      <w:proofErr w:type="spellEnd"/>
      <w:r w:rsidRPr="00D24334">
        <w:rPr>
          <w:rFonts w:ascii="Times New Roman" w:hAnsi="Times New Roman"/>
          <w:sz w:val="24"/>
          <w:szCs w:val="24"/>
        </w:rPr>
        <w:t xml:space="preserve"> “F” and “G” to the plaint, the RAFU was a unit under the Ministry of Works and Transport and was therefore a department of the GOU.   The Uganda National Roads Authority (UNRA) was a body established by the UNRA Act No 15 of 2006.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denies the fact that they are the successors in title of RAFU and that any assets and liabilities they took over from the GOU, were provided for in the rules. I do agree with counsel on this fact. There is no specific provision in the UNRA Act that made it the automatic successor of either RAFU or the GOU and there is no provision of that its provisions are retrospective. The legislator may have had that in mind when under Section 39 of the UNRA Act gave the Minister of Works powers to make regulations for the transfer to the UNRA of the ownership or possession of assets belonging to the GOU which by virtue of the Act and in his or her opinion are necessary for the performance of the functions of the UNRA. As a result of such powers, in 2012, the minister promulgated the Rules which provide in Regulation 2 (1) that:</w:t>
      </w:r>
    </w:p>
    <w:p w:rsidR="003F6B7B" w:rsidRPr="00D24334" w:rsidRDefault="003F6B7B" w:rsidP="003F6B7B">
      <w:pPr>
        <w:ind w:left="720"/>
        <w:jc w:val="both"/>
        <w:rPr>
          <w:rFonts w:ascii="Times New Roman" w:hAnsi="Times New Roman"/>
          <w:i/>
          <w:sz w:val="24"/>
          <w:szCs w:val="24"/>
        </w:rPr>
      </w:pPr>
      <w:r w:rsidRPr="00D24334">
        <w:rPr>
          <w:rFonts w:ascii="Times New Roman" w:hAnsi="Times New Roman"/>
          <w:i/>
          <w:sz w:val="24"/>
          <w:szCs w:val="24"/>
        </w:rPr>
        <w:t>The assets and liabilities specified in the schedule to these regulations which, before the commencement of these regulations belonged to the Government of Uganda, and which by virtue of the National Roads Authority Act, 2006 and in the opinion of the Minister, are necessary for the performance of the functions of the Authority are transferred to the Uganda National Roads Authority.</w:t>
      </w:r>
    </w:p>
    <w:p w:rsidR="003F6B7B" w:rsidRPr="00D24334" w:rsidRDefault="003F6B7B" w:rsidP="003F6B7B">
      <w:pPr>
        <w:jc w:val="both"/>
        <w:rPr>
          <w:rFonts w:ascii="Times New Roman" w:hAnsi="Times New Roman"/>
          <w:sz w:val="24"/>
          <w:szCs w:val="24"/>
        </w:rPr>
      </w:pPr>
      <w:r w:rsidRPr="00D24334">
        <w:rPr>
          <w:rFonts w:ascii="Times New Roman" w:hAnsi="Times New Roman"/>
          <w:sz w:val="24"/>
          <w:szCs w:val="24"/>
        </w:rPr>
        <w:t>I have perused the relevant schedule and found that it was mainly comprised of moveable property. No mention was made of matters to do with acquisition or compensation for land over which the northern by pass was constructed. Therefore, under Rule 2(2) of the Rules,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could not have taken over liability in that respect. However, as rightly put by counsel, according to Rule 2(3) of the Rules, all liabilities attaching to the claim in this matter remain and are still vested in the GOU which is a party to this suit and ably represented by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It has therefore not been proved that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is liable for violating the plaintiff’s claim in this suit.</w:t>
      </w:r>
    </w:p>
    <w:p w:rsidR="003F6B7B" w:rsidRPr="00D24334" w:rsidRDefault="003F6B7B" w:rsidP="003F6B7B">
      <w:pPr>
        <w:jc w:val="both"/>
        <w:rPr>
          <w:rFonts w:ascii="Times New Roman" w:hAnsi="Times New Roman"/>
          <w:sz w:val="24"/>
          <w:szCs w:val="24"/>
        </w:rPr>
      </w:pPr>
      <w:r w:rsidRPr="00D24334">
        <w:rPr>
          <w:rFonts w:ascii="Times New Roman" w:hAnsi="Times New Roman"/>
          <w:sz w:val="24"/>
          <w:szCs w:val="24"/>
        </w:rPr>
        <w:t>Accordingly, I find that the plaint in this case does not disclose a cause of action against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However I hold that the plaintiff sued the wrong party after mistaken belief that they had taken over certain responsibilities of the GOU, this in my mind does not amount to abuse of court process and I so hold. Therefore, the preliminary objection only succeeds in part. The suit against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is dismissed land they </w:t>
      </w:r>
      <w:proofErr w:type="spellStart"/>
      <w:r w:rsidRPr="00D24334">
        <w:rPr>
          <w:rFonts w:ascii="Times New Roman" w:hAnsi="Times New Roman"/>
          <w:sz w:val="24"/>
          <w:szCs w:val="24"/>
        </w:rPr>
        <w:t>arethereby</w:t>
      </w:r>
      <w:proofErr w:type="spellEnd"/>
      <w:r w:rsidRPr="00D24334">
        <w:rPr>
          <w:rFonts w:ascii="Times New Roman" w:hAnsi="Times New Roman"/>
          <w:sz w:val="24"/>
          <w:szCs w:val="24"/>
        </w:rPr>
        <w:t xml:space="preserve"> discharged the proceedings and the suit shall henceforth proceed against the Attorney General as the representative of GOU only. The plaintiff’ shall pay one half of the costs attributable to the partial success of the preliminary objections.</w:t>
      </w:r>
    </w:p>
    <w:p w:rsidR="003F6B7B" w:rsidRPr="00D24334" w:rsidRDefault="003F6B7B" w:rsidP="003F6B7B">
      <w:pPr>
        <w:jc w:val="both"/>
        <w:rPr>
          <w:rFonts w:ascii="Times New Roman" w:hAnsi="Times New Roman"/>
          <w:sz w:val="24"/>
          <w:szCs w:val="24"/>
        </w:rPr>
      </w:pPr>
      <w:r w:rsidRPr="00D24334">
        <w:rPr>
          <w:rFonts w:ascii="Times New Roman" w:hAnsi="Times New Roman"/>
          <w:sz w:val="24"/>
          <w:szCs w:val="24"/>
        </w:rPr>
        <w:t>I so order</w:t>
      </w:r>
    </w:p>
    <w:p w:rsidR="003F6B7B" w:rsidRPr="00D24334" w:rsidRDefault="003F6B7B" w:rsidP="003F6B7B">
      <w:pPr>
        <w:jc w:val="both"/>
        <w:rPr>
          <w:rFonts w:ascii="Times New Roman" w:hAnsi="Times New Roman"/>
          <w:sz w:val="24"/>
          <w:szCs w:val="24"/>
        </w:rPr>
      </w:pPr>
    </w:p>
    <w:p w:rsidR="003F6B7B" w:rsidRPr="00D24334" w:rsidRDefault="003F6B7B" w:rsidP="003F6B7B">
      <w:pPr>
        <w:pStyle w:val="NoSpacing"/>
        <w:rPr>
          <w:rFonts w:ascii="Times New Roman" w:hAnsi="Times New Roman"/>
          <w:sz w:val="24"/>
          <w:szCs w:val="24"/>
        </w:rPr>
      </w:pPr>
      <w:r w:rsidRPr="00D24334">
        <w:rPr>
          <w:rFonts w:ascii="Times New Roman" w:hAnsi="Times New Roman"/>
          <w:sz w:val="24"/>
          <w:szCs w:val="24"/>
        </w:rPr>
        <w:t>………………………</w:t>
      </w:r>
    </w:p>
    <w:p w:rsidR="003F6B7B" w:rsidRPr="00D24334" w:rsidRDefault="003F6B7B" w:rsidP="003F6B7B">
      <w:pPr>
        <w:pStyle w:val="NoSpacing"/>
        <w:rPr>
          <w:rFonts w:ascii="Times New Roman" w:hAnsi="Times New Roman"/>
          <w:b/>
          <w:sz w:val="24"/>
          <w:szCs w:val="24"/>
        </w:rPr>
      </w:pPr>
      <w:r w:rsidRPr="00D24334">
        <w:rPr>
          <w:rFonts w:ascii="Times New Roman" w:hAnsi="Times New Roman"/>
          <w:b/>
          <w:sz w:val="24"/>
          <w:szCs w:val="24"/>
        </w:rPr>
        <w:t>EVA K. LUSWATA</w:t>
      </w:r>
    </w:p>
    <w:p w:rsidR="003F6B7B" w:rsidRPr="00D24334" w:rsidRDefault="003F6B7B" w:rsidP="003F6B7B">
      <w:pPr>
        <w:pStyle w:val="NoSpacing"/>
        <w:rPr>
          <w:rFonts w:ascii="Times New Roman" w:hAnsi="Times New Roman"/>
          <w:b/>
          <w:sz w:val="24"/>
          <w:szCs w:val="24"/>
        </w:rPr>
      </w:pPr>
      <w:r w:rsidRPr="00D24334">
        <w:rPr>
          <w:rFonts w:ascii="Times New Roman" w:hAnsi="Times New Roman"/>
          <w:b/>
          <w:sz w:val="24"/>
          <w:szCs w:val="24"/>
        </w:rPr>
        <w:lastRenderedPageBreak/>
        <w:t>JUDGE</w:t>
      </w:r>
    </w:p>
    <w:p w:rsidR="003F6B7B" w:rsidRPr="00D24334" w:rsidRDefault="003F6B7B" w:rsidP="003F6B7B">
      <w:pPr>
        <w:pStyle w:val="NoSpacing"/>
        <w:rPr>
          <w:rFonts w:ascii="Times New Roman" w:hAnsi="Times New Roman"/>
          <w:b/>
          <w:sz w:val="24"/>
          <w:szCs w:val="24"/>
        </w:rPr>
      </w:pPr>
      <w:r w:rsidRPr="00D24334">
        <w:rPr>
          <w:rFonts w:ascii="Times New Roman" w:hAnsi="Times New Roman"/>
          <w:b/>
          <w:sz w:val="24"/>
          <w:szCs w:val="24"/>
        </w:rPr>
        <w:t>14/4/14</w:t>
      </w:r>
    </w:p>
    <w:p w:rsidR="003F6B7B" w:rsidRPr="00D24334" w:rsidRDefault="003F6B7B" w:rsidP="003F6B7B">
      <w:pPr>
        <w:pStyle w:val="NoSpacing"/>
        <w:rPr>
          <w:rFonts w:ascii="Times New Roman" w:hAnsi="Times New Roman"/>
          <w:sz w:val="24"/>
          <w:szCs w:val="24"/>
        </w:rPr>
      </w:pPr>
    </w:p>
    <w:p w:rsidR="003F6B7B" w:rsidRPr="00D24334" w:rsidRDefault="003F6B7B" w:rsidP="003F6B7B">
      <w:pPr>
        <w:jc w:val="both"/>
        <w:rPr>
          <w:rFonts w:ascii="Times New Roman" w:hAnsi="Times New Roman"/>
          <w:sz w:val="24"/>
          <w:szCs w:val="24"/>
        </w:rPr>
      </w:pPr>
    </w:p>
    <w:p w:rsidR="0092502B" w:rsidRDefault="0092502B">
      <w:bookmarkStart w:id="0" w:name="_GoBack"/>
      <w:bookmarkEnd w:id="0"/>
    </w:p>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3E39"/>
    <w:multiLevelType w:val="hybridMultilevel"/>
    <w:tmpl w:val="BF14FB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5FC455C"/>
    <w:multiLevelType w:val="hybridMultilevel"/>
    <w:tmpl w:val="8FF41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7B"/>
    <w:rsid w:val="003F6B7B"/>
    <w:rsid w:val="0092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B7B"/>
    <w:pPr>
      <w:spacing w:after="0" w:line="240" w:lineRule="auto"/>
    </w:pPr>
    <w:rPr>
      <w:rFonts w:ascii="Calibri" w:eastAsia="Calibri" w:hAnsi="Calibri" w:cs="Times New Roman"/>
    </w:rPr>
  </w:style>
  <w:style w:type="paragraph" w:styleId="ListParagraph">
    <w:name w:val="List Paragraph"/>
    <w:basedOn w:val="Normal"/>
    <w:uiPriority w:val="34"/>
    <w:qFormat/>
    <w:rsid w:val="003F6B7B"/>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B7B"/>
    <w:pPr>
      <w:spacing w:after="0" w:line="240" w:lineRule="auto"/>
    </w:pPr>
    <w:rPr>
      <w:rFonts w:ascii="Calibri" w:eastAsia="Calibri" w:hAnsi="Calibri" w:cs="Times New Roman"/>
    </w:rPr>
  </w:style>
  <w:style w:type="paragraph" w:styleId="ListParagraph">
    <w:name w:val="List Paragraph"/>
    <w:basedOn w:val="Normal"/>
    <w:uiPriority w:val="34"/>
    <w:qFormat/>
    <w:rsid w:val="003F6B7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2017-01-31T10:48:00Z</dcterms:created>
  <dcterms:modified xsi:type="dcterms:W3CDTF">2017-01-31T10:49:00Z</dcterms:modified>
</cp:coreProperties>
</file>