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C3" w:rsidRPr="00A5714D" w:rsidRDefault="007C50C3" w:rsidP="007C50C3">
      <w:pPr>
        <w:spacing w:after="0" w:line="360" w:lineRule="auto"/>
        <w:jc w:val="center"/>
        <w:rPr>
          <w:rFonts w:ascii="Times New Roman" w:hAnsi="Times New Roman"/>
          <w:b/>
          <w:sz w:val="28"/>
          <w:szCs w:val="28"/>
        </w:rPr>
      </w:pPr>
      <w:r w:rsidRPr="00A5714D">
        <w:rPr>
          <w:rFonts w:ascii="Times New Roman" w:hAnsi="Times New Roman"/>
          <w:b/>
          <w:sz w:val="28"/>
          <w:szCs w:val="28"/>
        </w:rPr>
        <w:t>THE REPUBLIC OF UGANDA</w:t>
      </w:r>
    </w:p>
    <w:p w:rsidR="007C50C3" w:rsidRPr="00A5714D" w:rsidRDefault="007C50C3" w:rsidP="007C50C3">
      <w:pPr>
        <w:spacing w:after="0" w:line="360" w:lineRule="auto"/>
        <w:jc w:val="center"/>
        <w:rPr>
          <w:rFonts w:ascii="Times New Roman" w:hAnsi="Times New Roman"/>
          <w:b/>
          <w:sz w:val="28"/>
          <w:szCs w:val="28"/>
        </w:rPr>
      </w:pPr>
      <w:r w:rsidRPr="00A5714D">
        <w:rPr>
          <w:rFonts w:ascii="Times New Roman" w:hAnsi="Times New Roman"/>
          <w:b/>
          <w:sz w:val="28"/>
          <w:szCs w:val="28"/>
        </w:rPr>
        <w:t>IN THE HIGH COURT OF UGANDA AT KAMPALA</w:t>
      </w:r>
    </w:p>
    <w:p w:rsidR="007C50C3" w:rsidRPr="00A5714D" w:rsidRDefault="007C50C3" w:rsidP="007C50C3">
      <w:pPr>
        <w:spacing w:after="0" w:line="360" w:lineRule="auto"/>
        <w:jc w:val="center"/>
        <w:rPr>
          <w:rFonts w:ascii="Times New Roman" w:hAnsi="Times New Roman"/>
          <w:b/>
          <w:sz w:val="28"/>
          <w:szCs w:val="28"/>
        </w:rPr>
      </w:pPr>
      <w:r>
        <w:rPr>
          <w:rFonts w:ascii="Times New Roman" w:hAnsi="Times New Roman"/>
          <w:b/>
          <w:sz w:val="28"/>
          <w:szCs w:val="28"/>
        </w:rPr>
        <w:t>[</w:t>
      </w:r>
      <w:r w:rsidRPr="00A5714D">
        <w:rPr>
          <w:rFonts w:ascii="Times New Roman" w:hAnsi="Times New Roman"/>
          <w:b/>
          <w:sz w:val="28"/>
          <w:szCs w:val="28"/>
        </w:rPr>
        <w:t>LAND DIVISION</w:t>
      </w:r>
      <w:r>
        <w:rPr>
          <w:rFonts w:ascii="Times New Roman" w:hAnsi="Times New Roman"/>
          <w:b/>
          <w:sz w:val="28"/>
          <w:szCs w:val="28"/>
        </w:rPr>
        <w:t>]</w:t>
      </w:r>
    </w:p>
    <w:p w:rsidR="007C50C3" w:rsidRPr="00A5714D" w:rsidRDefault="007C50C3" w:rsidP="007C50C3">
      <w:pPr>
        <w:spacing w:after="0" w:line="360" w:lineRule="auto"/>
        <w:jc w:val="center"/>
        <w:rPr>
          <w:rFonts w:ascii="Times New Roman" w:hAnsi="Times New Roman"/>
          <w:b/>
          <w:sz w:val="28"/>
          <w:szCs w:val="28"/>
        </w:rPr>
      </w:pPr>
      <w:r>
        <w:rPr>
          <w:rFonts w:ascii="Times New Roman" w:hAnsi="Times New Roman"/>
          <w:b/>
          <w:sz w:val="28"/>
          <w:szCs w:val="28"/>
        </w:rPr>
        <w:t>MISCELLANEOUS APPLICATION</w:t>
      </w:r>
      <w:r w:rsidRPr="00A5714D">
        <w:rPr>
          <w:rFonts w:ascii="Times New Roman" w:hAnsi="Times New Roman"/>
          <w:b/>
          <w:sz w:val="28"/>
          <w:szCs w:val="28"/>
        </w:rPr>
        <w:t xml:space="preserve"> NO. </w:t>
      </w:r>
      <w:r>
        <w:rPr>
          <w:rFonts w:ascii="Times New Roman" w:hAnsi="Times New Roman"/>
          <w:b/>
          <w:sz w:val="28"/>
          <w:szCs w:val="28"/>
        </w:rPr>
        <w:t>1199</w:t>
      </w:r>
      <w:r w:rsidRPr="00A5714D">
        <w:rPr>
          <w:rFonts w:ascii="Times New Roman" w:hAnsi="Times New Roman"/>
          <w:b/>
          <w:sz w:val="28"/>
          <w:szCs w:val="28"/>
        </w:rPr>
        <w:t xml:space="preserve"> OF 201</w:t>
      </w:r>
      <w:r>
        <w:rPr>
          <w:rFonts w:ascii="Times New Roman" w:hAnsi="Times New Roman"/>
          <w:b/>
          <w:sz w:val="28"/>
          <w:szCs w:val="28"/>
        </w:rPr>
        <w:t>3</w:t>
      </w:r>
    </w:p>
    <w:p w:rsidR="007C50C3" w:rsidRPr="003015AC" w:rsidRDefault="007C50C3" w:rsidP="007C50C3">
      <w:pPr>
        <w:spacing w:after="0" w:line="360" w:lineRule="auto"/>
        <w:jc w:val="center"/>
        <w:rPr>
          <w:rFonts w:ascii="Times New Roman" w:hAnsi="Times New Roman"/>
          <w:b/>
          <w:i/>
          <w:sz w:val="28"/>
          <w:szCs w:val="28"/>
        </w:rPr>
      </w:pPr>
      <w:r w:rsidRPr="003015AC">
        <w:rPr>
          <w:rFonts w:ascii="Times New Roman" w:hAnsi="Times New Roman"/>
          <w:b/>
          <w:i/>
          <w:sz w:val="28"/>
          <w:szCs w:val="28"/>
        </w:rPr>
        <w:t xml:space="preserve">(Arising from Civil Suit No. </w:t>
      </w:r>
      <w:r>
        <w:rPr>
          <w:rFonts w:ascii="Times New Roman" w:hAnsi="Times New Roman"/>
          <w:b/>
          <w:i/>
          <w:sz w:val="28"/>
          <w:szCs w:val="28"/>
        </w:rPr>
        <w:t>326 of 2013</w:t>
      </w:r>
      <w:r w:rsidRPr="003015AC">
        <w:rPr>
          <w:rFonts w:ascii="Times New Roman" w:hAnsi="Times New Roman"/>
          <w:b/>
          <w:i/>
          <w:sz w:val="28"/>
          <w:szCs w:val="28"/>
        </w:rPr>
        <w:t>)</w:t>
      </w:r>
    </w:p>
    <w:p w:rsidR="0017116F" w:rsidRDefault="0017116F" w:rsidP="007C50C3">
      <w:pPr>
        <w:spacing w:after="0" w:line="240" w:lineRule="auto"/>
        <w:jc w:val="both"/>
        <w:rPr>
          <w:rFonts w:ascii="Times New Roman" w:hAnsi="Times New Roman"/>
          <w:b/>
          <w:sz w:val="28"/>
          <w:szCs w:val="28"/>
        </w:rPr>
      </w:pPr>
    </w:p>
    <w:p w:rsidR="007C50C3" w:rsidRDefault="00DD166A" w:rsidP="007C50C3">
      <w:pPr>
        <w:spacing w:after="0" w:line="240" w:lineRule="auto"/>
        <w:jc w:val="both"/>
        <w:rPr>
          <w:rFonts w:ascii="Times New Roman" w:hAnsi="Times New Roman"/>
          <w:b/>
          <w:sz w:val="28"/>
          <w:szCs w:val="28"/>
        </w:rPr>
      </w:pPr>
      <w:r>
        <w:rPr>
          <w:rFonts w:ascii="Times New Roman" w:hAnsi="Times New Roman"/>
          <w:b/>
          <w:sz w:val="28"/>
          <w:szCs w:val="28"/>
        </w:rPr>
        <w:t>OMUMBEJJA NAM</w:t>
      </w:r>
      <w:r w:rsidR="007C50C3">
        <w:rPr>
          <w:rFonts w:ascii="Times New Roman" w:hAnsi="Times New Roman"/>
          <w:b/>
          <w:sz w:val="28"/>
          <w:szCs w:val="28"/>
        </w:rPr>
        <w:t>USISI</w:t>
      </w:r>
    </w:p>
    <w:p w:rsidR="007C50C3" w:rsidRDefault="007C50C3" w:rsidP="007C50C3">
      <w:pPr>
        <w:spacing w:after="0" w:line="240" w:lineRule="auto"/>
        <w:jc w:val="both"/>
        <w:rPr>
          <w:rFonts w:ascii="Times New Roman" w:hAnsi="Times New Roman"/>
          <w:b/>
          <w:sz w:val="28"/>
          <w:szCs w:val="28"/>
        </w:rPr>
      </w:pPr>
      <w:r>
        <w:rPr>
          <w:rFonts w:ascii="Times New Roman" w:hAnsi="Times New Roman"/>
          <w:b/>
          <w:sz w:val="28"/>
          <w:szCs w:val="28"/>
        </w:rPr>
        <w:t>FARIDAH NALUWEMBE aka</w:t>
      </w:r>
    </w:p>
    <w:p w:rsidR="007C50C3" w:rsidRDefault="007C50C3" w:rsidP="007C50C3">
      <w:pPr>
        <w:spacing w:after="0" w:line="240" w:lineRule="auto"/>
        <w:jc w:val="both"/>
        <w:rPr>
          <w:rFonts w:ascii="Times New Roman" w:hAnsi="Times New Roman"/>
          <w:b/>
          <w:sz w:val="28"/>
          <w:szCs w:val="28"/>
        </w:rPr>
      </w:pPr>
      <w:r>
        <w:rPr>
          <w:rFonts w:ascii="Times New Roman" w:hAnsi="Times New Roman"/>
          <w:b/>
          <w:sz w:val="28"/>
          <w:szCs w:val="28"/>
        </w:rPr>
        <w:t xml:space="preserve">NAMIREMBE BWANGA </w:t>
      </w:r>
    </w:p>
    <w:p w:rsidR="007C50C3" w:rsidRPr="00A5714D" w:rsidRDefault="007C50C3" w:rsidP="007C50C3">
      <w:pPr>
        <w:spacing w:after="0" w:line="360" w:lineRule="auto"/>
        <w:jc w:val="both"/>
        <w:rPr>
          <w:rFonts w:ascii="Times New Roman" w:hAnsi="Times New Roman"/>
          <w:b/>
          <w:sz w:val="28"/>
          <w:szCs w:val="28"/>
        </w:rPr>
      </w:pPr>
      <w:r>
        <w:rPr>
          <w:rFonts w:ascii="Times New Roman" w:hAnsi="Times New Roman"/>
          <w:b/>
          <w:sz w:val="28"/>
          <w:szCs w:val="28"/>
        </w:rPr>
        <w:t>BWAMIREMBE</w:t>
      </w:r>
      <w:r w:rsidRPr="00A5714D">
        <w:rPr>
          <w:rFonts w:ascii="Times New Roman" w:hAnsi="Times New Roman"/>
          <w:b/>
          <w:sz w:val="28"/>
          <w:szCs w:val="28"/>
        </w:rPr>
        <w:t>:::::::::</w:t>
      </w:r>
      <w:r>
        <w:rPr>
          <w:rFonts w:ascii="Times New Roman" w:hAnsi="Times New Roman"/>
          <w:b/>
          <w:sz w:val="28"/>
          <w:szCs w:val="28"/>
        </w:rPr>
        <w:t>::::::::::::::::::::::::::::::</w:t>
      </w:r>
      <w:r w:rsidRPr="00A5714D">
        <w:rPr>
          <w:rFonts w:ascii="Times New Roman" w:hAnsi="Times New Roman"/>
          <w:b/>
          <w:sz w:val="28"/>
          <w:szCs w:val="28"/>
        </w:rPr>
        <w:t xml:space="preserve"> APP</w:t>
      </w:r>
      <w:r>
        <w:rPr>
          <w:rFonts w:ascii="Times New Roman" w:hAnsi="Times New Roman"/>
          <w:b/>
          <w:sz w:val="28"/>
          <w:szCs w:val="28"/>
        </w:rPr>
        <w:t>LICANT/DEFENDANT</w:t>
      </w:r>
    </w:p>
    <w:p w:rsidR="007C50C3" w:rsidRPr="00AB0B5A" w:rsidRDefault="007C50C3" w:rsidP="007C50C3">
      <w:pPr>
        <w:spacing w:after="0" w:line="360" w:lineRule="auto"/>
        <w:jc w:val="center"/>
        <w:rPr>
          <w:rFonts w:ascii="Times New Roman" w:hAnsi="Times New Roman"/>
          <w:b/>
          <w:i/>
          <w:sz w:val="28"/>
          <w:szCs w:val="28"/>
        </w:rPr>
      </w:pPr>
      <w:r w:rsidRPr="00AB0B5A">
        <w:rPr>
          <w:rFonts w:ascii="Times New Roman" w:hAnsi="Times New Roman"/>
          <w:b/>
          <w:i/>
          <w:sz w:val="28"/>
          <w:szCs w:val="28"/>
        </w:rPr>
        <w:t>VERSUS</w:t>
      </w:r>
    </w:p>
    <w:p w:rsidR="007C50C3" w:rsidRPr="007C50C3" w:rsidRDefault="007C50C3" w:rsidP="007C50C3">
      <w:pPr>
        <w:spacing w:after="0" w:line="360" w:lineRule="auto"/>
        <w:jc w:val="both"/>
        <w:rPr>
          <w:rFonts w:ascii="Times New Roman" w:hAnsi="Times New Roman"/>
          <w:b/>
          <w:sz w:val="28"/>
          <w:szCs w:val="28"/>
        </w:rPr>
      </w:pPr>
      <w:r>
        <w:rPr>
          <w:rFonts w:ascii="Times New Roman" w:hAnsi="Times New Roman"/>
          <w:b/>
          <w:sz w:val="28"/>
          <w:szCs w:val="28"/>
        </w:rPr>
        <w:t>MAKERERE UNIVERSITY</w:t>
      </w:r>
      <w:r w:rsidRPr="007C50C3">
        <w:rPr>
          <w:rFonts w:ascii="Times New Roman" w:hAnsi="Times New Roman"/>
          <w:b/>
          <w:sz w:val="28"/>
          <w:szCs w:val="28"/>
        </w:rPr>
        <w:t xml:space="preserve"> :::::::::::::::::::::: RESPONDENTS</w:t>
      </w:r>
      <w:r>
        <w:rPr>
          <w:rFonts w:ascii="Times New Roman" w:hAnsi="Times New Roman"/>
          <w:b/>
          <w:sz w:val="28"/>
          <w:szCs w:val="28"/>
        </w:rPr>
        <w:t>/PLAINTIFF</w:t>
      </w:r>
    </w:p>
    <w:p w:rsidR="007C50C3" w:rsidRPr="00697A8D" w:rsidRDefault="007C50C3" w:rsidP="007C50C3">
      <w:pPr>
        <w:spacing w:line="360" w:lineRule="auto"/>
        <w:ind w:left="360"/>
        <w:jc w:val="center"/>
        <w:rPr>
          <w:rFonts w:ascii="Times New Roman" w:hAnsi="Times New Roman"/>
          <w:b/>
          <w:i/>
          <w:sz w:val="28"/>
          <w:szCs w:val="28"/>
          <w:u w:val="single"/>
        </w:rPr>
      </w:pPr>
      <w:r w:rsidRPr="00697A8D">
        <w:rPr>
          <w:rFonts w:ascii="Times New Roman" w:hAnsi="Times New Roman"/>
          <w:b/>
          <w:i/>
          <w:sz w:val="28"/>
          <w:szCs w:val="28"/>
          <w:u w:val="single"/>
        </w:rPr>
        <w:t>BEFORE: HON. MR JUSTICE BASHAIJA K. ANDREW.</w:t>
      </w:r>
    </w:p>
    <w:p w:rsidR="007C50C3" w:rsidRPr="00A5714D" w:rsidRDefault="007C50C3" w:rsidP="007C50C3">
      <w:pPr>
        <w:spacing w:line="360" w:lineRule="auto"/>
        <w:ind w:left="360"/>
        <w:jc w:val="center"/>
        <w:rPr>
          <w:rFonts w:ascii="Times New Roman" w:hAnsi="Times New Roman"/>
          <w:b/>
          <w:i/>
          <w:sz w:val="28"/>
          <w:szCs w:val="28"/>
          <w:u w:val="single"/>
        </w:rPr>
      </w:pPr>
      <w:r>
        <w:rPr>
          <w:rFonts w:ascii="Times New Roman" w:hAnsi="Times New Roman"/>
          <w:b/>
          <w:i/>
          <w:sz w:val="28"/>
          <w:szCs w:val="28"/>
          <w:u w:val="single"/>
        </w:rPr>
        <w:t>R U L I N G:</w:t>
      </w:r>
    </w:p>
    <w:p w:rsidR="00BC33CB" w:rsidRDefault="007C50C3" w:rsidP="007C50C3">
      <w:pPr>
        <w:jc w:val="both"/>
        <w:rPr>
          <w:rFonts w:ascii="Times New Roman" w:hAnsi="Times New Roman"/>
          <w:sz w:val="28"/>
          <w:szCs w:val="28"/>
        </w:rPr>
      </w:pPr>
      <w:r>
        <w:rPr>
          <w:rFonts w:ascii="Times New Roman" w:hAnsi="Times New Roman"/>
          <w:sz w:val="28"/>
          <w:szCs w:val="28"/>
        </w:rPr>
        <w:t xml:space="preserve">This application is brought under </w:t>
      </w:r>
      <w:r w:rsidRPr="00BA197F">
        <w:rPr>
          <w:rFonts w:ascii="Times New Roman" w:hAnsi="Times New Roman"/>
          <w:b/>
          <w:i/>
          <w:sz w:val="28"/>
          <w:szCs w:val="28"/>
        </w:rPr>
        <w:t>Order</w:t>
      </w:r>
      <w:r w:rsidR="0017116F" w:rsidRPr="00BA197F">
        <w:rPr>
          <w:rFonts w:ascii="Times New Roman" w:hAnsi="Times New Roman"/>
          <w:b/>
          <w:i/>
          <w:sz w:val="28"/>
          <w:szCs w:val="28"/>
        </w:rPr>
        <w:t xml:space="preserve"> 6</w:t>
      </w:r>
      <w:r w:rsidRPr="00BA197F">
        <w:rPr>
          <w:rFonts w:ascii="Times New Roman" w:hAnsi="Times New Roman"/>
          <w:b/>
          <w:i/>
          <w:sz w:val="28"/>
          <w:szCs w:val="28"/>
        </w:rPr>
        <w:t xml:space="preserve"> rr.9 &amp; 31 CPR; S.98 CPA; S.33 Judicature Act</w:t>
      </w:r>
      <w:r>
        <w:rPr>
          <w:rFonts w:ascii="Times New Roman" w:hAnsi="Times New Roman"/>
          <w:sz w:val="28"/>
          <w:szCs w:val="28"/>
        </w:rPr>
        <w:t xml:space="preserve"> seeking orders that:-</w:t>
      </w:r>
    </w:p>
    <w:p w:rsidR="007C50C3" w:rsidRPr="00BA197F" w:rsidRDefault="007C50C3" w:rsidP="00E44561">
      <w:pPr>
        <w:pStyle w:val="ListParagraph"/>
        <w:numPr>
          <w:ilvl w:val="0"/>
          <w:numId w:val="2"/>
        </w:numPr>
        <w:spacing w:after="0" w:line="360" w:lineRule="auto"/>
        <w:ind w:hanging="630"/>
        <w:jc w:val="both"/>
        <w:rPr>
          <w:rFonts w:ascii="Times New Roman" w:hAnsi="Times New Roman"/>
          <w:b/>
          <w:i/>
          <w:sz w:val="28"/>
          <w:szCs w:val="28"/>
        </w:rPr>
      </w:pPr>
      <w:r w:rsidRPr="00BA197F">
        <w:rPr>
          <w:rFonts w:ascii="Times New Roman" w:hAnsi="Times New Roman"/>
          <w:b/>
          <w:i/>
          <w:sz w:val="28"/>
          <w:szCs w:val="28"/>
        </w:rPr>
        <w:t>Leave be granted to the Applicant/Defendant to amend her Written Statement of Defence.</w:t>
      </w:r>
    </w:p>
    <w:p w:rsidR="007C50C3" w:rsidRPr="00BA197F" w:rsidRDefault="007C50C3" w:rsidP="00E44561">
      <w:pPr>
        <w:pStyle w:val="ListParagraph"/>
        <w:numPr>
          <w:ilvl w:val="0"/>
          <w:numId w:val="2"/>
        </w:numPr>
        <w:spacing w:after="0" w:line="360" w:lineRule="auto"/>
        <w:ind w:hanging="630"/>
        <w:jc w:val="both"/>
        <w:rPr>
          <w:rFonts w:ascii="Times New Roman" w:hAnsi="Times New Roman"/>
          <w:b/>
          <w:i/>
          <w:sz w:val="28"/>
          <w:szCs w:val="28"/>
        </w:rPr>
      </w:pPr>
      <w:r w:rsidRPr="00BA197F">
        <w:rPr>
          <w:rFonts w:ascii="Times New Roman" w:hAnsi="Times New Roman"/>
          <w:b/>
          <w:i/>
          <w:sz w:val="28"/>
          <w:szCs w:val="28"/>
        </w:rPr>
        <w:t xml:space="preserve">Leave be granted to the Applicant/Defendant to amend her Written Statement of Defence to include a counter claim against the Respondent and the Commissioner Land Registration. </w:t>
      </w:r>
    </w:p>
    <w:p w:rsidR="00AE3AFC" w:rsidRDefault="007C50C3" w:rsidP="007C50C3">
      <w:pPr>
        <w:pStyle w:val="ListParagraph"/>
        <w:numPr>
          <w:ilvl w:val="0"/>
          <w:numId w:val="2"/>
        </w:numPr>
        <w:spacing w:after="0" w:line="360" w:lineRule="auto"/>
        <w:ind w:hanging="630"/>
        <w:jc w:val="both"/>
        <w:rPr>
          <w:rFonts w:ascii="Times New Roman" w:hAnsi="Times New Roman"/>
          <w:b/>
          <w:i/>
          <w:sz w:val="28"/>
          <w:szCs w:val="28"/>
        </w:rPr>
      </w:pPr>
      <w:r w:rsidRPr="00BA197F">
        <w:rPr>
          <w:rFonts w:ascii="Times New Roman" w:hAnsi="Times New Roman"/>
          <w:b/>
          <w:i/>
          <w:sz w:val="28"/>
          <w:szCs w:val="28"/>
        </w:rPr>
        <w:t>Costs of this application be provided for.</w:t>
      </w:r>
    </w:p>
    <w:p w:rsidR="00E44561" w:rsidRPr="00AE3AFC" w:rsidRDefault="00E44561" w:rsidP="00AE3AFC">
      <w:pPr>
        <w:spacing w:after="0" w:line="360" w:lineRule="auto"/>
        <w:jc w:val="both"/>
        <w:rPr>
          <w:rFonts w:ascii="Times New Roman" w:hAnsi="Times New Roman"/>
          <w:b/>
          <w:i/>
          <w:sz w:val="28"/>
          <w:szCs w:val="28"/>
        </w:rPr>
      </w:pPr>
      <w:r w:rsidRPr="00AE3AFC">
        <w:rPr>
          <w:rFonts w:ascii="Times New Roman" w:hAnsi="Times New Roman"/>
          <w:sz w:val="28"/>
          <w:szCs w:val="28"/>
        </w:rPr>
        <w:t>The grounds of the application supported by the affidavits of the Applicant are that:-</w:t>
      </w:r>
    </w:p>
    <w:p w:rsidR="00BC39F7" w:rsidRPr="00BA197F" w:rsidRDefault="00E44561" w:rsidP="00BA197F">
      <w:pPr>
        <w:pStyle w:val="ListParagraph"/>
        <w:numPr>
          <w:ilvl w:val="0"/>
          <w:numId w:val="3"/>
        </w:numPr>
        <w:spacing w:after="0" w:line="240" w:lineRule="auto"/>
        <w:ind w:hanging="630"/>
        <w:jc w:val="both"/>
        <w:rPr>
          <w:rFonts w:ascii="Times New Roman" w:hAnsi="Times New Roman"/>
          <w:b/>
          <w:i/>
          <w:sz w:val="28"/>
          <w:szCs w:val="28"/>
        </w:rPr>
      </w:pPr>
      <w:r w:rsidRPr="00BA197F">
        <w:rPr>
          <w:rFonts w:ascii="Times New Roman" w:hAnsi="Times New Roman"/>
          <w:b/>
          <w:i/>
          <w:sz w:val="28"/>
          <w:szCs w:val="28"/>
        </w:rPr>
        <w:t xml:space="preserve">The Respondent </w:t>
      </w:r>
      <w:r w:rsidR="00BC39F7" w:rsidRPr="00BA197F">
        <w:rPr>
          <w:rFonts w:ascii="Times New Roman" w:hAnsi="Times New Roman"/>
          <w:b/>
          <w:i/>
          <w:sz w:val="28"/>
          <w:szCs w:val="28"/>
        </w:rPr>
        <w:t>herein filed the head suit for a declaration of property rights in the land alleged to be comprised in Freehold Register Volume 521 Folio 25 land at Makindye measuring approximately 15 acres among other prayers against the Applicant/Defendant.</w:t>
      </w:r>
    </w:p>
    <w:p w:rsidR="00BC39F7" w:rsidRPr="00BA197F" w:rsidRDefault="00BC39F7" w:rsidP="00BA197F">
      <w:pPr>
        <w:pStyle w:val="ListParagraph"/>
        <w:spacing w:after="0" w:line="240" w:lineRule="auto"/>
        <w:jc w:val="both"/>
        <w:rPr>
          <w:rFonts w:ascii="Times New Roman" w:hAnsi="Times New Roman"/>
          <w:b/>
          <w:i/>
          <w:sz w:val="28"/>
          <w:szCs w:val="28"/>
        </w:rPr>
      </w:pPr>
    </w:p>
    <w:p w:rsidR="00E44561" w:rsidRPr="00BA197F" w:rsidRDefault="00BC39F7" w:rsidP="00BA197F">
      <w:pPr>
        <w:pStyle w:val="ListParagraph"/>
        <w:numPr>
          <w:ilvl w:val="0"/>
          <w:numId w:val="3"/>
        </w:numPr>
        <w:spacing w:after="0" w:line="240" w:lineRule="auto"/>
        <w:ind w:hanging="630"/>
        <w:jc w:val="both"/>
        <w:rPr>
          <w:rFonts w:ascii="Times New Roman" w:hAnsi="Times New Roman"/>
          <w:b/>
          <w:i/>
          <w:sz w:val="28"/>
          <w:szCs w:val="28"/>
        </w:rPr>
      </w:pPr>
      <w:r w:rsidRPr="00BA197F">
        <w:rPr>
          <w:rFonts w:ascii="Times New Roman" w:hAnsi="Times New Roman"/>
          <w:b/>
          <w:i/>
          <w:sz w:val="28"/>
          <w:szCs w:val="28"/>
        </w:rPr>
        <w:lastRenderedPageBreak/>
        <w:t xml:space="preserve">That in her personal capacity as the administratrix of the estate of the late Princess Namirembe Hilda Bwanga Bwamirembe the actual and rightful owner of the suit land and also as the head and guardian of the Buganda cultural heritage and regalia, the Applicant instructed her former counsel M/S Wameli and Company Advocates to file a defence against the claims that had been preferred by the Respondent/Plaintiff in the head suit. </w:t>
      </w:r>
    </w:p>
    <w:p w:rsidR="007C26FD" w:rsidRPr="00BA197F" w:rsidRDefault="007C26FD" w:rsidP="00BA197F">
      <w:pPr>
        <w:pStyle w:val="ListParagraph"/>
        <w:spacing w:line="240" w:lineRule="auto"/>
        <w:rPr>
          <w:rFonts w:ascii="Times New Roman" w:hAnsi="Times New Roman"/>
          <w:b/>
          <w:i/>
          <w:sz w:val="28"/>
          <w:szCs w:val="28"/>
        </w:rPr>
      </w:pPr>
    </w:p>
    <w:p w:rsidR="000E3C8D" w:rsidRPr="00BA197F" w:rsidRDefault="007C26FD" w:rsidP="00BA197F">
      <w:pPr>
        <w:pStyle w:val="ListParagraph"/>
        <w:numPr>
          <w:ilvl w:val="0"/>
          <w:numId w:val="3"/>
        </w:numPr>
        <w:spacing w:after="0" w:line="240" w:lineRule="auto"/>
        <w:ind w:hanging="630"/>
        <w:jc w:val="both"/>
        <w:rPr>
          <w:rFonts w:ascii="Times New Roman" w:hAnsi="Times New Roman"/>
          <w:b/>
          <w:i/>
          <w:sz w:val="28"/>
          <w:szCs w:val="28"/>
        </w:rPr>
      </w:pPr>
      <w:r w:rsidRPr="00BA197F">
        <w:rPr>
          <w:rFonts w:ascii="Times New Roman" w:hAnsi="Times New Roman"/>
          <w:b/>
          <w:i/>
          <w:sz w:val="28"/>
          <w:szCs w:val="28"/>
        </w:rPr>
        <w:t xml:space="preserve">Infact the Applicant gave her former counsel a detailed background supported with documentary evidence regarding the former’s ownership of the suit land and indeed instructed counsel to file an action challenging the Respondent/Plaintiff alleged proprietary </w:t>
      </w:r>
      <w:r w:rsidR="003F06C2" w:rsidRPr="00BA197F">
        <w:rPr>
          <w:rFonts w:ascii="Times New Roman" w:hAnsi="Times New Roman"/>
          <w:b/>
          <w:i/>
          <w:sz w:val="28"/>
          <w:szCs w:val="28"/>
        </w:rPr>
        <w:t>interest</w:t>
      </w:r>
      <w:r w:rsidR="003F06C2">
        <w:rPr>
          <w:rFonts w:ascii="Times New Roman" w:hAnsi="Times New Roman"/>
          <w:b/>
          <w:i/>
          <w:sz w:val="28"/>
          <w:szCs w:val="28"/>
        </w:rPr>
        <w:t xml:space="preserve"> </w:t>
      </w:r>
      <w:r w:rsidRPr="00BA197F">
        <w:rPr>
          <w:rFonts w:ascii="Times New Roman" w:hAnsi="Times New Roman"/>
          <w:b/>
          <w:i/>
          <w:sz w:val="28"/>
          <w:szCs w:val="28"/>
        </w:rPr>
        <w:t>in</w:t>
      </w:r>
      <w:r w:rsidR="003F06C2">
        <w:rPr>
          <w:rFonts w:ascii="Times New Roman" w:hAnsi="Times New Roman"/>
          <w:b/>
          <w:i/>
          <w:sz w:val="28"/>
          <w:szCs w:val="28"/>
        </w:rPr>
        <w:t xml:space="preserve"> </w:t>
      </w:r>
      <w:r w:rsidRPr="00BA197F">
        <w:rPr>
          <w:rFonts w:ascii="Times New Roman" w:hAnsi="Times New Roman"/>
          <w:b/>
          <w:i/>
          <w:sz w:val="28"/>
          <w:szCs w:val="28"/>
        </w:rPr>
        <w:t xml:space="preserve">the suit land in form of a counterclaim. </w:t>
      </w:r>
    </w:p>
    <w:p w:rsidR="000E3C8D" w:rsidRPr="00BA197F" w:rsidRDefault="000E3C8D" w:rsidP="00BA197F">
      <w:pPr>
        <w:pStyle w:val="ListParagraph"/>
        <w:spacing w:line="240" w:lineRule="auto"/>
        <w:rPr>
          <w:rFonts w:ascii="Times New Roman" w:hAnsi="Times New Roman"/>
          <w:b/>
          <w:i/>
          <w:sz w:val="28"/>
          <w:szCs w:val="28"/>
        </w:rPr>
      </w:pPr>
    </w:p>
    <w:p w:rsidR="000E3C8D" w:rsidRPr="00BA197F" w:rsidRDefault="00922B02" w:rsidP="00BA197F">
      <w:pPr>
        <w:pStyle w:val="ListParagraph"/>
        <w:numPr>
          <w:ilvl w:val="0"/>
          <w:numId w:val="3"/>
        </w:numPr>
        <w:spacing w:after="0" w:line="240" w:lineRule="auto"/>
        <w:ind w:hanging="630"/>
        <w:jc w:val="both"/>
        <w:rPr>
          <w:rFonts w:ascii="Times New Roman" w:hAnsi="Times New Roman"/>
          <w:b/>
          <w:i/>
          <w:sz w:val="28"/>
          <w:szCs w:val="28"/>
        </w:rPr>
      </w:pPr>
      <w:r w:rsidRPr="00BA197F">
        <w:rPr>
          <w:rFonts w:ascii="Times New Roman" w:hAnsi="Times New Roman"/>
          <w:b/>
          <w:i/>
          <w:sz w:val="28"/>
          <w:szCs w:val="28"/>
        </w:rPr>
        <w:t>In spite</w:t>
      </w:r>
      <w:r w:rsidR="000E3C8D" w:rsidRPr="00BA197F">
        <w:rPr>
          <w:rFonts w:ascii="Times New Roman" w:hAnsi="Times New Roman"/>
          <w:b/>
          <w:i/>
          <w:sz w:val="28"/>
          <w:szCs w:val="28"/>
        </w:rPr>
        <w:t xml:space="preserve"> of all the evidence documentary and otherwise, the Applicant’s previous counsel out of inadvertence failed to raise the said facts in material particular and indeed did not omit to annex the necessary documents but also omitted and failed to raise a suit within a suit against the Respondent/Plaintiff. </w:t>
      </w:r>
    </w:p>
    <w:p w:rsidR="000E3C8D" w:rsidRPr="00BA197F" w:rsidRDefault="000E3C8D" w:rsidP="00BA197F">
      <w:pPr>
        <w:pStyle w:val="ListParagraph"/>
        <w:spacing w:line="240" w:lineRule="auto"/>
        <w:rPr>
          <w:rFonts w:ascii="Times New Roman" w:hAnsi="Times New Roman"/>
          <w:b/>
          <w:i/>
          <w:sz w:val="28"/>
          <w:szCs w:val="28"/>
        </w:rPr>
      </w:pPr>
    </w:p>
    <w:p w:rsidR="00CF78E3" w:rsidRPr="00BA197F" w:rsidRDefault="000E3C8D" w:rsidP="00BA197F">
      <w:pPr>
        <w:pStyle w:val="ListParagraph"/>
        <w:numPr>
          <w:ilvl w:val="0"/>
          <w:numId w:val="3"/>
        </w:numPr>
        <w:spacing w:after="0" w:line="240" w:lineRule="auto"/>
        <w:ind w:hanging="630"/>
        <w:jc w:val="both"/>
        <w:rPr>
          <w:rFonts w:ascii="Times New Roman" w:hAnsi="Times New Roman"/>
          <w:b/>
          <w:i/>
          <w:sz w:val="28"/>
          <w:szCs w:val="28"/>
        </w:rPr>
      </w:pPr>
      <w:r w:rsidRPr="00BA197F">
        <w:rPr>
          <w:rFonts w:ascii="Times New Roman" w:hAnsi="Times New Roman"/>
          <w:b/>
          <w:i/>
          <w:sz w:val="28"/>
          <w:szCs w:val="28"/>
        </w:rPr>
        <w:t xml:space="preserve">The Defendant has a meritious defence and counterclaim against the Respondent which ought to be heard by this Honourable Court and the Applicant has since instructed fresh counsel. </w:t>
      </w:r>
    </w:p>
    <w:p w:rsidR="00CF78E3" w:rsidRPr="00BA197F" w:rsidRDefault="00CF78E3" w:rsidP="00BA197F">
      <w:pPr>
        <w:pStyle w:val="ListParagraph"/>
        <w:spacing w:line="240" w:lineRule="auto"/>
        <w:rPr>
          <w:rFonts w:ascii="Times New Roman" w:hAnsi="Times New Roman"/>
          <w:b/>
          <w:i/>
          <w:sz w:val="28"/>
          <w:szCs w:val="28"/>
        </w:rPr>
      </w:pPr>
    </w:p>
    <w:p w:rsidR="00FC04F9" w:rsidRPr="00BA197F" w:rsidRDefault="00CF78E3" w:rsidP="00BA197F">
      <w:pPr>
        <w:pStyle w:val="ListParagraph"/>
        <w:numPr>
          <w:ilvl w:val="0"/>
          <w:numId w:val="3"/>
        </w:numPr>
        <w:spacing w:after="0" w:line="240" w:lineRule="auto"/>
        <w:ind w:hanging="630"/>
        <w:jc w:val="both"/>
        <w:rPr>
          <w:rFonts w:ascii="Times New Roman" w:hAnsi="Times New Roman"/>
          <w:b/>
          <w:i/>
          <w:sz w:val="28"/>
          <w:szCs w:val="28"/>
        </w:rPr>
      </w:pPr>
      <w:r w:rsidRPr="00BA197F">
        <w:rPr>
          <w:rFonts w:ascii="Times New Roman" w:hAnsi="Times New Roman"/>
          <w:b/>
          <w:i/>
          <w:sz w:val="28"/>
          <w:szCs w:val="28"/>
        </w:rPr>
        <w:t xml:space="preserve">It is necessary that this Honourable Court be pleased to grant the applicant in the orders sought to enable court determine the real question in controversy between the parties and to avoid a multiplicity </w:t>
      </w:r>
      <w:r w:rsidR="00FC04F9" w:rsidRPr="00BA197F">
        <w:rPr>
          <w:rFonts w:ascii="Times New Roman" w:hAnsi="Times New Roman"/>
          <w:b/>
          <w:i/>
          <w:sz w:val="28"/>
          <w:szCs w:val="28"/>
        </w:rPr>
        <w:t>of actions.</w:t>
      </w:r>
    </w:p>
    <w:p w:rsidR="00FC04F9" w:rsidRPr="00BA197F" w:rsidRDefault="00FC04F9" w:rsidP="00BA197F">
      <w:pPr>
        <w:pStyle w:val="ListParagraph"/>
        <w:spacing w:line="240" w:lineRule="auto"/>
        <w:rPr>
          <w:rFonts w:ascii="Times New Roman" w:hAnsi="Times New Roman"/>
          <w:b/>
          <w:i/>
          <w:sz w:val="28"/>
          <w:szCs w:val="28"/>
        </w:rPr>
      </w:pPr>
    </w:p>
    <w:p w:rsidR="00AE3AFC" w:rsidRDefault="00FC04F9" w:rsidP="00BA197F">
      <w:pPr>
        <w:pStyle w:val="ListParagraph"/>
        <w:numPr>
          <w:ilvl w:val="0"/>
          <w:numId w:val="3"/>
        </w:numPr>
        <w:spacing w:after="0" w:line="240" w:lineRule="auto"/>
        <w:ind w:hanging="630"/>
        <w:jc w:val="both"/>
        <w:rPr>
          <w:rFonts w:ascii="Times New Roman" w:hAnsi="Times New Roman"/>
          <w:b/>
          <w:i/>
          <w:sz w:val="28"/>
          <w:szCs w:val="28"/>
        </w:rPr>
      </w:pPr>
      <w:r w:rsidRPr="00BA197F">
        <w:rPr>
          <w:rFonts w:ascii="Times New Roman" w:hAnsi="Times New Roman"/>
          <w:b/>
          <w:i/>
          <w:sz w:val="28"/>
          <w:szCs w:val="28"/>
        </w:rPr>
        <w:t>It is just, fair equitable and in the interest of both parties that this application is granted.</w:t>
      </w:r>
    </w:p>
    <w:p w:rsidR="004F0C5A" w:rsidRPr="00BA197F" w:rsidRDefault="004F0C5A" w:rsidP="00AE3AFC">
      <w:pPr>
        <w:pStyle w:val="ListParagraph"/>
        <w:spacing w:after="0" w:line="240" w:lineRule="auto"/>
        <w:jc w:val="both"/>
        <w:rPr>
          <w:rFonts w:ascii="Times New Roman" w:hAnsi="Times New Roman"/>
          <w:b/>
          <w:i/>
          <w:sz w:val="28"/>
          <w:szCs w:val="28"/>
        </w:rPr>
      </w:pPr>
      <w:r w:rsidRPr="00BA197F">
        <w:rPr>
          <w:rFonts w:ascii="Times New Roman" w:hAnsi="Times New Roman"/>
          <w:b/>
          <w:i/>
          <w:sz w:val="28"/>
          <w:szCs w:val="28"/>
        </w:rPr>
        <w:tab/>
      </w:r>
    </w:p>
    <w:p w:rsidR="004F0C5A" w:rsidRDefault="004F0C5A" w:rsidP="004F0C5A">
      <w:pPr>
        <w:spacing w:after="0" w:line="360" w:lineRule="auto"/>
        <w:jc w:val="both"/>
        <w:rPr>
          <w:rFonts w:ascii="Times New Roman" w:hAnsi="Times New Roman"/>
          <w:sz w:val="28"/>
          <w:szCs w:val="28"/>
        </w:rPr>
      </w:pPr>
      <w:r>
        <w:rPr>
          <w:rFonts w:ascii="Times New Roman" w:hAnsi="Times New Roman"/>
          <w:sz w:val="28"/>
          <w:szCs w:val="28"/>
        </w:rPr>
        <w:t xml:space="preserve">The Respondent filed an affidavit in reply </w:t>
      </w:r>
      <w:r w:rsidR="006622BF">
        <w:rPr>
          <w:rFonts w:ascii="Times New Roman" w:hAnsi="Times New Roman"/>
          <w:sz w:val="28"/>
          <w:szCs w:val="28"/>
        </w:rPr>
        <w:t>of Mr.</w:t>
      </w:r>
      <w:r>
        <w:rPr>
          <w:rFonts w:ascii="Times New Roman" w:hAnsi="Times New Roman"/>
          <w:sz w:val="28"/>
          <w:szCs w:val="28"/>
        </w:rPr>
        <w:t xml:space="preserve"> David Kahundha Muhwezi</w:t>
      </w:r>
      <w:r w:rsidR="00BA197F">
        <w:rPr>
          <w:rFonts w:ascii="Times New Roman" w:hAnsi="Times New Roman"/>
          <w:sz w:val="28"/>
          <w:szCs w:val="28"/>
        </w:rPr>
        <w:t>,</w:t>
      </w:r>
      <w:r>
        <w:rPr>
          <w:rFonts w:ascii="Times New Roman" w:hAnsi="Times New Roman"/>
          <w:sz w:val="28"/>
          <w:szCs w:val="28"/>
        </w:rPr>
        <w:t xml:space="preserve"> the Respondent’s University Secretary</w:t>
      </w:r>
      <w:r w:rsidR="00BA197F">
        <w:rPr>
          <w:rFonts w:ascii="Times New Roman" w:hAnsi="Times New Roman"/>
          <w:sz w:val="28"/>
          <w:szCs w:val="28"/>
        </w:rPr>
        <w:t>,</w:t>
      </w:r>
      <w:r>
        <w:rPr>
          <w:rFonts w:ascii="Times New Roman" w:hAnsi="Times New Roman"/>
          <w:sz w:val="28"/>
          <w:szCs w:val="28"/>
        </w:rPr>
        <w:t xml:space="preserve"> opposing the application. The Applicant’s Counsel in their submission (at page 2) listed three issues which </w:t>
      </w:r>
      <w:r w:rsidR="00BA197F">
        <w:rPr>
          <w:rFonts w:ascii="Times New Roman" w:hAnsi="Times New Roman"/>
          <w:sz w:val="28"/>
          <w:szCs w:val="28"/>
        </w:rPr>
        <w:t>t</w:t>
      </w:r>
      <w:r>
        <w:rPr>
          <w:rFonts w:ascii="Times New Roman" w:hAnsi="Times New Roman"/>
          <w:sz w:val="28"/>
          <w:szCs w:val="28"/>
        </w:rPr>
        <w:t>he</w:t>
      </w:r>
      <w:r w:rsidR="00BA197F">
        <w:rPr>
          <w:rFonts w:ascii="Times New Roman" w:hAnsi="Times New Roman"/>
          <w:sz w:val="28"/>
          <w:szCs w:val="28"/>
        </w:rPr>
        <w:t>y</w:t>
      </w:r>
      <w:r>
        <w:rPr>
          <w:rFonts w:ascii="Times New Roman" w:hAnsi="Times New Roman"/>
          <w:sz w:val="28"/>
          <w:szCs w:val="28"/>
        </w:rPr>
        <w:t xml:space="preserve"> sought this court to pronounce itself upon</w:t>
      </w:r>
      <w:r w:rsidR="00BA197F">
        <w:rPr>
          <w:rFonts w:ascii="Times New Roman" w:hAnsi="Times New Roman"/>
          <w:sz w:val="28"/>
          <w:szCs w:val="28"/>
        </w:rPr>
        <w:t xml:space="preserve"> as regards this application</w:t>
      </w:r>
      <w:r>
        <w:rPr>
          <w:rFonts w:ascii="Times New Roman" w:hAnsi="Times New Roman"/>
          <w:sz w:val="28"/>
          <w:szCs w:val="28"/>
        </w:rPr>
        <w:t>.  They are:-</w:t>
      </w:r>
    </w:p>
    <w:p w:rsidR="004F0C5A" w:rsidRPr="00BA197F" w:rsidRDefault="004F0C5A" w:rsidP="00BA197F">
      <w:pPr>
        <w:pStyle w:val="ListParagraph"/>
        <w:numPr>
          <w:ilvl w:val="0"/>
          <w:numId w:val="4"/>
        </w:numPr>
        <w:spacing w:after="0" w:line="240" w:lineRule="auto"/>
        <w:ind w:left="720" w:hanging="630"/>
        <w:jc w:val="both"/>
        <w:rPr>
          <w:rFonts w:ascii="Times New Roman" w:hAnsi="Times New Roman"/>
          <w:b/>
          <w:i/>
          <w:sz w:val="28"/>
          <w:szCs w:val="28"/>
        </w:rPr>
      </w:pPr>
      <w:r w:rsidRPr="00BA197F">
        <w:rPr>
          <w:rFonts w:ascii="Times New Roman" w:hAnsi="Times New Roman"/>
          <w:b/>
          <w:i/>
          <w:sz w:val="28"/>
          <w:szCs w:val="28"/>
        </w:rPr>
        <w:t>Whether the Applicant/Defendant has a right to raise a counterclaim/whether the Respondents can block the Defendant from doing so.</w:t>
      </w:r>
    </w:p>
    <w:p w:rsidR="004F0C5A" w:rsidRPr="00BA197F" w:rsidRDefault="004F0C5A" w:rsidP="00BA197F">
      <w:pPr>
        <w:pStyle w:val="ListParagraph"/>
        <w:spacing w:after="0" w:line="240" w:lineRule="auto"/>
        <w:jc w:val="both"/>
        <w:rPr>
          <w:rFonts w:ascii="Times New Roman" w:hAnsi="Times New Roman"/>
          <w:b/>
          <w:i/>
          <w:sz w:val="28"/>
          <w:szCs w:val="28"/>
        </w:rPr>
      </w:pPr>
    </w:p>
    <w:p w:rsidR="004F0C5A" w:rsidRPr="00BA197F" w:rsidRDefault="004F0C5A" w:rsidP="00BA197F">
      <w:pPr>
        <w:pStyle w:val="ListParagraph"/>
        <w:numPr>
          <w:ilvl w:val="0"/>
          <w:numId w:val="4"/>
        </w:numPr>
        <w:spacing w:after="0" w:line="240" w:lineRule="auto"/>
        <w:ind w:left="720" w:hanging="630"/>
        <w:jc w:val="both"/>
        <w:rPr>
          <w:rFonts w:ascii="Times New Roman" w:hAnsi="Times New Roman"/>
          <w:b/>
          <w:i/>
          <w:sz w:val="28"/>
          <w:szCs w:val="28"/>
        </w:rPr>
      </w:pPr>
      <w:r w:rsidRPr="00BA197F">
        <w:rPr>
          <w:rFonts w:ascii="Times New Roman" w:hAnsi="Times New Roman"/>
          <w:b/>
          <w:i/>
          <w:sz w:val="28"/>
          <w:szCs w:val="28"/>
        </w:rPr>
        <w:lastRenderedPageBreak/>
        <w:t>Why the amendment to include a counterclaim</w:t>
      </w:r>
      <w:r w:rsidR="00BE5ACC" w:rsidRPr="00BA197F">
        <w:rPr>
          <w:rFonts w:ascii="Times New Roman" w:hAnsi="Times New Roman"/>
          <w:b/>
          <w:i/>
          <w:sz w:val="28"/>
          <w:szCs w:val="28"/>
        </w:rPr>
        <w:t>?</w:t>
      </w:r>
      <w:r w:rsidRPr="00BA197F">
        <w:rPr>
          <w:rFonts w:ascii="Times New Roman" w:hAnsi="Times New Roman"/>
          <w:b/>
          <w:i/>
          <w:sz w:val="28"/>
          <w:szCs w:val="28"/>
        </w:rPr>
        <w:t xml:space="preserve"> </w:t>
      </w:r>
    </w:p>
    <w:p w:rsidR="004F0C5A" w:rsidRPr="00BA197F" w:rsidRDefault="004F0C5A" w:rsidP="00BA197F">
      <w:pPr>
        <w:pStyle w:val="ListParagraph"/>
        <w:spacing w:line="240" w:lineRule="auto"/>
        <w:rPr>
          <w:rFonts w:ascii="Times New Roman" w:hAnsi="Times New Roman"/>
          <w:b/>
          <w:i/>
          <w:sz w:val="28"/>
          <w:szCs w:val="28"/>
        </w:rPr>
      </w:pPr>
    </w:p>
    <w:p w:rsidR="004F0C5A" w:rsidRDefault="004F0C5A" w:rsidP="00BA197F">
      <w:pPr>
        <w:pStyle w:val="ListParagraph"/>
        <w:numPr>
          <w:ilvl w:val="0"/>
          <w:numId w:val="4"/>
        </w:numPr>
        <w:spacing w:after="0" w:line="240" w:lineRule="auto"/>
        <w:ind w:left="720" w:hanging="630"/>
        <w:jc w:val="both"/>
        <w:rPr>
          <w:rFonts w:ascii="Times New Roman" w:hAnsi="Times New Roman"/>
          <w:b/>
          <w:i/>
          <w:sz w:val="28"/>
          <w:szCs w:val="28"/>
        </w:rPr>
      </w:pPr>
      <w:r w:rsidRPr="00BA197F">
        <w:rPr>
          <w:rFonts w:ascii="Times New Roman" w:hAnsi="Times New Roman"/>
          <w:b/>
          <w:i/>
          <w:sz w:val="28"/>
          <w:szCs w:val="28"/>
        </w:rPr>
        <w:t>Whether this Honourable Court has powers to allow the orders sought in that application</w:t>
      </w:r>
      <w:r w:rsidR="00BE5ACC" w:rsidRPr="00BA197F">
        <w:rPr>
          <w:rFonts w:ascii="Times New Roman" w:hAnsi="Times New Roman"/>
          <w:b/>
          <w:i/>
          <w:sz w:val="28"/>
          <w:szCs w:val="28"/>
        </w:rPr>
        <w:t>?</w:t>
      </w:r>
    </w:p>
    <w:p w:rsidR="004F0C5A" w:rsidRDefault="004F0C5A" w:rsidP="004F0C5A">
      <w:pPr>
        <w:spacing w:after="0" w:line="360" w:lineRule="auto"/>
        <w:jc w:val="both"/>
        <w:rPr>
          <w:rFonts w:ascii="Times New Roman" w:hAnsi="Times New Roman"/>
          <w:sz w:val="28"/>
          <w:szCs w:val="28"/>
        </w:rPr>
      </w:pPr>
      <w:r>
        <w:rPr>
          <w:rFonts w:ascii="Times New Roman" w:hAnsi="Times New Roman"/>
          <w:sz w:val="28"/>
          <w:szCs w:val="28"/>
        </w:rPr>
        <w:t>Counsel for the Applicant</w:t>
      </w:r>
      <w:r w:rsidR="003F06C2">
        <w:rPr>
          <w:rFonts w:ascii="Times New Roman" w:hAnsi="Times New Roman"/>
          <w:sz w:val="28"/>
          <w:szCs w:val="28"/>
        </w:rPr>
        <w:t xml:space="preserve"> </w:t>
      </w:r>
      <w:r>
        <w:rPr>
          <w:rFonts w:ascii="Times New Roman" w:hAnsi="Times New Roman"/>
          <w:sz w:val="28"/>
          <w:szCs w:val="28"/>
        </w:rPr>
        <w:t>proceeded to submit on these issues; and Counsel for the Respondent responded to them.</w:t>
      </w:r>
      <w:r w:rsidR="00BA197F">
        <w:rPr>
          <w:rFonts w:ascii="Times New Roman" w:hAnsi="Times New Roman"/>
          <w:sz w:val="28"/>
          <w:szCs w:val="28"/>
        </w:rPr>
        <w:t xml:space="preserve"> </w:t>
      </w:r>
      <w:r w:rsidR="00097995">
        <w:rPr>
          <w:rFonts w:ascii="Times New Roman" w:hAnsi="Times New Roman"/>
          <w:sz w:val="28"/>
          <w:szCs w:val="28"/>
        </w:rPr>
        <w:t xml:space="preserve">The submissions are on record and I </w:t>
      </w:r>
      <w:r w:rsidR="003F06C2">
        <w:rPr>
          <w:rFonts w:ascii="Times New Roman" w:hAnsi="Times New Roman"/>
          <w:sz w:val="28"/>
          <w:szCs w:val="28"/>
        </w:rPr>
        <w:t>will</w:t>
      </w:r>
      <w:r w:rsidR="00BA197F">
        <w:rPr>
          <w:rFonts w:ascii="Times New Roman" w:hAnsi="Times New Roman"/>
          <w:sz w:val="28"/>
          <w:szCs w:val="28"/>
        </w:rPr>
        <w:t xml:space="preserve"> not reproduce the</w:t>
      </w:r>
      <w:r w:rsidR="00097995">
        <w:rPr>
          <w:rFonts w:ascii="Times New Roman" w:hAnsi="Times New Roman"/>
          <w:sz w:val="28"/>
          <w:szCs w:val="28"/>
        </w:rPr>
        <w:t>m</w:t>
      </w:r>
      <w:r w:rsidR="00BA197F">
        <w:rPr>
          <w:rFonts w:ascii="Times New Roman" w:hAnsi="Times New Roman"/>
          <w:sz w:val="28"/>
          <w:szCs w:val="28"/>
        </w:rPr>
        <w:t xml:space="preserve"> in </w:t>
      </w:r>
      <w:r w:rsidR="00097995">
        <w:rPr>
          <w:rFonts w:ascii="Times New Roman" w:hAnsi="Times New Roman"/>
          <w:sz w:val="28"/>
          <w:szCs w:val="28"/>
        </w:rPr>
        <w:t>this ruling.  I</w:t>
      </w:r>
      <w:r w:rsidR="003F06C2">
        <w:rPr>
          <w:rFonts w:ascii="Times New Roman" w:hAnsi="Times New Roman"/>
          <w:sz w:val="28"/>
          <w:szCs w:val="28"/>
        </w:rPr>
        <w:t>t is</w:t>
      </w:r>
      <w:r w:rsidR="00CA5A1E">
        <w:rPr>
          <w:rFonts w:ascii="Times New Roman" w:hAnsi="Times New Roman"/>
          <w:sz w:val="28"/>
          <w:szCs w:val="28"/>
        </w:rPr>
        <w:t>, however,</w:t>
      </w:r>
      <w:r w:rsidR="00097995">
        <w:rPr>
          <w:rFonts w:ascii="Times New Roman" w:hAnsi="Times New Roman"/>
          <w:sz w:val="28"/>
          <w:szCs w:val="28"/>
        </w:rPr>
        <w:t xml:space="preserve"> note</w:t>
      </w:r>
      <w:r w:rsidR="003F06C2">
        <w:rPr>
          <w:rFonts w:ascii="Times New Roman" w:hAnsi="Times New Roman"/>
          <w:sz w:val="28"/>
          <w:szCs w:val="28"/>
        </w:rPr>
        <w:t>d</w:t>
      </w:r>
      <w:r w:rsidR="00097995">
        <w:rPr>
          <w:rFonts w:ascii="Times New Roman" w:hAnsi="Times New Roman"/>
          <w:sz w:val="28"/>
          <w:szCs w:val="28"/>
        </w:rPr>
        <w:t xml:space="preserve"> from the outset that the</w:t>
      </w:r>
      <w:r w:rsidR="006622BF">
        <w:rPr>
          <w:rFonts w:ascii="Times New Roman" w:hAnsi="Times New Roman"/>
          <w:sz w:val="28"/>
          <w:szCs w:val="28"/>
        </w:rPr>
        <w:t xml:space="preserve"> submissions and authorities cited by Counsel for the Applicant </w:t>
      </w:r>
      <w:r w:rsidR="003F06C2">
        <w:rPr>
          <w:rFonts w:ascii="Times New Roman" w:hAnsi="Times New Roman"/>
          <w:sz w:val="28"/>
          <w:szCs w:val="28"/>
        </w:rPr>
        <w:t>are</w:t>
      </w:r>
      <w:r w:rsidR="006622BF">
        <w:rPr>
          <w:rFonts w:ascii="Times New Roman" w:hAnsi="Times New Roman"/>
          <w:sz w:val="28"/>
          <w:szCs w:val="28"/>
        </w:rPr>
        <w:t xml:space="preserve"> not </w:t>
      </w:r>
      <w:r w:rsidR="00097995">
        <w:rPr>
          <w:rFonts w:ascii="Times New Roman" w:hAnsi="Times New Roman"/>
          <w:sz w:val="28"/>
          <w:szCs w:val="28"/>
        </w:rPr>
        <w:t xml:space="preserve">quite </w:t>
      </w:r>
      <w:r w:rsidR="006622BF">
        <w:rPr>
          <w:rFonts w:ascii="Times New Roman" w:hAnsi="Times New Roman"/>
          <w:sz w:val="28"/>
          <w:szCs w:val="28"/>
        </w:rPr>
        <w:t xml:space="preserve">relevant to the fact in issue, </w:t>
      </w:r>
      <w:r w:rsidR="003F06C2">
        <w:rPr>
          <w:rFonts w:ascii="Times New Roman" w:hAnsi="Times New Roman"/>
          <w:sz w:val="28"/>
          <w:szCs w:val="28"/>
        </w:rPr>
        <w:t xml:space="preserve">but </w:t>
      </w:r>
      <w:r w:rsidR="00097995">
        <w:rPr>
          <w:rFonts w:ascii="Times New Roman" w:hAnsi="Times New Roman"/>
          <w:sz w:val="28"/>
          <w:szCs w:val="28"/>
        </w:rPr>
        <w:t>simply</w:t>
      </w:r>
      <w:r>
        <w:rPr>
          <w:rFonts w:ascii="Times New Roman" w:hAnsi="Times New Roman"/>
          <w:sz w:val="28"/>
          <w:szCs w:val="28"/>
        </w:rPr>
        <w:t xml:space="preserve"> skirt around the main subject of the application. </w:t>
      </w:r>
      <w:r w:rsidR="006622BF">
        <w:rPr>
          <w:rFonts w:ascii="Times New Roman" w:hAnsi="Times New Roman"/>
          <w:sz w:val="28"/>
          <w:szCs w:val="28"/>
        </w:rPr>
        <w:t xml:space="preserve">They </w:t>
      </w:r>
      <w:r w:rsidR="00CA5A1E">
        <w:rPr>
          <w:rFonts w:ascii="Times New Roman" w:hAnsi="Times New Roman"/>
          <w:sz w:val="28"/>
          <w:szCs w:val="28"/>
        </w:rPr>
        <w:t xml:space="preserve">essentially </w:t>
      </w:r>
      <w:r w:rsidR="006622BF">
        <w:rPr>
          <w:rFonts w:ascii="Times New Roman" w:hAnsi="Times New Roman"/>
          <w:sz w:val="28"/>
          <w:szCs w:val="28"/>
        </w:rPr>
        <w:t>dwel</w:t>
      </w:r>
      <w:r w:rsidR="00CA5A1E">
        <w:rPr>
          <w:rFonts w:ascii="Times New Roman" w:hAnsi="Times New Roman"/>
          <w:sz w:val="28"/>
          <w:szCs w:val="28"/>
        </w:rPr>
        <w:t>l</w:t>
      </w:r>
      <w:r w:rsidR="006622BF">
        <w:rPr>
          <w:rFonts w:ascii="Times New Roman" w:hAnsi="Times New Roman"/>
          <w:sz w:val="28"/>
          <w:szCs w:val="28"/>
        </w:rPr>
        <w:t xml:space="preserve"> on </w:t>
      </w:r>
      <w:r w:rsidR="00097995">
        <w:rPr>
          <w:rFonts w:ascii="Times New Roman" w:hAnsi="Times New Roman"/>
          <w:sz w:val="28"/>
          <w:szCs w:val="28"/>
        </w:rPr>
        <w:t xml:space="preserve">whether the Applicant has a right to raise a counterclaim; </w:t>
      </w:r>
      <w:r w:rsidR="00CA5A1E">
        <w:rPr>
          <w:rFonts w:ascii="Times New Roman" w:hAnsi="Times New Roman"/>
          <w:sz w:val="28"/>
          <w:szCs w:val="28"/>
        </w:rPr>
        <w:t xml:space="preserve">the reasons as to why the amendment is </w:t>
      </w:r>
      <w:r w:rsidR="00097995">
        <w:rPr>
          <w:rFonts w:ascii="Times New Roman" w:hAnsi="Times New Roman"/>
          <w:sz w:val="28"/>
          <w:szCs w:val="28"/>
        </w:rPr>
        <w:t xml:space="preserve">needed to include the counterclaim, and whether this court has power to allow such </w:t>
      </w:r>
      <w:r w:rsidR="00CA5A1E">
        <w:rPr>
          <w:rFonts w:ascii="Times New Roman" w:hAnsi="Times New Roman"/>
          <w:sz w:val="28"/>
          <w:szCs w:val="28"/>
        </w:rPr>
        <w:t xml:space="preserve">an </w:t>
      </w:r>
      <w:r w:rsidR="00097995">
        <w:rPr>
          <w:rFonts w:ascii="Times New Roman" w:hAnsi="Times New Roman"/>
          <w:sz w:val="28"/>
          <w:szCs w:val="28"/>
        </w:rPr>
        <w:t>amendment. T</w:t>
      </w:r>
      <w:r w:rsidR="006622BF">
        <w:rPr>
          <w:rFonts w:ascii="Times New Roman" w:hAnsi="Times New Roman"/>
          <w:sz w:val="28"/>
          <w:szCs w:val="28"/>
        </w:rPr>
        <w:t xml:space="preserve">hese </w:t>
      </w:r>
      <w:r w:rsidR="00097995">
        <w:rPr>
          <w:rFonts w:ascii="Times New Roman" w:hAnsi="Times New Roman"/>
          <w:sz w:val="28"/>
          <w:szCs w:val="28"/>
        </w:rPr>
        <w:t xml:space="preserve">issues, </w:t>
      </w:r>
      <w:r w:rsidR="006622BF">
        <w:rPr>
          <w:rFonts w:ascii="Times New Roman" w:hAnsi="Times New Roman"/>
          <w:sz w:val="28"/>
          <w:szCs w:val="28"/>
        </w:rPr>
        <w:t>in my view</w:t>
      </w:r>
      <w:r w:rsidR="00097995">
        <w:rPr>
          <w:rFonts w:ascii="Times New Roman" w:hAnsi="Times New Roman"/>
          <w:sz w:val="28"/>
          <w:szCs w:val="28"/>
        </w:rPr>
        <w:t>,</w:t>
      </w:r>
      <w:r w:rsidR="006622BF">
        <w:rPr>
          <w:rFonts w:ascii="Times New Roman" w:hAnsi="Times New Roman"/>
          <w:sz w:val="28"/>
          <w:szCs w:val="28"/>
        </w:rPr>
        <w:t xml:space="preserve"> are beside the point. </w:t>
      </w:r>
      <w:r>
        <w:rPr>
          <w:rFonts w:ascii="Times New Roman" w:hAnsi="Times New Roman"/>
          <w:sz w:val="28"/>
          <w:szCs w:val="28"/>
        </w:rPr>
        <w:t xml:space="preserve">The </w:t>
      </w:r>
      <w:r w:rsidR="00BA197F">
        <w:rPr>
          <w:rFonts w:ascii="Times New Roman" w:hAnsi="Times New Roman"/>
          <w:sz w:val="28"/>
          <w:szCs w:val="28"/>
        </w:rPr>
        <w:t xml:space="preserve">main </w:t>
      </w:r>
      <w:r>
        <w:rPr>
          <w:rFonts w:ascii="Times New Roman" w:hAnsi="Times New Roman"/>
          <w:sz w:val="28"/>
          <w:szCs w:val="28"/>
        </w:rPr>
        <w:t>issue</w:t>
      </w:r>
      <w:r w:rsidR="00BA197F">
        <w:rPr>
          <w:rFonts w:ascii="Times New Roman" w:hAnsi="Times New Roman"/>
          <w:sz w:val="28"/>
          <w:szCs w:val="28"/>
        </w:rPr>
        <w:t>,</w:t>
      </w:r>
      <w:r>
        <w:rPr>
          <w:rFonts w:ascii="Times New Roman" w:hAnsi="Times New Roman"/>
          <w:sz w:val="28"/>
          <w:szCs w:val="28"/>
        </w:rPr>
        <w:t xml:space="preserve"> as I underst</w:t>
      </w:r>
      <w:r w:rsidR="00BA197F">
        <w:rPr>
          <w:rFonts w:ascii="Times New Roman" w:hAnsi="Times New Roman"/>
          <w:sz w:val="28"/>
          <w:szCs w:val="28"/>
        </w:rPr>
        <w:t>ood it, ought to be;</w:t>
      </w:r>
      <w:r>
        <w:rPr>
          <w:rFonts w:ascii="Times New Roman" w:hAnsi="Times New Roman"/>
          <w:sz w:val="28"/>
          <w:szCs w:val="28"/>
        </w:rPr>
        <w:t xml:space="preserve"> </w:t>
      </w:r>
      <w:r w:rsidR="00BA197F" w:rsidRPr="00BA197F">
        <w:rPr>
          <w:rFonts w:ascii="Times New Roman" w:hAnsi="Times New Roman"/>
          <w:b/>
          <w:i/>
          <w:sz w:val="28"/>
          <w:szCs w:val="28"/>
        </w:rPr>
        <w:t>“</w:t>
      </w:r>
      <w:r w:rsidR="00CA5A1E">
        <w:rPr>
          <w:rFonts w:ascii="Times New Roman" w:hAnsi="Times New Roman"/>
          <w:b/>
          <w:i/>
          <w:sz w:val="28"/>
          <w:szCs w:val="28"/>
        </w:rPr>
        <w:t>W</w:t>
      </w:r>
      <w:r w:rsidRPr="00BA197F">
        <w:rPr>
          <w:rFonts w:ascii="Times New Roman" w:hAnsi="Times New Roman"/>
          <w:b/>
          <w:i/>
          <w:sz w:val="28"/>
          <w:szCs w:val="28"/>
        </w:rPr>
        <w:t xml:space="preserve">hether </w:t>
      </w:r>
      <w:r w:rsidR="00BA197F" w:rsidRPr="00BA197F">
        <w:rPr>
          <w:rFonts w:ascii="Times New Roman" w:hAnsi="Times New Roman"/>
          <w:b/>
          <w:i/>
          <w:sz w:val="28"/>
          <w:szCs w:val="28"/>
        </w:rPr>
        <w:t xml:space="preserve">a Written Statement of Defence </w:t>
      </w:r>
      <w:r w:rsidRPr="00BA197F">
        <w:rPr>
          <w:rFonts w:ascii="Times New Roman" w:hAnsi="Times New Roman"/>
          <w:b/>
          <w:i/>
          <w:sz w:val="28"/>
          <w:szCs w:val="28"/>
        </w:rPr>
        <w:t>can amended to introduce a counterclaim after the expiry of the time prescribed for filing a defence</w:t>
      </w:r>
      <w:r w:rsidR="00CA5A1E">
        <w:rPr>
          <w:rFonts w:ascii="Times New Roman" w:hAnsi="Times New Roman"/>
          <w:b/>
          <w:i/>
          <w:sz w:val="28"/>
          <w:szCs w:val="28"/>
        </w:rPr>
        <w:t>.</w:t>
      </w:r>
      <w:r w:rsidR="00BA197F" w:rsidRPr="00BA197F">
        <w:rPr>
          <w:rFonts w:ascii="Times New Roman" w:hAnsi="Times New Roman"/>
          <w:b/>
          <w:i/>
          <w:sz w:val="28"/>
          <w:szCs w:val="28"/>
        </w:rPr>
        <w:t>”</w:t>
      </w:r>
      <w:r>
        <w:rPr>
          <w:rFonts w:ascii="Times New Roman" w:hAnsi="Times New Roman"/>
          <w:sz w:val="28"/>
          <w:szCs w:val="28"/>
        </w:rPr>
        <w:t xml:space="preserve"> </w:t>
      </w:r>
    </w:p>
    <w:p w:rsidR="009674F5" w:rsidRDefault="006B025D" w:rsidP="004F0C5A">
      <w:pPr>
        <w:spacing w:after="0" w:line="360" w:lineRule="auto"/>
        <w:jc w:val="both"/>
        <w:rPr>
          <w:rFonts w:ascii="Times New Roman" w:hAnsi="Times New Roman"/>
          <w:sz w:val="28"/>
          <w:szCs w:val="28"/>
        </w:rPr>
      </w:pPr>
      <w:r w:rsidRPr="00BA197F">
        <w:rPr>
          <w:rFonts w:ascii="Times New Roman" w:hAnsi="Times New Roman"/>
          <w:b/>
          <w:i/>
          <w:sz w:val="28"/>
          <w:szCs w:val="28"/>
        </w:rPr>
        <w:t>Order 8</w:t>
      </w:r>
      <w:r w:rsidR="00A01F45" w:rsidRPr="00BA197F">
        <w:rPr>
          <w:rFonts w:ascii="Times New Roman" w:hAnsi="Times New Roman"/>
          <w:b/>
          <w:i/>
          <w:sz w:val="28"/>
          <w:szCs w:val="28"/>
        </w:rPr>
        <w:t xml:space="preserve"> </w:t>
      </w:r>
      <w:r w:rsidR="009674F5" w:rsidRPr="00BA197F">
        <w:rPr>
          <w:rFonts w:ascii="Times New Roman" w:hAnsi="Times New Roman"/>
          <w:b/>
          <w:i/>
          <w:sz w:val="28"/>
          <w:szCs w:val="28"/>
        </w:rPr>
        <w:t>r.2 (</w:t>
      </w:r>
      <w:r w:rsidRPr="00BA197F">
        <w:rPr>
          <w:rFonts w:ascii="Times New Roman" w:hAnsi="Times New Roman"/>
          <w:b/>
          <w:i/>
          <w:sz w:val="28"/>
          <w:szCs w:val="28"/>
        </w:rPr>
        <w:t>1) CPR</w:t>
      </w:r>
      <w:r w:rsidR="00BA197F">
        <w:rPr>
          <w:rFonts w:ascii="Times New Roman" w:hAnsi="Times New Roman"/>
          <w:sz w:val="28"/>
          <w:szCs w:val="28"/>
        </w:rPr>
        <w:t xml:space="preserve"> allows a d</w:t>
      </w:r>
      <w:r w:rsidR="004F0C5A">
        <w:rPr>
          <w:rFonts w:ascii="Times New Roman" w:hAnsi="Times New Roman"/>
          <w:sz w:val="28"/>
          <w:szCs w:val="28"/>
        </w:rPr>
        <w:t xml:space="preserve">efendant to set up a </w:t>
      </w:r>
      <w:r>
        <w:rPr>
          <w:rFonts w:ascii="Times New Roman" w:hAnsi="Times New Roman"/>
          <w:sz w:val="28"/>
          <w:szCs w:val="28"/>
        </w:rPr>
        <w:t xml:space="preserve">counterclaim against claims of the </w:t>
      </w:r>
      <w:r w:rsidR="009674F5">
        <w:rPr>
          <w:rFonts w:ascii="Times New Roman" w:hAnsi="Times New Roman"/>
          <w:sz w:val="28"/>
          <w:szCs w:val="28"/>
        </w:rPr>
        <w:t>p</w:t>
      </w:r>
      <w:r w:rsidR="004F0C5A">
        <w:rPr>
          <w:rFonts w:ascii="Times New Roman" w:hAnsi="Times New Roman"/>
          <w:sz w:val="28"/>
          <w:szCs w:val="28"/>
        </w:rPr>
        <w:t>laintiff, and the counterclaim shall have the same effect as a cross-action.</w:t>
      </w:r>
      <w:r w:rsidR="009674F5">
        <w:rPr>
          <w:rFonts w:ascii="Times New Roman" w:hAnsi="Times New Roman"/>
          <w:sz w:val="28"/>
          <w:szCs w:val="28"/>
        </w:rPr>
        <w:t xml:space="preserve"> </w:t>
      </w:r>
      <w:r w:rsidR="009674F5" w:rsidRPr="009674F5">
        <w:rPr>
          <w:rFonts w:ascii="Times New Roman" w:hAnsi="Times New Roman"/>
          <w:b/>
          <w:i/>
          <w:sz w:val="28"/>
          <w:szCs w:val="28"/>
        </w:rPr>
        <w:t>Rule</w:t>
      </w:r>
      <w:r w:rsidR="004F0C5A" w:rsidRPr="009674F5">
        <w:rPr>
          <w:rFonts w:ascii="Times New Roman" w:hAnsi="Times New Roman"/>
          <w:b/>
          <w:i/>
          <w:sz w:val="28"/>
          <w:szCs w:val="28"/>
        </w:rPr>
        <w:t>.7</w:t>
      </w:r>
      <w:r w:rsidR="004F0C5A">
        <w:rPr>
          <w:rFonts w:ascii="Times New Roman" w:hAnsi="Times New Roman"/>
          <w:sz w:val="28"/>
          <w:szCs w:val="28"/>
        </w:rPr>
        <w:t xml:space="preserve"> </w:t>
      </w:r>
      <w:r w:rsidR="009674F5">
        <w:rPr>
          <w:rFonts w:ascii="Times New Roman" w:hAnsi="Times New Roman"/>
          <w:sz w:val="28"/>
          <w:szCs w:val="28"/>
        </w:rPr>
        <w:t>thereof</w:t>
      </w:r>
      <w:r w:rsidR="004F0C5A">
        <w:rPr>
          <w:rFonts w:ascii="Times New Roman" w:hAnsi="Times New Roman"/>
          <w:sz w:val="28"/>
          <w:szCs w:val="28"/>
        </w:rPr>
        <w:t xml:space="preserve"> provide</w:t>
      </w:r>
      <w:r w:rsidR="00097995">
        <w:rPr>
          <w:rFonts w:ascii="Times New Roman" w:hAnsi="Times New Roman"/>
          <w:sz w:val="28"/>
          <w:szCs w:val="28"/>
        </w:rPr>
        <w:t>s</w:t>
      </w:r>
      <w:r w:rsidR="004F0C5A">
        <w:rPr>
          <w:rFonts w:ascii="Times New Roman" w:hAnsi="Times New Roman"/>
          <w:sz w:val="28"/>
          <w:szCs w:val="28"/>
        </w:rPr>
        <w:t xml:space="preserve"> that where a defendant seeks to rely upon any grounds as supporting a right of counterclaim, he or she shall, in his or her statement of defence, state specifically that he or she does so by way of counterclaim.  Under </w:t>
      </w:r>
      <w:r w:rsidR="009674F5">
        <w:rPr>
          <w:rFonts w:ascii="Times New Roman" w:hAnsi="Times New Roman"/>
          <w:b/>
          <w:i/>
          <w:sz w:val="28"/>
          <w:szCs w:val="28"/>
        </w:rPr>
        <w:t>r</w:t>
      </w:r>
      <w:r w:rsidR="00991CA9" w:rsidRPr="009674F5">
        <w:rPr>
          <w:rFonts w:ascii="Times New Roman" w:hAnsi="Times New Roman"/>
          <w:b/>
          <w:i/>
          <w:sz w:val="28"/>
          <w:szCs w:val="28"/>
        </w:rPr>
        <w:t>ule 11(</w:t>
      </w:r>
      <w:r w:rsidR="009674F5">
        <w:rPr>
          <w:rFonts w:ascii="Times New Roman" w:hAnsi="Times New Roman"/>
          <w:b/>
          <w:i/>
          <w:sz w:val="28"/>
          <w:szCs w:val="28"/>
        </w:rPr>
        <w:t>1</w:t>
      </w:r>
      <w:r w:rsidR="00991CA9" w:rsidRPr="009674F5">
        <w:rPr>
          <w:rFonts w:ascii="Times New Roman" w:hAnsi="Times New Roman"/>
          <w:b/>
          <w:i/>
          <w:sz w:val="28"/>
          <w:szCs w:val="28"/>
        </w:rPr>
        <w:t>)</w:t>
      </w:r>
      <w:r w:rsidR="00991CA9">
        <w:rPr>
          <w:rFonts w:ascii="Times New Roman" w:hAnsi="Times New Roman"/>
          <w:sz w:val="28"/>
          <w:szCs w:val="28"/>
        </w:rPr>
        <w:t xml:space="preserve"> </w:t>
      </w:r>
      <w:r w:rsidR="009674F5">
        <w:rPr>
          <w:rFonts w:ascii="Times New Roman" w:hAnsi="Times New Roman"/>
          <w:sz w:val="28"/>
          <w:szCs w:val="28"/>
        </w:rPr>
        <w:t>thereof,</w:t>
      </w:r>
      <w:r w:rsidR="00991CA9">
        <w:rPr>
          <w:rFonts w:ascii="Times New Roman" w:hAnsi="Times New Roman"/>
          <w:sz w:val="28"/>
          <w:szCs w:val="28"/>
        </w:rPr>
        <w:t xml:space="preserve"> a reply to a counterclaim is supposed to be delivered within fifteen days</w:t>
      </w:r>
      <w:r w:rsidR="003C13CC">
        <w:rPr>
          <w:rFonts w:ascii="Times New Roman" w:hAnsi="Times New Roman"/>
          <w:sz w:val="28"/>
          <w:szCs w:val="28"/>
        </w:rPr>
        <w:t xml:space="preserve"> after the service of the counterclaim.</w:t>
      </w:r>
    </w:p>
    <w:p w:rsidR="00AE3AFC" w:rsidRDefault="003C13CC" w:rsidP="004F0C5A">
      <w:pPr>
        <w:spacing w:after="0" w:line="360" w:lineRule="auto"/>
        <w:jc w:val="both"/>
        <w:rPr>
          <w:rFonts w:ascii="Times New Roman" w:hAnsi="Times New Roman"/>
          <w:sz w:val="28"/>
          <w:szCs w:val="28"/>
        </w:rPr>
      </w:pPr>
      <w:r>
        <w:rPr>
          <w:rFonts w:ascii="Times New Roman" w:hAnsi="Times New Roman"/>
          <w:sz w:val="28"/>
          <w:szCs w:val="28"/>
        </w:rPr>
        <w:t xml:space="preserve">The instant </w:t>
      </w:r>
      <w:r w:rsidR="00E734F7">
        <w:rPr>
          <w:rFonts w:ascii="Times New Roman" w:hAnsi="Times New Roman"/>
          <w:sz w:val="28"/>
          <w:szCs w:val="28"/>
        </w:rPr>
        <w:t xml:space="preserve">application was brought under </w:t>
      </w:r>
      <w:r w:rsidR="00CA5A1E">
        <w:rPr>
          <w:rFonts w:ascii="Times New Roman" w:hAnsi="Times New Roman"/>
          <w:b/>
          <w:i/>
          <w:sz w:val="28"/>
          <w:szCs w:val="28"/>
        </w:rPr>
        <w:t>O</w:t>
      </w:r>
      <w:r w:rsidR="00E734F7" w:rsidRPr="009674F5">
        <w:rPr>
          <w:rFonts w:ascii="Times New Roman" w:hAnsi="Times New Roman"/>
          <w:b/>
          <w:i/>
          <w:sz w:val="28"/>
          <w:szCs w:val="28"/>
        </w:rPr>
        <w:t xml:space="preserve"> 6 rr.19</w:t>
      </w:r>
      <w:r w:rsidR="00E734F7">
        <w:rPr>
          <w:rFonts w:ascii="Times New Roman" w:hAnsi="Times New Roman"/>
          <w:sz w:val="28"/>
          <w:szCs w:val="28"/>
        </w:rPr>
        <w:t xml:space="preserve"> </w:t>
      </w:r>
      <w:r w:rsidR="00E734F7" w:rsidRPr="009674F5">
        <w:rPr>
          <w:rFonts w:ascii="Times New Roman" w:hAnsi="Times New Roman"/>
          <w:b/>
          <w:i/>
          <w:sz w:val="28"/>
          <w:szCs w:val="28"/>
        </w:rPr>
        <w:t>&amp; 31</w:t>
      </w:r>
      <w:r w:rsidR="00E734F7">
        <w:rPr>
          <w:rFonts w:ascii="Times New Roman" w:hAnsi="Times New Roman"/>
          <w:sz w:val="28"/>
          <w:szCs w:val="28"/>
        </w:rPr>
        <w:t xml:space="preserve"> </w:t>
      </w:r>
      <w:r w:rsidR="00E734F7" w:rsidRPr="009674F5">
        <w:rPr>
          <w:rFonts w:ascii="Times New Roman" w:hAnsi="Times New Roman"/>
          <w:b/>
          <w:i/>
          <w:sz w:val="28"/>
          <w:szCs w:val="28"/>
        </w:rPr>
        <w:t>CPR</w:t>
      </w:r>
      <w:r w:rsidR="00E734F7">
        <w:rPr>
          <w:rFonts w:ascii="Times New Roman" w:hAnsi="Times New Roman"/>
          <w:sz w:val="28"/>
          <w:szCs w:val="28"/>
        </w:rPr>
        <w:t xml:space="preserve"> as the enabling provisions. </w:t>
      </w:r>
      <w:r w:rsidR="00E734F7" w:rsidRPr="009674F5">
        <w:rPr>
          <w:rFonts w:ascii="Times New Roman" w:hAnsi="Times New Roman"/>
          <w:b/>
          <w:i/>
          <w:sz w:val="28"/>
          <w:szCs w:val="28"/>
        </w:rPr>
        <w:t>Rule 19 (supra)</w:t>
      </w:r>
      <w:r w:rsidR="00E734F7">
        <w:rPr>
          <w:rFonts w:ascii="Times New Roman" w:hAnsi="Times New Roman"/>
          <w:sz w:val="28"/>
          <w:szCs w:val="28"/>
        </w:rPr>
        <w:t xml:space="preserve"> </w:t>
      </w:r>
      <w:r w:rsidR="009674F5">
        <w:rPr>
          <w:rFonts w:ascii="Times New Roman" w:hAnsi="Times New Roman"/>
          <w:sz w:val="28"/>
          <w:szCs w:val="28"/>
        </w:rPr>
        <w:t xml:space="preserve">which is a general provision </w:t>
      </w:r>
      <w:r w:rsidR="00CA5A1E">
        <w:rPr>
          <w:rFonts w:ascii="Times New Roman" w:hAnsi="Times New Roman"/>
          <w:sz w:val="28"/>
          <w:szCs w:val="28"/>
        </w:rPr>
        <w:t>governing amendment of pleadings</w:t>
      </w:r>
      <w:r w:rsidR="009674F5">
        <w:rPr>
          <w:rFonts w:ascii="Times New Roman" w:hAnsi="Times New Roman"/>
          <w:sz w:val="28"/>
          <w:szCs w:val="28"/>
        </w:rPr>
        <w:t xml:space="preserve"> </w:t>
      </w:r>
      <w:r w:rsidR="00E734F7">
        <w:rPr>
          <w:rFonts w:ascii="Times New Roman" w:hAnsi="Times New Roman"/>
          <w:sz w:val="28"/>
          <w:szCs w:val="28"/>
        </w:rPr>
        <w:t xml:space="preserve">gives court </w:t>
      </w:r>
      <w:r w:rsidR="006622BF">
        <w:rPr>
          <w:rFonts w:ascii="Times New Roman" w:hAnsi="Times New Roman"/>
          <w:sz w:val="28"/>
          <w:szCs w:val="28"/>
        </w:rPr>
        <w:t>discretion,</w:t>
      </w:r>
      <w:r w:rsidR="006B025D">
        <w:rPr>
          <w:rFonts w:ascii="Times New Roman" w:hAnsi="Times New Roman"/>
          <w:sz w:val="28"/>
          <w:szCs w:val="28"/>
        </w:rPr>
        <w:t xml:space="preserve"> at any stage of the proceedings</w:t>
      </w:r>
      <w:r w:rsidR="006622BF">
        <w:rPr>
          <w:rFonts w:ascii="Times New Roman" w:hAnsi="Times New Roman"/>
          <w:sz w:val="28"/>
          <w:szCs w:val="28"/>
        </w:rPr>
        <w:t>,</w:t>
      </w:r>
      <w:r w:rsidR="006B025D">
        <w:rPr>
          <w:rFonts w:ascii="Times New Roman" w:hAnsi="Times New Roman"/>
          <w:sz w:val="28"/>
          <w:szCs w:val="28"/>
        </w:rPr>
        <w:t xml:space="preserve"> </w:t>
      </w:r>
      <w:r w:rsidR="00FE71CA">
        <w:rPr>
          <w:rFonts w:ascii="Times New Roman" w:hAnsi="Times New Roman"/>
          <w:sz w:val="28"/>
          <w:szCs w:val="28"/>
        </w:rPr>
        <w:t xml:space="preserve">to allow either party to alter </w:t>
      </w:r>
      <w:r w:rsidR="006B025D">
        <w:rPr>
          <w:rFonts w:ascii="Times New Roman" w:hAnsi="Times New Roman"/>
          <w:sz w:val="28"/>
          <w:szCs w:val="28"/>
        </w:rPr>
        <w:t>o</w:t>
      </w:r>
      <w:r w:rsidR="00FE71CA">
        <w:rPr>
          <w:rFonts w:ascii="Times New Roman" w:hAnsi="Times New Roman"/>
          <w:sz w:val="28"/>
          <w:szCs w:val="28"/>
        </w:rPr>
        <w:t>r</w:t>
      </w:r>
      <w:r w:rsidR="006B025D">
        <w:rPr>
          <w:rFonts w:ascii="Times New Roman" w:hAnsi="Times New Roman"/>
          <w:sz w:val="28"/>
          <w:szCs w:val="28"/>
        </w:rPr>
        <w:t xml:space="preserve"> amend his or her pleadings in such a manner and on such terms as may be </w:t>
      </w:r>
      <w:r w:rsidR="00FE71CA">
        <w:rPr>
          <w:rFonts w:ascii="Times New Roman" w:hAnsi="Times New Roman"/>
          <w:sz w:val="28"/>
          <w:szCs w:val="28"/>
        </w:rPr>
        <w:t xml:space="preserve">necessary for the purpose of determining the real question </w:t>
      </w:r>
      <w:r w:rsidR="006B025D">
        <w:rPr>
          <w:rFonts w:ascii="Times New Roman" w:hAnsi="Times New Roman"/>
          <w:sz w:val="28"/>
          <w:szCs w:val="28"/>
        </w:rPr>
        <w:t>in controversy as between the parties.</w:t>
      </w:r>
    </w:p>
    <w:p w:rsidR="00DD2642" w:rsidRDefault="00097995" w:rsidP="004F0C5A">
      <w:pPr>
        <w:spacing w:after="0" w:line="360" w:lineRule="auto"/>
        <w:jc w:val="both"/>
        <w:rPr>
          <w:rFonts w:ascii="Times New Roman" w:hAnsi="Times New Roman"/>
          <w:sz w:val="28"/>
          <w:szCs w:val="28"/>
        </w:rPr>
      </w:pPr>
      <w:r>
        <w:rPr>
          <w:rFonts w:ascii="Times New Roman" w:hAnsi="Times New Roman"/>
          <w:sz w:val="28"/>
          <w:szCs w:val="28"/>
        </w:rPr>
        <w:lastRenderedPageBreak/>
        <w:t>T</w:t>
      </w:r>
      <w:r w:rsidR="006B025D">
        <w:rPr>
          <w:rFonts w:ascii="Times New Roman" w:hAnsi="Times New Roman"/>
          <w:sz w:val="28"/>
          <w:szCs w:val="28"/>
        </w:rPr>
        <w:t xml:space="preserve">he above </w:t>
      </w:r>
      <w:r w:rsidR="006622BF">
        <w:rPr>
          <w:rFonts w:ascii="Times New Roman" w:hAnsi="Times New Roman"/>
          <w:sz w:val="28"/>
          <w:szCs w:val="28"/>
        </w:rPr>
        <w:t>provision</w:t>
      </w:r>
      <w:r w:rsidR="006B025D">
        <w:rPr>
          <w:rFonts w:ascii="Times New Roman" w:hAnsi="Times New Roman"/>
          <w:sz w:val="28"/>
          <w:szCs w:val="28"/>
        </w:rPr>
        <w:t xml:space="preserve"> gives </w:t>
      </w:r>
      <w:r>
        <w:rPr>
          <w:rFonts w:ascii="Times New Roman" w:hAnsi="Times New Roman"/>
          <w:sz w:val="28"/>
          <w:szCs w:val="28"/>
        </w:rPr>
        <w:t>court wide</w:t>
      </w:r>
      <w:r w:rsidR="006B025D">
        <w:rPr>
          <w:rFonts w:ascii="Times New Roman" w:hAnsi="Times New Roman"/>
          <w:sz w:val="28"/>
          <w:szCs w:val="28"/>
        </w:rPr>
        <w:t xml:space="preserve"> discretion to allow a party to amend or alter </w:t>
      </w:r>
      <w:r w:rsidR="00FE71CA">
        <w:rPr>
          <w:rFonts w:ascii="Times New Roman" w:hAnsi="Times New Roman"/>
          <w:sz w:val="28"/>
          <w:szCs w:val="28"/>
        </w:rPr>
        <w:t>p</w:t>
      </w:r>
      <w:r w:rsidR="006B025D">
        <w:rPr>
          <w:rFonts w:ascii="Times New Roman" w:hAnsi="Times New Roman"/>
          <w:sz w:val="28"/>
          <w:szCs w:val="28"/>
        </w:rPr>
        <w:t xml:space="preserve">leadings </w:t>
      </w:r>
      <w:r>
        <w:rPr>
          <w:rFonts w:ascii="Times New Roman" w:hAnsi="Times New Roman"/>
          <w:sz w:val="28"/>
          <w:szCs w:val="28"/>
        </w:rPr>
        <w:t xml:space="preserve">which are </w:t>
      </w:r>
      <w:r w:rsidR="006B025D">
        <w:rPr>
          <w:rFonts w:ascii="Times New Roman" w:hAnsi="Times New Roman"/>
          <w:sz w:val="28"/>
          <w:szCs w:val="28"/>
        </w:rPr>
        <w:t xml:space="preserve">already filed. In this case, the plaint and written statement of defence already filed would be the </w:t>
      </w:r>
      <w:r w:rsidR="00FE71CA">
        <w:rPr>
          <w:rFonts w:ascii="Times New Roman" w:hAnsi="Times New Roman"/>
          <w:sz w:val="28"/>
          <w:szCs w:val="28"/>
        </w:rPr>
        <w:t xml:space="preserve">pleadings </w:t>
      </w:r>
      <w:r w:rsidR="009674F5">
        <w:rPr>
          <w:rFonts w:ascii="Times New Roman" w:hAnsi="Times New Roman"/>
          <w:sz w:val="28"/>
          <w:szCs w:val="28"/>
        </w:rPr>
        <w:t xml:space="preserve">that would </w:t>
      </w:r>
      <w:r w:rsidR="006622BF">
        <w:rPr>
          <w:rFonts w:ascii="Times New Roman" w:hAnsi="Times New Roman"/>
          <w:sz w:val="28"/>
          <w:szCs w:val="28"/>
        </w:rPr>
        <w:t>require</w:t>
      </w:r>
      <w:r w:rsidR="006B025D">
        <w:rPr>
          <w:rFonts w:ascii="Times New Roman" w:hAnsi="Times New Roman"/>
          <w:sz w:val="28"/>
          <w:szCs w:val="28"/>
        </w:rPr>
        <w:t xml:space="preserve"> amend</w:t>
      </w:r>
      <w:r w:rsidR="006622BF">
        <w:rPr>
          <w:rFonts w:ascii="Times New Roman" w:hAnsi="Times New Roman"/>
          <w:sz w:val="28"/>
          <w:szCs w:val="28"/>
        </w:rPr>
        <w:t>ment</w:t>
      </w:r>
      <w:r w:rsidR="00FE71CA">
        <w:rPr>
          <w:rFonts w:ascii="Times New Roman" w:hAnsi="Times New Roman"/>
          <w:sz w:val="28"/>
          <w:szCs w:val="28"/>
        </w:rPr>
        <w:t xml:space="preserve">. Given the provisions of </w:t>
      </w:r>
      <w:r w:rsidR="00FE71CA" w:rsidRPr="009674F5">
        <w:rPr>
          <w:rFonts w:ascii="Times New Roman" w:hAnsi="Times New Roman"/>
          <w:b/>
          <w:i/>
          <w:sz w:val="28"/>
          <w:szCs w:val="28"/>
        </w:rPr>
        <w:t>Order 8 rr.2 (1) (2) (7) (8) and (12) CPR,</w:t>
      </w:r>
      <w:r w:rsidR="00FE71CA">
        <w:rPr>
          <w:rFonts w:ascii="Times New Roman" w:hAnsi="Times New Roman"/>
          <w:sz w:val="28"/>
          <w:szCs w:val="28"/>
        </w:rPr>
        <w:t xml:space="preserve"> it would appear that a counterclaim sought to be introduced is not a defence or “pleadings” that would be amended in the </w:t>
      </w:r>
      <w:r w:rsidR="006B025D">
        <w:rPr>
          <w:rFonts w:ascii="Times New Roman" w:hAnsi="Times New Roman"/>
          <w:sz w:val="28"/>
          <w:szCs w:val="28"/>
        </w:rPr>
        <w:t xml:space="preserve">context of </w:t>
      </w:r>
      <w:r w:rsidR="006B025D" w:rsidRPr="009674F5">
        <w:rPr>
          <w:rFonts w:ascii="Times New Roman" w:hAnsi="Times New Roman"/>
          <w:b/>
          <w:i/>
          <w:sz w:val="28"/>
          <w:szCs w:val="28"/>
        </w:rPr>
        <w:t>O.6 r.19</w:t>
      </w:r>
      <w:r w:rsidR="00196376">
        <w:rPr>
          <w:rFonts w:ascii="Times New Roman" w:hAnsi="Times New Roman"/>
          <w:b/>
          <w:i/>
          <w:sz w:val="28"/>
          <w:szCs w:val="28"/>
        </w:rPr>
        <w:t xml:space="preserve"> </w:t>
      </w:r>
      <w:r w:rsidR="006B025D" w:rsidRPr="009674F5">
        <w:rPr>
          <w:rFonts w:ascii="Times New Roman" w:hAnsi="Times New Roman"/>
          <w:b/>
          <w:i/>
          <w:sz w:val="28"/>
          <w:szCs w:val="28"/>
        </w:rPr>
        <w:t>(supra)</w:t>
      </w:r>
      <w:r w:rsidR="006B025D">
        <w:rPr>
          <w:rFonts w:ascii="Times New Roman" w:hAnsi="Times New Roman"/>
          <w:sz w:val="28"/>
          <w:szCs w:val="28"/>
        </w:rPr>
        <w:t xml:space="preserve"> </w:t>
      </w:r>
      <w:r w:rsidR="00196376">
        <w:rPr>
          <w:rFonts w:ascii="Times New Roman" w:hAnsi="Times New Roman"/>
          <w:sz w:val="28"/>
          <w:szCs w:val="28"/>
        </w:rPr>
        <w:t>but a fresh</w:t>
      </w:r>
      <w:r w:rsidR="006B025D">
        <w:rPr>
          <w:rFonts w:ascii="Times New Roman" w:hAnsi="Times New Roman"/>
          <w:sz w:val="28"/>
          <w:szCs w:val="28"/>
        </w:rPr>
        <w:t xml:space="preserve"> a cross-action; and hence </w:t>
      </w:r>
      <w:r w:rsidR="006622BF">
        <w:rPr>
          <w:rFonts w:ascii="Times New Roman" w:hAnsi="Times New Roman"/>
          <w:sz w:val="28"/>
          <w:szCs w:val="28"/>
        </w:rPr>
        <w:t>ought to be</w:t>
      </w:r>
      <w:r w:rsidR="00196376">
        <w:rPr>
          <w:rFonts w:ascii="Times New Roman" w:hAnsi="Times New Roman"/>
          <w:sz w:val="28"/>
          <w:szCs w:val="28"/>
        </w:rPr>
        <w:t xml:space="preserve"> regarded </w:t>
      </w:r>
      <w:r w:rsidR="006B025D">
        <w:rPr>
          <w:rFonts w:ascii="Times New Roman" w:hAnsi="Times New Roman"/>
          <w:sz w:val="28"/>
          <w:szCs w:val="28"/>
        </w:rPr>
        <w:t xml:space="preserve">a </w:t>
      </w:r>
      <w:r w:rsidR="00B056B8">
        <w:rPr>
          <w:rFonts w:ascii="Times New Roman" w:hAnsi="Times New Roman"/>
          <w:sz w:val="28"/>
          <w:szCs w:val="28"/>
        </w:rPr>
        <w:t>separate</w:t>
      </w:r>
      <w:r w:rsidR="006B025D">
        <w:rPr>
          <w:rFonts w:ascii="Times New Roman" w:hAnsi="Times New Roman"/>
          <w:sz w:val="28"/>
          <w:szCs w:val="28"/>
        </w:rPr>
        <w:t xml:space="preserve"> suit with </w:t>
      </w:r>
      <w:r w:rsidR="00196376">
        <w:rPr>
          <w:rFonts w:ascii="Times New Roman" w:hAnsi="Times New Roman"/>
          <w:sz w:val="28"/>
          <w:szCs w:val="28"/>
        </w:rPr>
        <w:t>a</w:t>
      </w:r>
      <w:r w:rsidR="006B025D">
        <w:rPr>
          <w:rFonts w:ascii="Times New Roman" w:hAnsi="Times New Roman"/>
          <w:sz w:val="28"/>
          <w:szCs w:val="28"/>
        </w:rPr>
        <w:t xml:space="preserve"> distinctive cause of action.</w:t>
      </w:r>
      <w:r w:rsidR="00196376">
        <w:rPr>
          <w:rFonts w:ascii="Times New Roman" w:hAnsi="Times New Roman"/>
          <w:sz w:val="28"/>
          <w:szCs w:val="28"/>
        </w:rPr>
        <w:t xml:space="preserve"> </w:t>
      </w:r>
    </w:p>
    <w:p w:rsidR="00AE3AFC" w:rsidRDefault="006622BF" w:rsidP="004F0C5A">
      <w:pPr>
        <w:spacing w:after="0" w:line="360" w:lineRule="auto"/>
        <w:jc w:val="both"/>
        <w:rPr>
          <w:rFonts w:ascii="Times New Roman" w:hAnsi="Times New Roman"/>
          <w:sz w:val="28"/>
          <w:szCs w:val="28"/>
        </w:rPr>
      </w:pPr>
      <w:r>
        <w:rPr>
          <w:rFonts w:ascii="Times New Roman" w:hAnsi="Times New Roman"/>
          <w:sz w:val="28"/>
          <w:szCs w:val="28"/>
        </w:rPr>
        <w:t>In my opinion,</w:t>
      </w:r>
      <w:r w:rsidR="00DD2642">
        <w:rPr>
          <w:rFonts w:ascii="Times New Roman" w:hAnsi="Times New Roman"/>
          <w:sz w:val="28"/>
          <w:szCs w:val="28"/>
        </w:rPr>
        <w:t xml:space="preserve"> </w:t>
      </w:r>
      <w:r w:rsidR="00196376">
        <w:rPr>
          <w:rFonts w:ascii="Times New Roman" w:hAnsi="Times New Roman"/>
          <w:sz w:val="28"/>
          <w:szCs w:val="28"/>
        </w:rPr>
        <w:t xml:space="preserve">an application for leave to amend the defence would properly seek to amend </w:t>
      </w:r>
      <w:r w:rsidR="00DD2642">
        <w:rPr>
          <w:rFonts w:ascii="Times New Roman" w:hAnsi="Times New Roman"/>
          <w:sz w:val="28"/>
          <w:szCs w:val="28"/>
        </w:rPr>
        <w:t xml:space="preserve">a counterclaim if </w:t>
      </w:r>
      <w:r w:rsidR="00196376">
        <w:rPr>
          <w:rFonts w:ascii="Times New Roman" w:hAnsi="Times New Roman"/>
          <w:sz w:val="28"/>
          <w:szCs w:val="28"/>
        </w:rPr>
        <w:t xml:space="preserve">the counterclaim </w:t>
      </w:r>
      <w:r w:rsidR="00097995">
        <w:rPr>
          <w:rFonts w:ascii="Times New Roman" w:hAnsi="Times New Roman"/>
          <w:sz w:val="28"/>
          <w:szCs w:val="28"/>
        </w:rPr>
        <w:t>is</w:t>
      </w:r>
      <w:r w:rsidR="00DD2642">
        <w:rPr>
          <w:rFonts w:ascii="Times New Roman" w:hAnsi="Times New Roman"/>
          <w:sz w:val="28"/>
          <w:szCs w:val="28"/>
        </w:rPr>
        <w:t xml:space="preserve"> part of the pleading</w:t>
      </w:r>
      <w:r w:rsidR="00196376">
        <w:rPr>
          <w:rFonts w:ascii="Times New Roman" w:hAnsi="Times New Roman"/>
          <w:sz w:val="28"/>
          <w:szCs w:val="28"/>
        </w:rPr>
        <w:t>s</w:t>
      </w:r>
      <w:r w:rsidR="00DD2642">
        <w:rPr>
          <w:rFonts w:ascii="Times New Roman" w:hAnsi="Times New Roman"/>
          <w:sz w:val="28"/>
          <w:szCs w:val="28"/>
        </w:rPr>
        <w:t xml:space="preserve"> filed with the </w:t>
      </w:r>
      <w:r w:rsidR="00196376">
        <w:rPr>
          <w:rFonts w:ascii="Times New Roman" w:hAnsi="Times New Roman"/>
          <w:sz w:val="28"/>
          <w:szCs w:val="28"/>
        </w:rPr>
        <w:t>w</w:t>
      </w:r>
      <w:r w:rsidR="00DD2642">
        <w:rPr>
          <w:rFonts w:ascii="Times New Roman" w:hAnsi="Times New Roman"/>
          <w:sz w:val="28"/>
          <w:szCs w:val="28"/>
        </w:rPr>
        <w:t xml:space="preserve">ritten </w:t>
      </w:r>
      <w:r w:rsidR="00196376">
        <w:rPr>
          <w:rFonts w:ascii="Times New Roman" w:hAnsi="Times New Roman"/>
          <w:sz w:val="28"/>
          <w:szCs w:val="28"/>
        </w:rPr>
        <w:t>s</w:t>
      </w:r>
      <w:r w:rsidR="00DD2642">
        <w:rPr>
          <w:rFonts w:ascii="Times New Roman" w:hAnsi="Times New Roman"/>
          <w:sz w:val="28"/>
          <w:szCs w:val="28"/>
        </w:rPr>
        <w:t xml:space="preserve">tatement of </w:t>
      </w:r>
      <w:r w:rsidR="00196376">
        <w:rPr>
          <w:rFonts w:ascii="Times New Roman" w:hAnsi="Times New Roman"/>
          <w:sz w:val="28"/>
          <w:szCs w:val="28"/>
        </w:rPr>
        <w:t>d</w:t>
      </w:r>
      <w:r w:rsidR="00DD2642">
        <w:rPr>
          <w:rFonts w:ascii="Times New Roman" w:hAnsi="Times New Roman"/>
          <w:sz w:val="28"/>
          <w:szCs w:val="28"/>
        </w:rPr>
        <w:t>efence</w:t>
      </w:r>
      <w:r w:rsidR="00196376">
        <w:rPr>
          <w:rFonts w:ascii="Times New Roman" w:hAnsi="Times New Roman"/>
          <w:sz w:val="28"/>
          <w:szCs w:val="28"/>
        </w:rPr>
        <w:t xml:space="preserve">. </w:t>
      </w:r>
      <w:r w:rsidR="00DD2642">
        <w:rPr>
          <w:rFonts w:ascii="Times New Roman" w:hAnsi="Times New Roman"/>
          <w:sz w:val="28"/>
          <w:szCs w:val="28"/>
        </w:rPr>
        <w:t xml:space="preserve">In this case there was no counterclaim set up in the </w:t>
      </w:r>
      <w:r w:rsidR="00196376">
        <w:rPr>
          <w:rFonts w:ascii="Times New Roman" w:hAnsi="Times New Roman"/>
          <w:sz w:val="28"/>
          <w:szCs w:val="28"/>
        </w:rPr>
        <w:t>w</w:t>
      </w:r>
      <w:r w:rsidR="00DD2642">
        <w:rPr>
          <w:rFonts w:ascii="Times New Roman" w:hAnsi="Times New Roman"/>
          <w:sz w:val="28"/>
          <w:szCs w:val="28"/>
        </w:rPr>
        <w:t xml:space="preserve">ritten </w:t>
      </w:r>
      <w:r w:rsidR="00196376">
        <w:rPr>
          <w:rFonts w:ascii="Times New Roman" w:hAnsi="Times New Roman"/>
          <w:sz w:val="28"/>
          <w:szCs w:val="28"/>
        </w:rPr>
        <w:t>statement</w:t>
      </w:r>
      <w:r w:rsidR="00DD2642">
        <w:rPr>
          <w:rFonts w:ascii="Times New Roman" w:hAnsi="Times New Roman"/>
          <w:sz w:val="28"/>
          <w:szCs w:val="28"/>
        </w:rPr>
        <w:t xml:space="preserve"> of </w:t>
      </w:r>
      <w:r w:rsidR="00196376">
        <w:rPr>
          <w:rFonts w:ascii="Times New Roman" w:hAnsi="Times New Roman"/>
          <w:sz w:val="28"/>
          <w:szCs w:val="28"/>
        </w:rPr>
        <w:t>d</w:t>
      </w:r>
      <w:r w:rsidR="00DD2642">
        <w:rPr>
          <w:rFonts w:ascii="Times New Roman" w:hAnsi="Times New Roman"/>
          <w:sz w:val="28"/>
          <w:szCs w:val="28"/>
        </w:rPr>
        <w:t xml:space="preserve">efence, and hence there can be no amendment to pleadings that did not exist in the first place. </w:t>
      </w:r>
    </w:p>
    <w:p w:rsidR="00196376" w:rsidRDefault="00097995" w:rsidP="004F0C5A">
      <w:pPr>
        <w:spacing w:after="0" w:line="360" w:lineRule="auto"/>
        <w:jc w:val="both"/>
        <w:rPr>
          <w:rFonts w:ascii="Times New Roman" w:hAnsi="Times New Roman"/>
          <w:sz w:val="28"/>
          <w:szCs w:val="28"/>
        </w:rPr>
      </w:pPr>
      <w:r>
        <w:rPr>
          <w:rFonts w:ascii="Times New Roman" w:hAnsi="Times New Roman"/>
          <w:sz w:val="28"/>
          <w:szCs w:val="28"/>
        </w:rPr>
        <w:t>T</w:t>
      </w:r>
      <w:r w:rsidR="00863051">
        <w:rPr>
          <w:rFonts w:ascii="Times New Roman" w:hAnsi="Times New Roman"/>
          <w:sz w:val="28"/>
          <w:szCs w:val="28"/>
        </w:rPr>
        <w:t xml:space="preserve">he </w:t>
      </w:r>
      <w:r w:rsidR="00196376">
        <w:rPr>
          <w:rFonts w:ascii="Times New Roman" w:hAnsi="Times New Roman"/>
          <w:sz w:val="28"/>
          <w:szCs w:val="28"/>
        </w:rPr>
        <w:t xml:space="preserve">instant </w:t>
      </w:r>
      <w:r w:rsidR="00863051">
        <w:rPr>
          <w:rFonts w:ascii="Times New Roman" w:hAnsi="Times New Roman"/>
          <w:sz w:val="28"/>
          <w:szCs w:val="28"/>
        </w:rPr>
        <w:t>application seeks orders to introduce a counterclaim as a fresh matter for the very first time.  As such</w:t>
      </w:r>
      <w:r w:rsidR="00EB1A6A">
        <w:rPr>
          <w:rFonts w:ascii="Times New Roman" w:hAnsi="Times New Roman"/>
          <w:sz w:val="28"/>
          <w:szCs w:val="28"/>
        </w:rPr>
        <w:t>,</w:t>
      </w:r>
      <w:r w:rsidR="00863051">
        <w:rPr>
          <w:rFonts w:ascii="Times New Roman" w:hAnsi="Times New Roman"/>
          <w:sz w:val="28"/>
          <w:szCs w:val="28"/>
        </w:rPr>
        <w:t xml:space="preserve"> the Applicant </w:t>
      </w:r>
      <w:r w:rsidR="006622BF">
        <w:rPr>
          <w:rFonts w:ascii="Times New Roman" w:hAnsi="Times New Roman"/>
          <w:sz w:val="28"/>
          <w:szCs w:val="28"/>
        </w:rPr>
        <w:t>should</w:t>
      </w:r>
      <w:r w:rsidR="00863051">
        <w:rPr>
          <w:rFonts w:ascii="Times New Roman" w:hAnsi="Times New Roman"/>
          <w:sz w:val="28"/>
          <w:szCs w:val="28"/>
        </w:rPr>
        <w:t xml:space="preserve"> have sought leave to file the counterclaim out of time</w:t>
      </w:r>
      <w:r w:rsidR="00196376">
        <w:rPr>
          <w:rFonts w:ascii="Times New Roman" w:hAnsi="Times New Roman"/>
          <w:sz w:val="28"/>
          <w:szCs w:val="28"/>
        </w:rPr>
        <w:t xml:space="preserve"> since the </w:t>
      </w:r>
      <w:r w:rsidR="006622BF">
        <w:rPr>
          <w:rFonts w:ascii="Times New Roman" w:hAnsi="Times New Roman"/>
          <w:sz w:val="28"/>
          <w:szCs w:val="28"/>
        </w:rPr>
        <w:t>period</w:t>
      </w:r>
      <w:r w:rsidR="00196376">
        <w:rPr>
          <w:rFonts w:ascii="Times New Roman" w:hAnsi="Times New Roman"/>
          <w:sz w:val="28"/>
          <w:szCs w:val="28"/>
        </w:rPr>
        <w:t xml:space="preserve"> within which to file a defence raising a counterclaim had lapsed</w:t>
      </w:r>
      <w:r w:rsidR="006622BF">
        <w:rPr>
          <w:rFonts w:ascii="Times New Roman" w:hAnsi="Times New Roman"/>
          <w:sz w:val="28"/>
          <w:szCs w:val="28"/>
        </w:rPr>
        <w:t>;</w:t>
      </w:r>
      <w:r w:rsidR="00863051">
        <w:rPr>
          <w:rFonts w:ascii="Times New Roman" w:hAnsi="Times New Roman"/>
          <w:sz w:val="28"/>
          <w:szCs w:val="28"/>
        </w:rPr>
        <w:t xml:space="preserve"> </w:t>
      </w:r>
      <w:r w:rsidR="00CA5505">
        <w:rPr>
          <w:rFonts w:ascii="Times New Roman" w:hAnsi="Times New Roman"/>
          <w:sz w:val="28"/>
          <w:szCs w:val="28"/>
        </w:rPr>
        <w:t>rather than</w:t>
      </w:r>
      <w:r w:rsidR="00196376">
        <w:rPr>
          <w:rFonts w:ascii="Times New Roman" w:hAnsi="Times New Roman"/>
          <w:sz w:val="28"/>
          <w:szCs w:val="28"/>
        </w:rPr>
        <w:t xml:space="preserve"> seek leave</w:t>
      </w:r>
      <w:r w:rsidR="00863051">
        <w:rPr>
          <w:rFonts w:ascii="Times New Roman" w:hAnsi="Times New Roman"/>
          <w:sz w:val="28"/>
          <w:szCs w:val="28"/>
        </w:rPr>
        <w:t xml:space="preserve"> to amend the pleadings to include the counterclaim. </w:t>
      </w:r>
    </w:p>
    <w:p w:rsidR="00A65FD9" w:rsidRDefault="00EB1A6A" w:rsidP="004F0C5A">
      <w:pPr>
        <w:spacing w:after="0" w:line="360" w:lineRule="auto"/>
        <w:jc w:val="both"/>
        <w:rPr>
          <w:rFonts w:ascii="Times New Roman" w:hAnsi="Times New Roman"/>
          <w:sz w:val="28"/>
          <w:szCs w:val="28"/>
        </w:rPr>
      </w:pPr>
      <w:r>
        <w:rPr>
          <w:rFonts w:ascii="Times New Roman" w:hAnsi="Times New Roman"/>
          <w:sz w:val="28"/>
          <w:szCs w:val="28"/>
        </w:rPr>
        <w:t xml:space="preserve">It is a mandatory requirement under </w:t>
      </w:r>
      <w:r w:rsidR="00196376" w:rsidRPr="00196376">
        <w:rPr>
          <w:rFonts w:ascii="Times New Roman" w:hAnsi="Times New Roman"/>
          <w:b/>
          <w:i/>
          <w:sz w:val="28"/>
          <w:szCs w:val="28"/>
        </w:rPr>
        <w:t>O</w:t>
      </w:r>
      <w:r w:rsidR="00863051" w:rsidRPr="00196376">
        <w:rPr>
          <w:rFonts w:ascii="Times New Roman" w:hAnsi="Times New Roman"/>
          <w:b/>
          <w:i/>
          <w:sz w:val="28"/>
          <w:szCs w:val="28"/>
        </w:rPr>
        <w:t>rder 8 r.7 CPR</w:t>
      </w:r>
      <w:r w:rsidR="00863051">
        <w:rPr>
          <w:rFonts w:ascii="Times New Roman" w:hAnsi="Times New Roman"/>
          <w:sz w:val="28"/>
          <w:szCs w:val="28"/>
        </w:rPr>
        <w:t xml:space="preserve"> </w:t>
      </w:r>
      <w:r w:rsidR="00D83256">
        <w:rPr>
          <w:rFonts w:ascii="Times New Roman" w:hAnsi="Times New Roman"/>
          <w:sz w:val="28"/>
          <w:szCs w:val="28"/>
        </w:rPr>
        <w:t xml:space="preserve"> </w:t>
      </w:r>
      <w:r w:rsidR="00863051">
        <w:rPr>
          <w:rFonts w:ascii="Times New Roman" w:hAnsi="Times New Roman"/>
          <w:sz w:val="28"/>
          <w:szCs w:val="28"/>
        </w:rPr>
        <w:t>that where a defendant seeks to rely upon any ground as supporting a right of counterclaim</w:t>
      </w:r>
      <w:r w:rsidR="00D83256">
        <w:rPr>
          <w:rFonts w:ascii="Times New Roman" w:hAnsi="Times New Roman"/>
          <w:sz w:val="28"/>
          <w:szCs w:val="28"/>
        </w:rPr>
        <w:t>,</w:t>
      </w:r>
      <w:r w:rsidR="00863051">
        <w:rPr>
          <w:rFonts w:ascii="Times New Roman" w:hAnsi="Times New Roman"/>
          <w:sz w:val="28"/>
          <w:szCs w:val="28"/>
        </w:rPr>
        <w:t xml:space="preserve"> he or she must include the counterclaim in his </w:t>
      </w:r>
      <w:r w:rsidR="00196376">
        <w:rPr>
          <w:rFonts w:ascii="Times New Roman" w:hAnsi="Times New Roman"/>
          <w:sz w:val="28"/>
          <w:szCs w:val="28"/>
        </w:rPr>
        <w:t>w</w:t>
      </w:r>
      <w:r w:rsidR="00863051">
        <w:rPr>
          <w:rFonts w:ascii="Times New Roman" w:hAnsi="Times New Roman"/>
          <w:sz w:val="28"/>
          <w:szCs w:val="28"/>
        </w:rPr>
        <w:t xml:space="preserve">ritten </w:t>
      </w:r>
      <w:r w:rsidR="00196376">
        <w:rPr>
          <w:rFonts w:ascii="Times New Roman" w:hAnsi="Times New Roman"/>
          <w:sz w:val="28"/>
          <w:szCs w:val="28"/>
        </w:rPr>
        <w:t>s</w:t>
      </w:r>
      <w:r w:rsidR="00863051">
        <w:rPr>
          <w:rFonts w:ascii="Times New Roman" w:hAnsi="Times New Roman"/>
          <w:sz w:val="28"/>
          <w:szCs w:val="28"/>
        </w:rPr>
        <w:t xml:space="preserve">tatement of </w:t>
      </w:r>
      <w:r w:rsidR="00196376">
        <w:rPr>
          <w:rFonts w:ascii="Times New Roman" w:hAnsi="Times New Roman"/>
          <w:sz w:val="28"/>
          <w:szCs w:val="28"/>
        </w:rPr>
        <w:t>d</w:t>
      </w:r>
      <w:r w:rsidR="00863051">
        <w:rPr>
          <w:rFonts w:ascii="Times New Roman" w:hAnsi="Times New Roman"/>
          <w:sz w:val="28"/>
          <w:szCs w:val="28"/>
        </w:rPr>
        <w:t xml:space="preserve">efence. </w:t>
      </w:r>
      <w:r w:rsidR="006975D0">
        <w:rPr>
          <w:rFonts w:ascii="Times New Roman" w:hAnsi="Times New Roman"/>
          <w:sz w:val="28"/>
          <w:szCs w:val="28"/>
        </w:rPr>
        <w:t>In th</w:t>
      </w:r>
      <w:r w:rsidR="00196376">
        <w:rPr>
          <w:rFonts w:ascii="Times New Roman" w:hAnsi="Times New Roman"/>
          <w:sz w:val="28"/>
          <w:szCs w:val="28"/>
        </w:rPr>
        <w:t>e instant</w:t>
      </w:r>
      <w:r w:rsidR="006975D0">
        <w:rPr>
          <w:rFonts w:ascii="Times New Roman" w:hAnsi="Times New Roman"/>
          <w:sz w:val="28"/>
          <w:szCs w:val="28"/>
        </w:rPr>
        <w:t xml:space="preserve"> case there was no indication in the pleadings that the defendant intended to rely upon any ground as supporting a right of counterclaim in her </w:t>
      </w:r>
      <w:r w:rsidR="00196376">
        <w:rPr>
          <w:rFonts w:ascii="Times New Roman" w:hAnsi="Times New Roman"/>
          <w:sz w:val="28"/>
          <w:szCs w:val="28"/>
        </w:rPr>
        <w:t>w</w:t>
      </w:r>
      <w:r w:rsidR="006975D0">
        <w:rPr>
          <w:rFonts w:ascii="Times New Roman" w:hAnsi="Times New Roman"/>
          <w:sz w:val="28"/>
          <w:szCs w:val="28"/>
        </w:rPr>
        <w:t xml:space="preserve">ritten </w:t>
      </w:r>
      <w:r w:rsidR="00196376">
        <w:rPr>
          <w:rFonts w:ascii="Times New Roman" w:hAnsi="Times New Roman"/>
          <w:sz w:val="28"/>
          <w:szCs w:val="28"/>
        </w:rPr>
        <w:t>s</w:t>
      </w:r>
      <w:r w:rsidR="006975D0">
        <w:rPr>
          <w:rFonts w:ascii="Times New Roman" w:hAnsi="Times New Roman"/>
          <w:sz w:val="28"/>
          <w:szCs w:val="28"/>
        </w:rPr>
        <w:t xml:space="preserve">tatement of </w:t>
      </w:r>
      <w:r w:rsidR="00196376">
        <w:rPr>
          <w:rFonts w:ascii="Times New Roman" w:hAnsi="Times New Roman"/>
          <w:sz w:val="28"/>
          <w:szCs w:val="28"/>
        </w:rPr>
        <w:t>d</w:t>
      </w:r>
      <w:r w:rsidR="006975D0">
        <w:rPr>
          <w:rFonts w:ascii="Times New Roman" w:hAnsi="Times New Roman"/>
          <w:sz w:val="28"/>
          <w:szCs w:val="28"/>
        </w:rPr>
        <w:t xml:space="preserve">efence.  Therefore, </w:t>
      </w:r>
      <w:r>
        <w:rPr>
          <w:rFonts w:ascii="Times New Roman" w:hAnsi="Times New Roman"/>
          <w:sz w:val="28"/>
          <w:szCs w:val="28"/>
        </w:rPr>
        <w:t xml:space="preserve">the </w:t>
      </w:r>
      <w:r w:rsidR="006975D0">
        <w:rPr>
          <w:rFonts w:ascii="Times New Roman" w:hAnsi="Times New Roman"/>
          <w:sz w:val="28"/>
          <w:szCs w:val="28"/>
        </w:rPr>
        <w:t xml:space="preserve">Applicant cannot apply to amend the defence </w:t>
      </w:r>
      <w:r w:rsidR="00D83256">
        <w:rPr>
          <w:rFonts w:ascii="Times New Roman" w:hAnsi="Times New Roman"/>
          <w:sz w:val="28"/>
          <w:szCs w:val="28"/>
        </w:rPr>
        <w:t xml:space="preserve">to include a counterclaim </w:t>
      </w:r>
      <w:r>
        <w:rPr>
          <w:rFonts w:ascii="Times New Roman" w:hAnsi="Times New Roman"/>
          <w:sz w:val="28"/>
          <w:szCs w:val="28"/>
        </w:rPr>
        <w:t>because</w:t>
      </w:r>
      <w:r w:rsidR="006975D0">
        <w:rPr>
          <w:rFonts w:ascii="Times New Roman" w:hAnsi="Times New Roman"/>
          <w:sz w:val="28"/>
          <w:szCs w:val="28"/>
        </w:rPr>
        <w:t xml:space="preserve"> a defence </w:t>
      </w:r>
      <w:r w:rsidR="00551D89">
        <w:rPr>
          <w:rFonts w:ascii="Times New Roman" w:hAnsi="Times New Roman"/>
          <w:sz w:val="28"/>
          <w:szCs w:val="28"/>
        </w:rPr>
        <w:t xml:space="preserve">is not a separate suit but simply a defence to an action. </w:t>
      </w:r>
    </w:p>
    <w:p w:rsidR="000A4273" w:rsidRDefault="00A65FD9" w:rsidP="004F0C5A">
      <w:pPr>
        <w:spacing w:after="0" w:line="360" w:lineRule="auto"/>
        <w:jc w:val="both"/>
        <w:rPr>
          <w:rFonts w:ascii="Times New Roman" w:hAnsi="Times New Roman"/>
          <w:sz w:val="28"/>
          <w:szCs w:val="28"/>
        </w:rPr>
      </w:pPr>
      <w:r>
        <w:rPr>
          <w:rFonts w:ascii="Times New Roman" w:hAnsi="Times New Roman"/>
          <w:sz w:val="28"/>
          <w:szCs w:val="28"/>
        </w:rPr>
        <w:t>Given the above position of the law</w:t>
      </w:r>
      <w:r w:rsidR="00D83256">
        <w:rPr>
          <w:rFonts w:ascii="Times New Roman" w:hAnsi="Times New Roman"/>
          <w:sz w:val="28"/>
          <w:szCs w:val="28"/>
        </w:rPr>
        <w:t>,</w:t>
      </w:r>
      <w:r>
        <w:rPr>
          <w:rFonts w:ascii="Times New Roman" w:hAnsi="Times New Roman"/>
          <w:sz w:val="28"/>
          <w:szCs w:val="28"/>
        </w:rPr>
        <w:t xml:space="preserve"> it </w:t>
      </w:r>
      <w:r w:rsidR="00D83256">
        <w:rPr>
          <w:rFonts w:ascii="Times New Roman" w:hAnsi="Times New Roman"/>
          <w:sz w:val="28"/>
          <w:szCs w:val="28"/>
        </w:rPr>
        <w:t>i</w:t>
      </w:r>
      <w:r>
        <w:rPr>
          <w:rFonts w:ascii="Times New Roman" w:hAnsi="Times New Roman"/>
          <w:sz w:val="28"/>
          <w:szCs w:val="28"/>
        </w:rPr>
        <w:t xml:space="preserve">s erroneous for the Applicant to </w:t>
      </w:r>
      <w:r w:rsidR="00EB1A6A">
        <w:rPr>
          <w:rFonts w:ascii="Times New Roman" w:hAnsi="Times New Roman"/>
          <w:sz w:val="28"/>
          <w:szCs w:val="28"/>
        </w:rPr>
        <w:t>submit</w:t>
      </w:r>
      <w:r w:rsidR="003F3424">
        <w:rPr>
          <w:rFonts w:ascii="Times New Roman" w:hAnsi="Times New Roman"/>
          <w:sz w:val="28"/>
          <w:szCs w:val="28"/>
        </w:rPr>
        <w:t xml:space="preserve"> that the counterclaim is not a separate suit</w:t>
      </w:r>
      <w:r w:rsidR="00CA5505">
        <w:rPr>
          <w:rFonts w:ascii="Times New Roman" w:hAnsi="Times New Roman"/>
          <w:sz w:val="28"/>
          <w:szCs w:val="28"/>
        </w:rPr>
        <w:t>. It is further erroneous to maintain that</w:t>
      </w:r>
      <w:r w:rsidR="003F3424">
        <w:rPr>
          <w:rFonts w:ascii="Times New Roman" w:hAnsi="Times New Roman"/>
          <w:sz w:val="28"/>
          <w:szCs w:val="28"/>
        </w:rPr>
        <w:t xml:space="preserve"> a </w:t>
      </w:r>
      <w:r w:rsidR="003F3424">
        <w:rPr>
          <w:rFonts w:ascii="Times New Roman" w:hAnsi="Times New Roman"/>
          <w:sz w:val="28"/>
          <w:szCs w:val="28"/>
        </w:rPr>
        <w:lastRenderedPageBreak/>
        <w:t>defence can be amended to inc</w:t>
      </w:r>
      <w:r w:rsidR="00CA5505">
        <w:rPr>
          <w:rFonts w:ascii="Times New Roman" w:hAnsi="Times New Roman"/>
          <w:sz w:val="28"/>
          <w:szCs w:val="28"/>
        </w:rPr>
        <w:t>orporate</w:t>
      </w:r>
      <w:r w:rsidR="003F3424">
        <w:rPr>
          <w:rFonts w:ascii="Times New Roman" w:hAnsi="Times New Roman"/>
          <w:sz w:val="28"/>
          <w:szCs w:val="28"/>
        </w:rPr>
        <w:t xml:space="preserve"> a counterclaim, and that an application in that case would be for leave to amend the defence to introduce a counterclaim.  On the contrary</w:t>
      </w:r>
      <w:r w:rsidR="00D83256">
        <w:rPr>
          <w:rFonts w:ascii="Times New Roman" w:hAnsi="Times New Roman"/>
          <w:sz w:val="28"/>
          <w:szCs w:val="28"/>
        </w:rPr>
        <w:t>,</w:t>
      </w:r>
      <w:r w:rsidR="003F3424">
        <w:rPr>
          <w:rFonts w:ascii="Times New Roman" w:hAnsi="Times New Roman"/>
          <w:sz w:val="28"/>
          <w:szCs w:val="28"/>
        </w:rPr>
        <w:t xml:space="preserve"> </w:t>
      </w:r>
      <w:r w:rsidR="00CA5505">
        <w:rPr>
          <w:rFonts w:ascii="Times New Roman" w:hAnsi="Times New Roman"/>
          <w:sz w:val="28"/>
          <w:szCs w:val="28"/>
        </w:rPr>
        <w:t xml:space="preserve">it is settled law that </w:t>
      </w:r>
      <w:r w:rsidR="003F3424">
        <w:rPr>
          <w:rFonts w:ascii="Times New Roman" w:hAnsi="Times New Roman"/>
          <w:sz w:val="28"/>
          <w:szCs w:val="28"/>
        </w:rPr>
        <w:t xml:space="preserve">a counterclaim is a separate action pursuant to </w:t>
      </w:r>
      <w:r w:rsidR="00D83256">
        <w:rPr>
          <w:rFonts w:ascii="Times New Roman" w:hAnsi="Times New Roman"/>
          <w:sz w:val="28"/>
          <w:szCs w:val="28"/>
        </w:rPr>
        <w:t xml:space="preserve">provisions of </w:t>
      </w:r>
      <w:r w:rsidR="003F3424" w:rsidRPr="00D83256">
        <w:rPr>
          <w:rFonts w:ascii="Times New Roman" w:hAnsi="Times New Roman"/>
          <w:b/>
          <w:i/>
          <w:sz w:val="28"/>
          <w:szCs w:val="28"/>
        </w:rPr>
        <w:t xml:space="preserve">O.8 </w:t>
      </w:r>
      <w:r w:rsidR="00DA5A1D">
        <w:rPr>
          <w:rFonts w:ascii="Times New Roman" w:hAnsi="Times New Roman"/>
          <w:b/>
          <w:i/>
          <w:sz w:val="28"/>
          <w:szCs w:val="28"/>
        </w:rPr>
        <w:t>r</w:t>
      </w:r>
      <w:r w:rsidR="003F3424" w:rsidRPr="00D83256">
        <w:rPr>
          <w:rFonts w:ascii="Times New Roman" w:hAnsi="Times New Roman"/>
          <w:b/>
          <w:i/>
          <w:sz w:val="28"/>
          <w:szCs w:val="28"/>
        </w:rPr>
        <w:t>r.12</w:t>
      </w:r>
      <w:r w:rsidR="00DA5A1D">
        <w:rPr>
          <w:rFonts w:ascii="Times New Roman" w:hAnsi="Times New Roman"/>
          <w:b/>
          <w:i/>
          <w:sz w:val="28"/>
          <w:szCs w:val="28"/>
        </w:rPr>
        <w:t xml:space="preserve"> and 13</w:t>
      </w:r>
      <w:r w:rsidR="003F3424" w:rsidRPr="00D83256">
        <w:rPr>
          <w:rFonts w:ascii="Times New Roman" w:hAnsi="Times New Roman"/>
          <w:b/>
          <w:i/>
          <w:sz w:val="28"/>
          <w:szCs w:val="28"/>
        </w:rPr>
        <w:t xml:space="preserve"> CPR</w:t>
      </w:r>
      <w:r w:rsidR="003F3424">
        <w:rPr>
          <w:rFonts w:ascii="Times New Roman" w:hAnsi="Times New Roman"/>
          <w:sz w:val="28"/>
          <w:szCs w:val="28"/>
        </w:rPr>
        <w:t xml:space="preserve"> which </w:t>
      </w:r>
      <w:r w:rsidR="00D83256">
        <w:rPr>
          <w:rFonts w:ascii="Times New Roman" w:hAnsi="Times New Roman"/>
          <w:sz w:val="28"/>
          <w:szCs w:val="28"/>
        </w:rPr>
        <w:t>stipulate</w:t>
      </w:r>
      <w:r w:rsidR="003F3424">
        <w:rPr>
          <w:rFonts w:ascii="Times New Roman" w:hAnsi="Times New Roman"/>
          <w:sz w:val="28"/>
          <w:szCs w:val="28"/>
        </w:rPr>
        <w:t xml:space="preserve"> that a counterclaim can be excluded as being more appropriate to be filed as a separate suit</w:t>
      </w:r>
      <w:r w:rsidR="00D83256">
        <w:rPr>
          <w:rFonts w:ascii="Times New Roman" w:hAnsi="Times New Roman"/>
          <w:sz w:val="28"/>
          <w:szCs w:val="28"/>
        </w:rPr>
        <w:t>,</w:t>
      </w:r>
      <w:r w:rsidR="003F3424">
        <w:rPr>
          <w:rFonts w:ascii="Times New Roman" w:hAnsi="Times New Roman"/>
          <w:sz w:val="28"/>
          <w:szCs w:val="28"/>
        </w:rPr>
        <w:t xml:space="preserve"> on application of the </w:t>
      </w:r>
      <w:r w:rsidR="00D83256">
        <w:rPr>
          <w:rFonts w:ascii="Times New Roman" w:hAnsi="Times New Roman"/>
          <w:sz w:val="28"/>
          <w:szCs w:val="28"/>
        </w:rPr>
        <w:t>p</w:t>
      </w:r>
      <w:r w:rsidR="003F3424">
        <w:rPr>
          <w:rFonts w:ascii="Times New Roman" w:hAnsi="Times New Roman"/>
          <w:sz w:val="28"/>
          <w:szCs w:val="28"/>
        </w:rPr>
        <w:t xml:space="preserve">laintiff or </w:t>
      </w:r>
      <w:r w:rsidR="00D83256">
        <w:rPr>
          <w:rFonts w:ascii="Times New Roman" w:hAnsi="Times New Roman"/>
          <w:sz w:val="28"/>
          <w:szCs w:val="28"/>
        </w:rPr>
        <w:t>d</w:t>
      </w:r>
      <w:r w:rsidR="003F3424">
        <w:rPr>
          <w:rFonts w:ascii="Times New Roman" w:hAnsi="Times New Roman"/>
          <w:sz w:val="28"/>
          <w:szCs w:val="28"/>
        </w:rPr>
        <w:t xml:space="preserve">efendant to the counterclaim without </w:t>
      </w:r>
      <w:r w:rsidR="0086133F">
        <w:rPr>
          <w:rFonts w:ascii="Times New Roman" w:hAnsi="Times New Roman"/>
          <w:sz w:val="28"/>
          <w:szCs w:val="28"/>
        </w:rPr>
        <w:t xml:space="preserve">even </w:t>
      </w:r>
      <w:r w:rsidR="003F3424">
        <w:rPr>
          <w:rFonts w:ascii="Times New Roman" w:hAnsi="Times New Roman"/>
          <w:sz w:val="28"/>
          <w:szCs w:val="28"/>
        </w:rPr>
        <w:t xml:space="preserve">affecting the defence. </w:t>
      </w:r>
      <w:r w:rsidR="00EB1A6A">
        <w:rPr>
          <w:rFonts w:ascii="Times New Roman" w:hAnsi="Times New Roman"/>
          <w:sz w:val="28"/>
          <w:szCs w:val="28"/>
        </w:rPr>
        <w:t>See</w:t>
      </w:r>
      <w:r w:rsidR="00DA5A1D">
        <w:rPr>
          <w:rFonts w:ascii="Times New Roman" w:hAnsi="Times New Roman"/>
          <w:sz w:val="28"/>
          <w:szCs w:val="28"/>
        </w:rPr>
        <w:t xml:space="preserve"> also</w:t>
      </w:r>
      <w:r w:rsidR="00EB1A6A">
        <w:rPr>
          <w:rFonts w:ascii="Times New Roman" w:hAnsi="Times New Roman"/>
          <w:sz w:val="28"/>
          <w:szCs w:val="28"/>
        </w:rPr>
        <w:t>:</w:t>
      </w:r>
      <w:r w:rsidR="00904670">
        <w:rPr>
          <w:rFonts w:ascii="Times New Roman" w:hAnsi="Times New Roman"/>
          <w:sz w:val="28"/>
          <w:szCs w:val="28"/>
        </w:rPr>
        <w:t xml:space="preserve"> </w:t>
      </w:r>
      <w:r w:rsidR="00DA5A1D">
        <w:rPr>
          <w:rFonts w:ascii="Times New Roman" w:hAnsi="Times New Roman"/>
          <w:b/>
          <w:i/>
          <w:sz w:val="28"/>
          <w:szCs w:val="28"/>
        </w:rPr>
        <w:t xml:space="preserve">British General Insurance Co. Ltd. v. Moshanlul Sulank, CACA No. 30 of 1997; Charles Lwanga v. </w:t>
      </w:r>
      <w:r w:rsidR="00CA5505">
        <w:rPr>
          <w:rFonts w:ascii="Times New Roman" w:hAnsi="Times New Roman"/>
          <w:b/>
          <w:i/>
          <w:sz w:val="28"/>
          <w:szCs w:val="28"/>
        </w:rPr>
        <w:t>Centenary</w:t>
      </w:r>
      <w:r w:rsidR="00DA5A1D">
        <w:rPr>
          <w:rFonts w:ascii="Times New Roman" w:hAnsi="Times New Roman"/>
          <w:b/>
          <w:i/>
          <w:sz w:val="28"/>
          <w:szCs w:val="28"/>
        </w:rPr>
        <w:t xml:space="preserve"> Rural Bank, SCCA No.33 of 1999. </w:t>
      </w:r>
    </w:p>
    <w:p w:rsidR="000A4273" w:rsidRDefault="000A4273" w:rsidP="004E7B96">
      <w:pPr>
        <w:spacing w:line="360" w:lineRule="auto"/>
        <w:jc w:val="both"/>
        <w:rPr>
          <w:rFonts w:ascii="Times New Roman" w:hAnsi="Times New Roman"/>
          <w:sz w:val="28"/>
          <w:szCs w:val="28"/>
        </w:rPr>
      </w:pPr>
      <w:r>
        <w:rPr>
          <w:rFonts w:ascii="Times New Roman" w:hAnsi="Times New Roman"/>
          <w:sz w:val="28"/>
          <w:szCs w:val="28"/>
        </w:rPr>
        <w:t xml:space="preserve">Additionally, </w:t>
      </w:r>
      <w:r w:rsidR="00BA1511">
        <w:rPr>
          <w:rFonts w:ascii="Times New Roman" w:hAnsi="Times New Roman"/>
          <w:sz w:val="28"/>
          <w:szCs w:val="28"/>
        </w:rPr>
        <w:t xml:space="preserve">since </w:t>
      </w:r>
      <w:r>
        <w:rPr>
          <w:rFonts w:ascii="Times New Roman" w:hAnsi="Times New Roman"/>
          <w:sz w:val="28"/>
          <w:szCs w:val="28"/>
        </w:rPr>
        <w:t xml:space="preserve">a counterclaim </w:t>
      </w:r>
      <w:r w:rsidR="00BA1511">
        <w:rPr>
          <w:rFonts w:ascii="Times New Roman" w:hAnsi="Times New Roman"/>
          <w:sz w:val="28"/>
          <w:szCs w:val="28"/>
        </w:rPr>
        <w:t>is a separate action</w:t>
      </w:r>
      <w:r w:rsidR="0086133F">
        <w:rPr>
          <w:rFonts w:ascii="Times New Roman" w:hAnsi="Times New Roman"/>
          <w:sz w:val="28"/>
          <w:szCs w:val="28"/>
        </w:rPr>
        <w:t>,</w:t>
      </w:r>
      <w:r>
        <w:rPr>
          <w:rFonts w:ascii="Times New Roman" w:hAnsi="Times New Roman"/>
          <w:sz w:val="28"/>
          <w:szCs w:val="28"/>
        </w:rPr>
        <w:t xml:space="preserve"> an application seeking </w:t>
      </w:r>
      <w:r w:rsidR="0086133F">
        <w:rPr>
          <w:rFonts w:ascii="Times New Roman" w:hAnsi="Times New Roman"/>
          <w:sz w:val="28"/>
          <w:szCs w:val="28"/>
        </w:rPr>
        <w:t xml:space="preserve">leave </w:t>
      </w:r>
      <w:r>
        <w:rPr>
          <w:rFonts w:ascii="Times New Roman" w:hAnsi="Times New Roman"/>
          <w:sz w:val="28"/>
          <w:szCs w:val="28"/>
        </w:rPr>
        <w:t xml:space="preserve">to amend the defence to introduce a counterclaim would in essence </w:t>
      </w:r>
      <w:r w:rsidR="005E1E72">
        <w:rPr>
          <w:rFonts w:ascii="Times New Roman" w:hAnsi="Times New Roman"/>
          <w:sz w:val="28"/>
          <w:szCs w:val="28"/>
        </w:rPr>
        <w:t xml:space="preserve">be seeking </w:t>
      </w:r>
      <w:r w:rsidR="0086133F">
        <w:rPr>
          <w:rFonts w:ascii="Times New Roman" w:hAnsi="Times New Roman"/>
          <w:sz w:val="28"/>
          <w:szCs w:val="28"/>
        </w:rPr>
        <w:t xml:space="preserve">leave </w:t>
      </w:r>
      <w:r w:rsidR="005E1E72">
        <w:rPr>
          <w:rFonts w:ascii="Times New Roman" w:hAnsi="Times New Roman"/>
          <w:sz w:val="28"/>
          <w:szCs w:val="28"/>
        </w:rPr>
        <w:t>to amend</w:t>
      </w:r>
      <w:r>
        <w:rPr>
          <w:rFonts w:ascii="Times New Roman" w:hAnsi="Times New Roman"/>
          <w:sz w:val="28"/>
          <w:szCs w:val="28"/>
        </w:rPr>
        <w:t xml:space="preserve"> pleadings to introduce a new cause of action; which </w:t>
      </w:r>
      <w:r w:rsidR="005E1E72">
        <w:rPr>
          <w:rFonts w:ascii="Times New Roman" w:hAnsi="Times New Roman"/>
          <w:sz w:val="28"/>
          <w:szCs w:val="28"/>
        </w:rPr>
        <w:t>would be</w:t>
      </w:r>
      <w:r>
        <w:rPr>
          <w:rFonts w:ascii="Times New Roman" w:hAnsi="Times New Roman"/>
          <w:sz w:val="28"/>
          <w:szCs w:val="28"/>
        </w:rPr>
        <w:t xml:space="preserve"> legally untenable. See: </w:t>
      </w:r>
      <w:r w:rsidR="00BA1511" w:rsidRPr="00BA1511">
        <w:rPr>
          <w:rFonts w:ascii="Times New Roman" w:hAnsi="Times New Roman"/>
          <w:b/>
          <w:bCs/>
          <w:i/>
          <w:sz w:val="28"/>
          <w:szCs w:val="28"/>
        </w:rPr>
        <w:t xml:space="preserve">Nambi v. Bunyoro </w:t>
      </w:r>
      <w:r w:rsidR="00BA1511">
        <w:rPr>
          <w:rFonts w:ascii="Times New Roman" w:hAnsi="Times New Roman"/>
          <w:b/>
          <w:bCs/>
          <w:i/>
          <w:sz w:val="28"/>
          <w:szCs w:val="28"/>
        </w:rPr>
        <w:t>General Merchants [1974] HCB 12</w:t>
      </w:r>
      <w:r w:rsidR="00BA1511" w:rsidRPr="00BA1511">
        <w:rPr>
          <w:rFonts w:ascii="Times New Roman" w:hAnsi="Times New Roman"/>
          <w:b/>
          <w:bCs/>
          <w:i/>
          <w:sz w:val="28"/>
          <w:szCs w:val="28"/>
        </w:rPr>
        <w:t xml:space="preserve">. </w:t>
      </w:r>
      <w:r w:rsidR="00BA1511">
        <w:rPr>
          <w:rFonts w:ascii="Times New Roman" w:hAnsi="Times New Roman"/>
          <w:bCs/>
          <w:sz w:val="28"/>
          <w:szCs w:val="28"/>
        </w:rPr>
        <w:t>Such</w:t>
      </w:r>
      <w:r w:rsidR="00BA1511" w:rsidRPr="00BA1511">
        <w:rPr>
          <w:rFonts w:ascii="Times New Roman" w:hAnsi="Times New Roman"/>
          <w:bCs/>
          <w:sz w:val="28"/>
          <w:szCs w:val="28"/>
        </w:rPr>
        <w:t xml:space="preserve"> </w:t>
      </w:r>
      <w:r w:rsidR="00BA1511">
        <w:rPr>
          <w:rFonts w:ascii="Times New Roman" w:hAnsi="Times New Roman"/>
          <w:bCs/>
          <w:sz w:val="28"/>
          <w:szCs w:val="28"/>
        </w:rPr>
        <w:t>an application</w:t>
      </w:r>
      <w:r w:rsidR="00BA1511" w:rsidRPr="00BA1511">
        <w:rPr>
          <w:rFonts w:ascii="Times New Roman" w:hAnsi="Times New Roman"/>
          <w:bCs/>
          <w:sz w:val="28"/>
          <w:szCs w:val="28"/>
        </w:rPr>
        <w:t xml:space="preserve"> would not be granted </w:t>
      </w:r>
      <w:r w:rsidR="00BA1511">
        <w:rPr>
          <w:rFonts w:ascii="Times New Roman" w:hAnsi="Times New Roman"/>
          <w:bCs/>
          <w:sz w:val="28"/>
          <w:szCs w:val="28"/>
        </w:rPr>
        <w:t xml:space="preserve">because apart from amounting to exonerating a party from complying with provisions of the law, it would also </w:t>
      </w:r>
      <w:r w:rsidR="00BA1511" w:rsidRPr="00BA1511">
        <w:rPr>
          <w:rFonts w:ascii="Times New Roman" w:hAnsi="Times New Roman"/>
          <w:bCs/>
          <w:sz w:val="28"/>
          <w:szCs w:val="28"/>
        </w:rPr>
        <w:t xml:space="preserve">involve a complete change in the nature of the action and set up an entirely different claim from that the </w:t>
      </w:r>
      <w:r w:rsidR="00BA1511">
        <w:rPr>
          <w:rFonts w:ascii="Times New Roman" w:hAnsi="Times New Roman"/>
          <w:bCs/>
          <w:sz w:val="28"/>
          <w:szCs w:val="28"/>
        </w:rPr>
        <w:t>a part</w:t>
      </w:r>
      <w:r w:rsidR="00C7250C">
        <w:rPr>
          <w:rFonts w:ascii="Times New Roman" w:hAnsi="Times New Roman"/>
          <w:bCs/>
          <w:sz w:val="28"/>
          <w:szCs w:val="28"/>
        </w:rPr>
        <w:t>ies</w:t>
      </w:r>
      <w:r w:rsidR="00BA1511" w:rsidRPr="00BA1511">
        <w:rPr>
          <w:rFonts w:ascii="Times New Roman" w:hAnsi="Times New Roman"/>
          <w:bCs/>
          <w:sz w:val="28"/>
          <w:szCs w:val="28"/>
        </w:rPr>
        <w:t xml:space="preserve"> came to meet</w:t>
      </w:r>
      <w:r w:rsidR="00BA1511">
        <w:rPr>
          <w:rFonts w:ascii="Times New Roman" w:hAnsi="Times New Roman"/>
          <w:bCs/>
          <w:sz w:val="28"/>
          <w:szCs w:val="28"/>
        </w:rPr>
        <w:t>,</w:t>
      </w:r>
      <w:r w:rsidR="00BA1511" w:rsidRPr="00BA1511">
        <w:rPr>
          <w:rFonts w:ascii="Times New Roman" w:hAnsi="Times New Roman"/>
          <w:bCs/>
          <w:sz w:val="28"/>
          <w:szCs w:val="28"/>
        </w:rPr>
        <w:t xml:space="preserve"> and would require an entirely new </w:t>
      </w:r>
      <w:r w:rsidR="00BA1511">
        <w:rPr>
          <w:rFonts w:ascii="Times New Roman" w:hAnsi="Times New Roman"/>
          <w:bCs/>
          <w:sz w:val="28"/>
          <w:szCs w:val="28"/>
        </w:rPr>
        <w:t>counterdefence.</w:t>
      </w:r>
      <w:r w:rsidR="00BA1511" w:rsidRPr="00BA1511">
        <w:rPr>
          <w:rFonts w:ascii="Times New Roman" w:hAnsi="Times New Roman"/>
          <w:bCs/>
          <w:sz w:val="28"/>
          <w:szCs w:val="28"/>
        </w:rPr>
        <w:t xml:space="preserve">  </w:t>
      </w:r>
      <w:r w:rsidR="00BA1511">
        <w:rPr>
          <w:rFonts w:ascii="Times New Roman" w:hAnsi="Times New Roman"/>
          <w:bCs/>
          <w:sz w:val="28"/>
          <w:szCs w:val="28"/>
        </w:rPr>
        <w:t xml:space="preserve">See: </w:t>
      </w:r>
      <w:r w:rsidR="00BA1511" w:rsidRPr="00BA1511">
        <w:rPr>
          <w:rFonts w:ascii="Times New Roman" w:hAnsi="Times New Roman"/>
          <w:b/>
          <w:bCs/>
          <w:i/>
          <w:sz w:val="28"/>
          <w:szCs w:val="28"/>
        </w:rPr>
        <w:t>Biiso v. Tibamwenda [1991] HCB 92</w:t>
      </w:r>
      <w:r w:rsidR="00BA1511">
        <w:rPr>
          <w:rFonts w:ascii="Times New Roman" w:hAnsi="Times New Roman"/>
          <w:b/>
          <w:bCs/>
          <w:i/>
          <w:sz w:val="28"/>
          <w:szCs w:val="28"/>
        </w:rPr>
        <w:t>;</w:t>
      </w:r>
      <w:r w:rsidR="00BA1511" w:rsidRPr="00BA1511">
        <w:rPr>
          <w:rFonts w:ascii="Times New Roman" w:hAnsi="Times New Roman"/>
          <w:bCs/>
          <w:sz w:val="28"/>
          <w:szCs w:val="28"/>
        </w:rPr>
        <w:t xml:space="preserve"> </w:t>
      </w:r>
      <w:r w:rsidR="00BA1511" w:rsidRPr="00BA1511">
        <w:rPr>
          <w:rFonts w:ascii="Times New Roman" w:hAnsi="Times New Roman"/>
          <w:b/>
          <w:bCs/>
          <w:i/>
          <w:sz w:val="28"/>
          <w:szCs w:val="28"/>
        </w:rPr>
        <w:t>Hill &amp; Grant Ltd v. Hodson [1934] Ch. D 53</w:t>
      </w:r>
      <w:r w:rsidR="00BA1511">
        <w:rPr>
          <w:rFonts w:ascii="Times New Roman" w:hAnsi="Times New Roman"/>
          <w:b/>
          <w:bCs/>
          <w:i/>
          <w:sz w:val="28"/>
          <w:szCs w:val="28"/>
        </w:rPr>
        <w:t>.</w:t>
      </w:r>
      <w:r w:rsidR="00BA1511" w:rsidRPr="00BA1511">
        <w:rPr>
          <w:rFonts w:ascii="Times New Roman" w:hAnsi="Times New Roman"/>
          <w:b/>
          <w:bCs/>
          <w:i/>
          <w:sz w:val="28"/>
          <w:szCs w:val="28"/>
        </w:rPr>
        <w:t xml:space="preserve"> </w:t>
      </w:r>
      <w:r>
        <w:rPr>
          <w:rFonts w:ascii="Times New Roman" w:hAnsi="Times New Roman"/>
          <w:sz w:val="28"/>
          <w:szCs w:val="28"/>
        </w:rPr>
        <w:t xml:space="preserve">The net effect is that the Applicant </w:t>
      </w:r>
      <w:r w:rsidR="0086133F">
        <w:rPr>
          <w:rFonts w:ascii="Times New Roman" w:hAnsi="Times New Roman"/>
          <w:sz w:val="28"/>
          <w:szCs w:val="28"/>
        </w:rPr>
        <w:t>should</w:t>
      </w:r>
      <w:r>
        <w:rPr>
          <w:rFonts w:ascii="Times New Roman" w:hAnsi="Times New Roman"/>
          <w:sz w:val="28"/>
          <w:szCs w:val="28"/>
        </w:rPr>
        <w:t xml:space="preserve"> have sought leave of court to file a counterclaim out of time</w:t>
      </w:r>
      <w:r w:rsidR="0086133F">
        <w:rPr>
          <w:rFonts w:ascii="Times New Roman" w:hAnsi="Times New Roman"/>
          <w:sz w:val="28"/>
          <w:szCs w:val="28"/>
        </w:rPr>
        <w:t>,</w:t>
      </w:r>
      <w:r w:rsidR="004F4A9B">
        <w:rPr>
          <w:rFonts w:ascii="Times New Roman" w:hAnsi="Times New Roman"/>
          <w:sz w:val="28"/>
          <w:szCs w:val="28"/>
        </w:rPr>
        <w:t xml:space="preserve"> </w:t>
      </w:r>
      <w:r w:rsidR="00C7250C">
        <w:rPr>
          <w:rFonts w:ascii="Times New Roman" w:hAnsi="Times New Roman"/>
          <w:sz w:val="28"/>
          <w:szCs w:val="28"/>
        </w:rPr>
        <w:t>but</w:t>
      </w:r>
      <w:r w:rsidR="004F4A9B">
        <w:rPr>
          <w:rFonts w:ascii="Times New Roman" w:hAnsi="Times New Roman"/>
          <w:sz w:val="28"/>
          <w:szCs w:val="28"/>
        </w:rPr>
        <w:t xml:space="preserve"> not to amend the defence</w:t>
      </w:r>
      <w:r>
        <w:rPr>
          <w:rFonts w:ascii="Times New Roman" w:hAnsi="Times New Roman"/>
          <w:sz w:val="28"/>
          <w:szCs w:val="28"/>
        </w:rPr>
        <w:t xml:space="preserve">. </w:t>
      </w:r>
      <w:r w:rsidR="004F4A9B">
        <w:rPr>
          <w:rFonts w:ascii="Times New Roman" w:hAnsi="Times New Roman"/>
          <w:sz w:val="28"/>
          <w:szCs w:val="28"/>
        </w:rPr>
        <w:t>She did not seek</w:t>
      </w:r>
      <w:r>
        <w:rPr>
          <w:rFonts w:ascii="Times New Roman" w:hAnsi="Times New Roman"/>
          <w:sz w:val="28"/>
          <w:szCs w:val="28"/>
        </w:rPr>
        <w:t xml:space="preserve"> </w:t>
      </w:r>
      <w:r w:rsidR="00541F69">
        <w:rPr>
          <w:rFonts w:ascii="Times New Roman" w:hAnsi="Times New Roman"/>
          <w:sz w:val="28"/>
          <w:szCs w:val="28"/>
        </w:rPr>
        <w:t>the</w:t>
      </w:r>
      <w:r>
        <w:rPr>
          <w:rFonts w:ascii="Times New Roman" w:hAnsi="Times New Roman"/>
          <w:sz w:val="28"/>
          <w:szCs w:val="28"/>
        </w:rPr>
        <w:t xml:space="preserve"> leave</w:t>
      </w:r>
      <w:r w:rsidR="0086133F">
        <w:rPr>
          <w:rFonts w:ascii="Times New Roman" w:hAnsi="Times New Roman"/>
          <w:sz w:val="28"/>
          <w:szCs w:val="28"/>
        </w:rPr>
        <w:t xml:space="preserve"> and t</w:t>
      </w:r>
      <w:r>
        <w:rPr>
          <w:rFonts w:ascii="Times New Roman" w:hAnsi="Times New Roman"/>
          <w:sz w:val="28"/>
          <w:szCs w:val="28"/>
        </w:rPr>
        <w:t>he application is incompetent</w:t>
      </w:r>
      <w:r w:rsidR="004F4A9B">
        <w:rPr>
          <w:rFonts w:ascii="Times New Roman" w:hAnsi="Times New Roman"/>
          <w:sz w:val="28"/>
          <w:szCs w:val="28"/>
        </w:rPr>
        <w:t>, and</w:t>
      </w:r>
      <w:r w:rsidR="00C7250C">
        <w:rPr>
          <w:rFonts w:ascii="Times New Roman" w:hAnsi="Times New Roman"/>
          <w:sz w:val="28"/>
          <w:szCs w:val="28"/>
        </w:rPr>
        <w:t xml:space="preserve"> it</w:t>
      </w:r>
      <w:r w:rsidR="0086133F">
        <w:rPr>
          <w:rFonts w:ascii="Times New Roman" w:hAnsi="Times New Roman"/>
          <w:sz w:val="28"/>
          <w:szCs w:val="28"/>
        </w:rPr>
        <w:t xml:space="preserve"> is</w:t>
      </w:r>
      <w:r w:rsidR="004F4A9B" w:rsidRPr="004F4A9B">
        <w:rPr>
          <w:rFonts w:ascii="Times New Roman" w:hAnsi="Times New Roman"/>
          <w:sz w:val="28"/>
          <w:szCs w:val="28"/>
        </w:rPr>
        <w:t xml:space="preserve"> </w:t>
      </w:r>
      <w:r w:rsidR="004F4A9B">
        <w:rPr>
          <w:rFonts w:ascii="Times New Roman" w:hAnsi="Times New Roman"/>
          <w:sz w:val="28"/>
          <w:szCs w:val="28"/>
        </w:rPr>
        <w:t>dismissed with costs</w:t>
      </w:r>
      <w:r>
        <w:rPr>
          <w:rFonts w:ascii="Times New Roman" w:hAnsi="Times New Roman"/>
          <w:sz w:val="28"/>
          <w:szCs w:val="28"/>
        </w:rPr>
        <w:t xml:space="preserve">.  </w:t>
      </w:r>
    </w:p>
    <w:p w:rsidR="00D87468" w:rsidRDefault="00D87468" w:rsidP="000A4273">
      <w:pPr>
        <w:spacing w:line="240" w:lineRule="auto"/>
        <w:jc w:val="center"/>
        <w:rPr>
          <w:rFonts w:ascii="Times New Roman" w:hAnsi="Times New Roman"/>
          <w:b/>
          <w:i/>
          <w:sz w:val="28"/>
          <w:szCs w:val="28"/>
        </w:rPr>
      </w:pPr>
    </w:p>
    <w:p w:rsidR="00D87468" w:rsidRDefault="00D87468" w:rsidP="000A4273">
      <w:pPr>
        <w:spacing w:line="240" w:lineRule="auto"/>
        <w:jc w:val="center"/>
        <w:rPr>
          <w:rFonts w:ascii="Times New Roman" w:hAnsi="Times New Roman"/>
          <w:b/>
          <w:i/>
          <w:sz w:val="28"/>
          <w:szCs w:val="28"/>
        </w:rPr>
      </w:pPr>
    </w:p>
    <w:p w:rsidR="000A4273" w:rsidRPr="00A2788D" w:rsidRDefault="000A4273" w:rsidP="000A4273">
      <w:pPr>
        <w:spacing w:line="240" w:lineRule="auto"/>
        <w:jc w:val="center"/>
        <w:rPr>
          <w:rFonts w:ascii="Times New Roman" w:hAnsi="Times New Roman"/>
          <w:b/>
          <w:i/>
          <w:sz w:val="28"/>
          <w:szCs w:val="28"/>
        </w:rPr>
      </w:pPr>
      <w:r w:rsidRPr="00A2788D">
        <w:rPr>
          <w:rFonts w:ascii="Times New Roman" w:hAnsi="Times New Roman"/>
          <w:b/>
          <w:i/>
          <w:sz w:val="28"/>
          <w:szCs w:val="28"/>
        </w:rPr>
        <w:t>BASHAIJA K. ANDREW</w:t>
      </w:r>
    </w:p>
    <w:p w:rsidR="000A4273" w:rsidRPr="00A2788D" w:rsidRDefault="000A4273" w:rsidP="000A4273">
      <w:pPr>
        <w:spacing w:line="240" w:lineRule="auto"/>
        <w:jc w:val="center"/>
        <w:rPr>
          <w:rFonts w:ascii="Times New Roman" w:hAnsi="Times New Roman"/>
          <w:b/>
          <w:i/>
          <w:sz w:val="28"/>
          <w:szCs w:val="28"/>
        </w:rPr>
      </w:pPr>
      <w:r w:rsidRPr="00A2788D">
        <w:rPr>
          <w:rFonts w:ascii="Times New Roman" w:hAnsi="Times New Roman"/>
          <w:b/>
          <w:i/>
          <w:sz w:val="28"/>
          <w:szCs w:val="28"/>
        </w:rPr>
        <w:t>JUDGE</w:t>
      </w:r>
    </w:p>
    <w:p w:rsidR="007C26FD" w:rsidRPr="004F0C5A" w:rsidRDefault="000A4273" w:rsidP="004E7B96">
      <w:pPr>
        <w:spacing w:line="240" w:lineRule="auto"/>
        <w:jc w:val="center"/>
        <w:rPr>
          <w:rFonts w:ascii="Times New Roman" w:hAnsi="Times New Roman"/>
          <w:sz w:val="28"/>
          <w:szCs w:val="28"/>
        </w:rPr>
      </w:pPr>
      <w:r>
        <w:rPr>
          <w:rFonts w:ascii="Times New Roman" w:hAnsi="Times New Roman"/>
          <w:b/>
          <w:i/>
          <w:sz w:val="28"/>
          <w:szCs w:val="28"/>
        </w:rPr>
        <w:t>12/02/2014</w:t>
      </w:r>
      <w:r w:rsidR="003F3424">
        <w:rPr>
          <w:rFonts w:ascii="Times New Roman" w:hAnsi="Times New Roman"/>
          <w:sz w:val="28"/>
          <w:szCs w:val="28"/>
        </w:rPr>
        <w:t xml:space="preserve"> </w:t>
      </w:r>
      <w:r w:rsidR="00A65FD9">
        <w:rPr>
          <w:rFonts w:ascii="Times New Roman" w:hAnsi="Times New Roman"/>
          <w:sz w:val="28"/>
          <w:szCs w:val="28"/>
        </w:rPr>
        <w:t xml:space="preserve">  </w:t>
      </w:r>
      <w:r w:rsidR="00551D89">
        <w:rPr>
          <w:rFonts w:ascii="Times New Roman" w:hAnsi="Times New Roman"/>
          <w:sz w:val="28"/>
          <w:szCs w:val="28"/>
        </w:rPr>
        <w:t xml:space="preserve"> </w:t>
      </w:r>
      <w:r w:rsidR="006975D0">
        <w:rPr>
          <w:rFonts w:ascii="Times New Roman" w:hAnsi="Times New Roman"/>
          <w:sz w:val="28"/>
          <w:szCs w:val="28"/>
        </w:rPr>
        <w:t xml:space="preserve"> </w:t>
      </w:r>
      <w:r w:rsidR="00863051">
        <w:rPr>
          <w:rFonts w:ascii="Times New Roman" w:hAnsi="Times New Roman"/>
          <w:sz w:val="28"/>
          <w:szCs w:val="28"/>
        </w:rPr>
        <w:t xml:space="preserve"> </w:t>
      </w:r>
      <w:r w:rsidR="00DD2642">
        <w:rPr>
          <w:rFonts w:ascii="Times New Roman" w:hAnsi="Times New Roman"/>
          <w:sz w:val="28"/>
          <w:szCs w:val="28"/>
        </w:rPr>
        <w:t xml:space="preserve"> </w:t>
      </w:r>
      <w:r w:rsidR="006B025D">
        <w:rPr>
          <w:rFonts w:ascii="Times New Roman" w:hAnsi="Times New Roman"/>
          <w:sz w:val="28"/>
          <w:szCs w:val="28"/>
        </w:rPr>
        <w:t xml:space="preserve">   </w:t>
      </w:r>
      <w:r w:rsidR="00E734F7">
        <w:rPr>
          <w:rFonts w:ascii="Times New Roman" w:hAnsi="Times New Roman"/>
          <w:sz w:val="28"/>
          <w:szCs w:val="28"/>
        </w:rPr>
        <w:t xml:space="preserve"> </w:t>
      </w:r>
      <w:r w:rsidR="004F0C5A" w:rsidRPr="004F0C5A">
        <w:rPr>
          <w:rFonts w:ascii="Times New Roman" w:hAnsi="Times New Roman"/>
          <w:sz w:val="28"/>
          <w:szCs w:val="28"/>
        </w:rPr>
        <w:t xml:space="preserve"> </w:t>
      </w:r>
      <w:r w:rsidR="00FC04F9" w:rsidRPr="004F0C5A">
        <w:rPr>
          <w:rFonts w:ascii="Times New Roman" w:hAnsi="Times New Roman"/>
          <w:sz w:val="28"/>
          <w:szCs w:val="28"/>
        </w:rPr>
        <w:t xml:space="preserve"> </w:t>
      </w:r>
      <w:r w:rsidR="000E3C8D" w:rsidRPr="004F0C5A">
        <w:rPr>
          <w:rFonts w:ascii="Times New Roman" w:hAnsi="Times New Roman"/>
          <w:sz w:val="28"/>
          <w:szCs w:val="28"/>
        </w:rPr>
        <w:t xml:space="preserve"> </w:t>
      </w:r>
    </w:p>
    <w:sectPr w:rsidR="007C26FD" w:rsidRPr="004F0C5A" w:rsidSect="00BC33C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F45" w:rsidRDefault="00A01F45" w:rsidP="001D778B">
      <w:pPr>
        <w:spacing w:after="0" w:line="240" w:lineRule="auto"/>
      </w:pPr>
      <w:r>
        <w:separator/>
      </w:r>
    </w:p>
  </w:endnote>
  <w:endnote w:type="continuationSeparator" w:id="1">
    <w:p w:rsidR="00A01F45" w:rsidRDefault="00A01F45" w:rsidP="001D7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532"/>
      <w:docPartObj>
        <w:docPartGallery w:val="Page Numbers (Bottom of Page)"/>
        <w:docPartUnique/>
      </w:docPartObj>
    </w:sdtPr>
    <w:sdtContent>
      <w:p w:rsidR="00A01F45" w:rsidRDefault="00044480">
        <w:pPr>
          <w:pStyle w:val="Footer"/>
          <w:jc w:val="center"/>
        </w:pPr>
        <w:fldSimple w:instr=" PAGE   \* MERGEFORMAT ">
          <w:r w:rsidR="008B1DD5">
            <w:rPr>
              <w:noProof/>
            </w:rPr>
            <w:t>5</w:t>
          </w:r>
        </w:fldSimple>
      </w:p>
    </w:sdtContent>
  </w:sdt>
  <w:p w:rsidR="00A01F45" w:rsidRDefault="00A01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F45" w:rsidRDefault="00A01F45" w:rsidP="001D778B">
      <w:pPr>
        <w:spacing w:after="0" w:line="240" w:lineRule="auto"/>
      </w:pPr>
      <w:r>
        <w:separator/>
      </w:r>
    </w:p>
  </w:footnote>
  <w:footnote w:type="continuationSeparator" w:id="1">
    <w:p w:rsidR="00A01F45" w:rsidRDefault="00A01F45" w:rsidP="001D7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B79"/>
    <w:multiLevelType w:val="hybridMultilevel"/>
    <w:tmpl w:val="7CD0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54A4F"/>
    <w:multiLevelType w:val="hybridMultilevel"/>
    <w:tmpl w:val="FB78B614"/>
    <w:lvl w:ilvl="0" w:tplc="0FB05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524F9"/>
    <w:multiLevelType w:val="hybridMultilevel"/>
    <w:tmpl w:val="02DAE034"/>
    <w:lvl w:ilvl="0" w:tplc="BD9CB58A">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31614"/>
    <w:multiLevelType w:val="hybridMultilevel"/>
    <w:tmpl w:val="11FA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footnotePr>
    <w:footnote w:id="0"/>
    <w:footnote w:id="1"/>
  </w:footnotePr>
  <w:endnotePr>
    <w:endnote w:id="0"/>
    <w:endnote w:id="1"/>
  </w:endnotePr>
  <w:compat/>
  <w:rsids>
    <w:rsidRoot w:val="007C50C3"/>
    <w:rsid w:val="00044480"/>
    <w:rsid w:val="00097995"/>
    <w:rsid w:val="000A4273"/>
    <w:rsid w:val="000E3C8D"/>
    <w:rsid w:val="0017116F"/>
    <w:rsid w:val="00196376"/>
    <w:rsid w:val="001D778B"/>
    <w:rsid w:val="002107B9"/>
    <w:rsid w:val="0036134A"/>
    <w:rsid w:val="003B781F"/>
    <w:rsid w:val="003C13CC"/>
    <w:rsid w:val="003F06C2"/>
    <w:rsid w:val="003F3424"/>
    <w:rsid w:val="004C460B"/>
    <w:rsid w:val="004E7B96"/>
    <w:rsid w:val="004E7F43"/>
    <w:rsid w:val="004F0C5A"/>
    <w:rsid w:val="004F4A9B"/>
    <w:rsid w:val="00541F69"/>
    <w:rsid w:val="00551D89"/>
    <w:rsid w:val="005E1E72"/>
    <w:rsid w:val="006622BF"/>
    <w:rsid w:val="006975D0"/>
    <w:rsid w:val="006A3FB8"/>
    <w:rsid w:val="006B025D"/>
    <w:rsid w:val="007C26FD"/>
    <w:rsid w:val="007C50C3"/>
    <w:rsid w:val="0086133F"/>
    <w:rsid w:val="00863051"/>
    <w:rsid w:val="00890479"/>
    <w:rsid w:val="008B1DD5"/>
    <w:rsid w:val="00904670"/>
    <w:rsid w:val="00922B02"/>
    <w:rsid w:val="009674F5"/>
    <w:rsid w:val="00991CA9"/>
    <w:rsid w:val="00996116"/>
    <w:rsid w:val="00A01F45"/>
    <w:rsid w:val="00A65FD9"/>
    <w:rsid w:val="00A87E48"/>
    <w:rsid w:val="00AE3AFC"/>
    <w:rsid w:val="00B056B8"/>
    <w:rsid w:val="00BA1511"/>
    <w:rsid w:val="00BA197F"/>
    <w:rsid w:val="00BC33CB"/>
    <w:rsid w:val="00BC39F7"/>
    <w:rsid w:val="00BE5ACC"/>
    <w:rsid w:val="00C7250C"/>
    <w:rsid w:val="00CA5505"/>
    <w:rsid w:val="00CA5A1E"/>
    <w:rsid w:val="00CF78E3"/>
    <w:rsid w:val="00D83256"/>
    <w:rsid w:val="00D87468"/>
    <w:rsid w:val="00DA5A1D"/>
    <w:rsid w:val="00DD166A"/>
    <w:rsid w:val="00DD2642"/>
    <w:rsid w:val="00DD4290"/>
    <w:rsid w:val="00E1056F"/>
    <w:rsid w:val="00E179F4"/>
    <w:rsid w:val="00E44561"/>
    <w:rsid w:val="00E734F7"/>
    <w:rsid w:val="00EB1A6A"/>
    <w:rsid w:val="00FC04F9"/>
    <w:rsid w:val="00FE7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C3"/>
    <w:pPr>
      <w:ind w:left="720"/>
      <w:contextualSpacing/>
    </w:pPr>
  </w:style>
  <w:style w:type="paragraph" w:styleId="Header">
    <w:name w:val="header"/>
    <w:basedOn w:val="Normal"/>
    <w:link w:val="HeaderChar"/>
    <w:uiPriority w:val="99"/>
    <w:semiHidden/>
    <w:unhideWhenUsed/>
    <w:rsid w:val="001D7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78B"/>
    <w:rPr>
      <w:rFonts w:ascii="Calibri" w:eastAsia="Calibri" w:hAnsi="Calibri" w:cs="Times New Roman"/>
    </w:rPr>
  </w:style>
  <w:style w:type="paragraph" w:styleId="Footer">
    <w:name w:val="footer"/>
    <w:basedOn w:val="Normal"/>
    <w:link w:val="FooterChar"/>
    <w:uiPriority w:val="99"/>
    <w:unhideWhenUsed/>
    <w:rsid w:val="001D7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8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97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B372-9A70-4EE2-AAB5-B392DB5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snambozo</cp:lastModifiedBy>
  <cp:revision>2</cp:revision>
  <dcterms:created xsi:type="dcterms:W3CDTF">2014-03-10T06:44:00Z</dcterms:created>
  <dcterms:modified xsi:type="dcterms:W3CDTF">2014-03-10T06:44:00Z</dcterms:modified>
</cp:coreProperties>
</file>