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8D" w:rsidRPr="000D2BD8" w:rsidRDefault="00974A8D" w:rsidP="00974A8D">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974A8D" w:rsidRPr="000D2BD8" w:rsidRDefault="00974A8D" w:rsidP="00974A8D">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974A8D" w:rsidRPr="000D2BD8" w:rsidRDefault="00974A8D" w:rsidP="00974A8D">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974A8D" w:rsidRPr="000D2BD8" w:rsidRDefault="00974A8D" w:rsidP="00974A8D">
      <w:pPr>
        <w:pStyle w:val="NoSpacing"/>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994 OF 2009</w:t>
      </w:r>
    </w:p>
    <w:p w:rsidR="00974A8D" w:rsidRPr="000D2BD8" w:rsidRDefault="00974A8D" w:rsidP="00974A8D">
      <w:pPr>
        <w:pStyle w:val="NoSpacing"/>
        <w:jc w:val="center"/>
        <w:rPr>
          <w:rFonts w:ascii="Times New Roman" w:hAnsi="Times New Roman"/>
          <w:b/>
          <w:sz w:val="24"/>
          <w:szCs w:val="24"/>
        </w:rPr>
      </w:pPr>
    </w:p>
    <w:p w:rsidR="00974A8D" w:rsidRPr="000D2BD8" w:rsidRDefault="00974A8D" w:rsidP="00974A8D">
      <w:pPr>
        <w:pStyle w:val="NoSpacing"/>
        <w:numPr>
          <w:ilvl w:val="0"/>
          <w:numId w:val="1"/>
        </w:numPr>
        <w:rPr>
          <w:rFonts w:ascii="Times New Roman" w:hAnsi="Times New Roman"/>
          <w:b/>
          <w:sz w:val="24"/>
          <w:szCs w:val="24"/>
        </w:rPr>
      </w:pPr>
      <w:r w:rsidRPr="000D2BD8">
        <w:rPr>
          <w:rFonts w:ascii="Times New Roman" w:hAnsi="Times New Roman"/>
          <w:b/>
          <w:sz w:val="24"/>
          <w:szCs w:val="24"/>
        </w:rPr>
        <w:t>HAJI HARUNA SEMAKULA</w:t>
      </w:r>
    </w:p>
    <w:p w:rsidR="00974A8D" w:rsidRPr="000D2BD8" w:rsidRDefault="00974A8D" w:rsidP="00974A8D">
      <w:pPr>
        <w:pStyle w:val="NoSpacing"/>
        <w:numPr>
          <w:ilvl w:val="0"/>
          <w:numId w:val="1"/>
        </w:numPr>
        <w:rPr>
          <w:rFonts w:ascii="Times New Roman" w:hAnsi="Times New Roman"/>
          <w:b/>
          <w:sz w:val="24"/>
          <w:szCs w:val="24"/>
        </w:rPr>
      </w:pPr>
      <w:r w:rsidRPr="000D2BD8">
        <w:rPr>
          <w:rFonts w:ascii="Times New Roman" w:hAnsi="Times New Roman"/>
          <w:b/>
          <w:sz w:val="24"/>
          <w:szCs w:val="24"/>
        </w:rPr>
        <w:t>GENERAL INDUS</w:t>
      </w:r>
      <w:r>
        <w:rPr>
          <w:rFonts w:ascii="Times New Roman" w:hAnsi="Times New Roman"/>
          <w:b/>
          <w:sz w:val="24"/>
          <w:szCs w:val="24"/>
        </w:rPr>
        <w:t>TRIES (U) LTD…………</w:t>
      </w:r>
      <w:r w:rsidRPr="000D2BD8">
        <w:rPr>
          <w:rFonts w:ascii="Times New Roman" w:hAnsi="Times New Roman"/>
          <w:b/>
          <w:sz w:val="24"/>
          <w:szCs w:val="24"/>
        </w:rPr>
        <w:t>………………………         PLAINTIFFS</w:t>
      </w:r>
    </w:p>
    <w:p w:rsidR="00974A8D" w:rsidRPr="000D2BD8" w:rsidRDefault="00974A8D" w:rsidP="00974A8D">
      <w:pPr>
        <w:ind w:left="720"/>
        <w:jc w:val="center"/>
        <w:rPr>
          <w:rFonts w:ascii="Times New Roman" w:hAnsi="Times New Roman"/>
          <w:b/>
          <w:sz w:val="24"/>
          <w:szCs w:val="24"/>
        </w:rPr>
      </w:pPr>
      <w:r w:rsidRPr="000D2BD8">
        <w:rPr>
          <w:rFonts w:ascii="Times New Roman" w:hAnsi="Times New Roman"/>
          <w:b/>
          <w:sz w:val="24"/>
          <w:szCs w:val="24"/>
        </w:rPr>
        <w:t>VERSUS</w:t>
      </w:r>
    </w:p>
    <w:p w:rsidR="00974A8D" w:rsidRPr="000D2BD8" w:rsidRDefault="00974A8D" w:rsidP="00974A8D">
      <w:pPr>
        <w:pStyle w:val="NoSpacing"/>
        <w:numPr>
          <w:ilvl w:val="0"/>
          <w:numId w:val="2"/>
        </w:numPr>
        <w:rPr>
          <w:rFonts w:ascii="Times New Roman" w:hAnsi="Times New Roman"/>
          <w:b/>
          <w:sz w:val="24"/>
          <w:szCs w:val="24"/>
        </w:rPr>
      </w:pPr>
      <w:r w:rsidRPr="000D2BD8">
        <w:rPr>
          <w:rFonts w:ascii="Times New Roman" w:hAnsi="Times New Roman"/>
          <w:b/>
          <w:sz w:val="24"/>
          <w:szCs w:val="24"/>
        </w:rPr>
        <w:t>DOTT SERVICES LTD</w:t>
      </w:r>
    </w:p>
    <w:p w:rsidR="00974A8D" w:rsidRPr="000D2BD8" w:rsidRDefault="00974A8D" w:rsidP="00974A8D">
      <w:pPr>
        <w:pStyle w:val="NoSpacing"/>
        <w:numPr>
          <w:ilvl w:val="0"/>
          <w:numId w:val="2"/>
        </w:numPr>
        <w:rPr>
          <w:rFonts w:ascii="Times New Roman" w:hAnsi="Times New Roman"/>
          <w:b/>
          <w:sz w:val="24"/>
          <w:szCs w:val="24"/>
        </w:rPr>
      </w:pPr>
      <w:r w:rsidRPr="000D2BD8">
        <w:rPr>
          <w:rFonts w:ascii="Times New Roman" w:hAnsi="Times New Roman"/>
          <w:b/>
          <w:sz w:val="24"/>
          <w:szCs w:val="24"/>
        </w:rPr>
        <w:t>VENUGOPAL</w:t>
      </w:r>
      <w:r>
        <w:rPr>
          <w:rFonts w:ascii="Times New Roman" w:hAnsi="Times New Roman"/>
          <w:b/>
          <w:sz w:val="24"/>
          <w:szCs w:val="24"/>
        </w:rPr>
        <w:t xml:space="preserve"> RAO……………………………………</w:t>
      </w:r>
      <w:r w:rsidRPr="000D2BD8">
        <w:rPr>
          <w:rFonts w:ascii="Times New Roman" w:hAnsi="Times New Roman"/>
          <w:b/>
          <w:sz w:val="24"/>
          <w:szCs w:val="24"/>
        </w:rPr>
        <w:t>………………  DEFENDANTS</w:t>
      </w:r>
    </w:p>
    <w:p w:rsidR="00974A8D" w:rsidRPr="000D2BD8" w:rsidRDefault="00974A8D" w:rsidP="00974A8D">
      <w:pPr>
        <w:pStyle w:val="ListParagraph"/>
        <w:spacing w:line="360" w:lineRule="auto"/>
        <w:ind w:left="360"/>
        <w:rPr>
          <w:rFonts w:ascii="Times New Roman" w:hAnsi="Times New Roman" w:cs="Times New Roman"/>
          <w:b/>
          <w:sz w:val="24"/>
          <w:szCs w:val="24"/>
          <w:u w:val="single"/>
        </w:rPr>
      </w:pPr>
    </w:p>
    <w:p w:rsidR="00974A8D" w:rsidRPr="000D2BD8" w:rsidRDefault="00974A8D" w:rsidP="00974A8D">
      <w:pPr>
        <w:pStyle w:val="ListParagraph"/>
        <w:spacing w:line="360" w:lineRule="auto"/>
        <w:ind w:left="360"/>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RULING</w:t>
      </w:r>
    </w:p>
    <w:p w:rsidR="00974A8D" w:rsidRPr="000D2BD8" w:rsidRDefault="00974A8D" w:rsidP="00974A8D">
      <w:pPr>
        <w:pStyle w:val="NoSpacing"/>
        <w:jc w:val="center"/>
        <w:rPr>
          <w:rFonts w:ascii="Times New Roman" w:hAnsi="Times New Roman"/>
          <w:b/>
          <w:sz w:val="24"/>
          <w:szCs w:val="24"/>
          <w:u w:val="single"/>
        </w:rPr>
      </w:pPr>
      <w:r w:rsidRPr="000D2BD8">
        <w:rPr>
          <w:rFonts w:ascii="Times New Roman" w:hAnsi="Times New Roman"/>
          <w:b/>
          <w:sz w:val="24"/>
          <w:szCs w:val="24"/>
          <w:u w:val="single"/>
        </w:rPr>
        <w:t>BEFORE LADY JUSTICE EVA K. LUSWATA</w:t>
      </w:r>
    </w:p>
    <w:p w:rsidR="00974A8D" w:rsidRPr="000D2BD8" w:rsidRDefault="00974A8D" w:rsidP="00974A8D">
      <w:pPr>
        <w:pStyle w:val="NoSpacing"/>
        <w:ind w:left="360"/>
        <w:jc w:val="center"/>
        <w:rPr>
          <w:rFonts w:ascii="Times New Roman" w:hAnsi="Times New Roman"/>
          <w:b/>
          <w:sz w:val="24"/>
          <w:szCs w:val="24"/>
        </w:rPr>
      </w:pP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When this suit came up for hearing on 20/3/2014 learned counsel for the defendant raised a preliminary objection to the effect that the plaint does not disclose a cause of action against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He argued that the facts in the plaint, do not disclose any liability against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and the prayers do not require of him any action in case the plaintiff succeeds. That the only prayer concerning him is prayer (b) requesting him to receive the deposit paid to the plaintiff.   He also submitted that from the attachments to the plaint and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no document is presented by the plaintiff to show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dealt with the plaintiff in his personal capacity and all averments in the plaint refer to him as the director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Therefore, whatever actions alleged, were on behalf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Counsel relied on the cases of </w:t>
      </w:r>
      <w:r w:rsidRPr="000D2BD8">
        <w:rPr>
          <w:rFonts w:ascii="Times New Roman" w:hAnsi="Times New Roman"/>
          <w:b/>
          <w:sz w:val="24"/>
          <w:szCs w:val="24"/>
        </w:rPr>
        <w:t xml:space="preserve">Auto Garage and Others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Motokov</w:t>
      </w:r>
      <w:proofErr w:type="spellEnd"/>
      <w:r w:rsidRPr="000D2BD8">
        <w:rPr>
          <w:rFonts w:ascii="Times New Roman" w:hAnsi="Times New Roman"/>
          <w:b/>
          <w:sz w:val="24"/>
          <w:szCs w:val="24"/>
        </w:rPr>
        <w:t xml:space="preserve"> (1971)1 EA 514 at 517 </w:t>
      </w:r>
      <w:r w:rsidRPr="000D2BD8">
        <w:rPr>
          <w:rFonts w:ascii="Times New Roman" w:hAnsi="Times New Roman"/>
          <w:sz w:val="24"/>
          <w:szCs w:val="24"/>
        </w:rPr>
        <w:t>and</w:t>
      </w:r>
      <w:r w:rsidRPr="000D2BD8">
        <w:rPr>
          <w:rFonts w:ascii="Times New Roman" w:hAnsi="Times New Roman"/>
          <w:b/>
          <w:sz w:val="24"/>
          <w:szCs w:val="24"/>
        </w:rPr>
        <w:t xml:space="preserve"> </w:t>
      </w:r>
      <w:proofErr w:type="spellStart"/>
      <w:r w:rsidRPr="000D2BD8">
        <w:rPr>
          <w:rFonts w:ascii="Times New Roman" w:hAnsi="Times New Roman"/>
          <w:b/>
          <w:sz w:val="24"/>
          <w:szCs w:val="24"/>
        </w:rPr>
        <w:t>Lukyamuzi</w:t>
      </w:r>
      <w:proofErr w:type="spellEnd"/>
      <w:r w:rsidRPr="000D2BD8">
        <w:rPr>
          <w:rFonts w:ascii="Times New Roman" w:hAnsi="Times New Roman"/>
          <w:b/>
          <w:sz w:val="24"/>
          <w:szCs w:val="24"/>
        </w:rPr>
        <w:t xml:space="preserve"> James Vs. </w:t>
      </w:r>
      <w:proofErr w:type="spellStart"/>
      <w:r w:rsidRPr="000D2BD8">
        <w:rPr>
          <w:rFonts w:ascii="Times New Roman" w:hAnsi="Times New Roman"/>
          <w:b/>
          <w:sz w:val="24"/>
          <w:szCs w:val="24"/>
        </w:rPr>
        <w:t>Akright</w:t>
      </w:r>
      <w:proofErr w:type="spellEnd"/>
      <w:r w:rsidRPr="000D2BD8">
        <w:rPr>
          <w:rFonts w:ascii="Times New Roman" w:hAnsi="Times New Roman"/>
          <w:b/>
          <w:sz w:val="24"/>
          <w:szCs w:val="24"/>
        </w:rPr>
        <w:t xml:space="preserve"> Projects &amp; </w:t>
      </w:r>
      <w:proofErr w:type="spellStart"/>
      <w:r w:rsidRPr="000D2BD8">
        <w:rPr>
          <w:rFonts w:ascii="Times New Roman" w:hAnsi="Times New Roman"/>
          <w:b/>
          <w:sz w:val="24"/>
          <w:szCs w:val="24"/>
        </w:rPr>
        <w:t>Anatoli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Kamugisha</w:t>
      </w:r>
      <w:proofErr w:type="spellEnd"/>
      <w:r w:rsidRPr="000D2BD8">
        <w:rPr>
          <w:rFonts w:ascii="Times New Roman" w:hAnsi="Times New Roman"/>
          <w:b/>
          <w:sz w:val="24"/>
          <w:szCs w:val="24"/>
        </w:rPr>
        <w:t xml:space="preserve"> HCCS No. 319 of 2002 </w:t>
      </w:r>
      <w:proofErr w:type="spellStart"/>
      <w:r w:rsidRPr="000D2BD8">
        <w:rPr>
          <w:rFonts w:ascii="Times New Roman" w:hAnsi="Times New Roman"/>
          <w:b/>
          <w:sz w:val="24"/>
          <w:szCs w:val="24"/>
        </w:rPr>
        <w:t>pg</w:t>
      </w:r>
      <w:proofErr w:type="spellEnd"/>
      <w:r w:rsidRPr="000D2BD8">
        <w:rPr>
          <w:rFonts w:ascii="Times New Roman" w:hAnsi="Times New Roman"/>
          <w:b/>
          <w:sz w:val="24"/>
          <w:szCs w:val="24"/>
        </w:rPr>
        <w:t xml:space="preserve"> 5 Para 3 &amp; 4</w:t>
      </w:r>
      <w:r w:rsidRPr="000D2BD8">
        <w:rPr>
          <w:rFonts w:ascii="Times New Roman" w:hAnsi="Times New Roman"/>
          <w:sz w:val="24"/>
          <w:szCs w:val="24"/>
        </w:rPr>
        <w:t>.</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In reply, counsel for the plaintiffs contended that the plaintiffs’ claim against the defendants jointly and/ or severally is for an order that the plaintiff be allowed to refund the monies received from the defendants which refund can be made by either of them because negotiations were between the plaintiff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That this is so, although the cash vouchers were made to appear as if the eventual beneficiary of the purchase of the suit land if concluded successfully, would be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That going by the pleading, there is nothing to show that any sale agreement was eventually concluded with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only to the exclusion of </w:t>
      </w:r>
      <w:r w:rsidRPr="000D2BD8">
        <w:rPr>
          <w:rFonts w:ascii="Times New Roman" w:hAnsi="Times New Roman"/>
          <w:sz w:val="24"/>
          <w:szCs w:val="24"/>
        </w:rPr>
        <w:lastRenderedPageBreak/>
        <w:t>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It was therefore proper for the plaintiffs to bring this action against the defendants in line with the provisions of </w:t>
      </w:r>
      <w:r w:rsidRPr="000D2BD8">
        <w:rPr>
          <w:rFonts w:ascii="Times New Roman" w:hAnsi="Times New Roman"/>
          <w:b/>
          <w:sz w:val="24"/>
          <w:szCs w:val="24"/>
        </w:rPr>
        <w:t>Order 1 rule 7 CPR</w:t>
      </w:r>
      <w:r w:rsidRPr="000D2BD8">
        <w:rPr>
          <w:rFonts w:ascii="Times New Roman" w:hAnsi="Times New Roman"/>
          <w:sz w:val="24"/>
          <w:szCs w:val="24"/>
        </w:rPr>
        <w:t>.</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 xml:space="preserve">Counsel for the plaintiff further submitted that in the case of </w:t>
      </w:r>
      <w:proofErr w:type="spellStart"/>
      <w:r w:rsidRPr="000D2BD8">
        <w:rPr>
          <w:rFonts w:ascii="Times New Roman" w:hAnsi="Times New Roman"/>
          <w:b/>
          <w:sz w:val="24"/>
          <w:szCs w:val="24"/>
        </w:rPr>
        <w:t>Lukyamuzi</w:t>
      </w:r>
      <w:proofErr w:type="spellEnd"/>
      <w:r w:rsidRPr="000D2BD8">
        <w:rPr>
          <w:rFonts w:ascii="Times New Roman" w:hAnsi="Times New Roman"/>
          <w:b/>
          <w:sz w:val="24"/>
          <w:szCs w:val="24"/>
        </w:rPr>
        <w:t xml:space="preserve"> James vs. </w:t>
      </w:r>
      <w:proofErr w:type="spellStart"/>
      <w:r w:rsidRPr="000D2BD8">
        <w:rPr>
          <w:rFonts w:ascii="Times New Roman" w:hAnsi="Times New Roman"/>
          <w:b/>
          <w:sz w:val="24"/>
          <w:szCs w:val="24"/>
        </w:rPr>
        <w:t>Akright</w:t>
      </w:r>
      <w:proofErr w:type="spellEnd"/>
      <w:r w:rsidRPr="000D2BD8">
        <w:rPr>
          <w:rFonts w:ascii="Times New Roman" w:hAnsi="Times New Roman"/>
          <w:b/>
          <w:sz w:val="24"/>
          <w:szCs w:val="24"/>
        </w:rPr>
        <w:t xml:space="preserve"> Projects &amp; </w:t>
      </w:r>
      <w:proofErr w:type="spellStart"/>
      <w:r w:rsidRPr="000D2BD8">
        <w:rPr>
          <w:rFonts w:ascii="Times New Roman" w:hAnsi="Times New Roman"/>
          <w:b/>
          <w:sz w:val="24"/>
          <w:szCs w:val="24"/>
        </w:rPr>
        <w:t>Anatoli</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Kamugisha</w:t>
      </w:r>
      <w:proofErr w:type="spellEnd"/>
      <w:r w:rsidRPr="000D2BD8">
        <w:rPr>
          <w:rFonts w:ascii="Times New Roman" w:hAnsi="Times New Roman"/>
          <w:b/>
          <w:sz w:val="24"/>
          <w:szCs w:val="24"/>
        </w:rPr>
        <w:t xml:space="preserve"> (supra) </w:t>
      </w:r>
      <w:r w:rsidRPr="000D2BD8">
        <w:rPr>
          <w:rFonts w:ascii="Times New Roman" w:hAnsi="Times New Roman"/>
          <w:sz w:val="24"/>
          <w:szCs w:val="24"/>
        </w:rPr>
        <w:t>that was relied on by counsel for the defendants, the court had to try the suit on its merits before determining the issue as to whether the plaintiff had a cause of action against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who was eventually struck off the plaint in the final judgment. There was an agreement of sale which had been executed and admitted in evidence which clearly related to the company and it had nothing to do with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That in the instant case, there is no agreement executed between the plaintiff and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and in any case,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in his personal capacity is privy to the negotiations that took place.</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Counsel for the defendant in rejoinder contended that</w:t>
      </w:r>
      <w:r w:rsidRPr="000D2BD8">
        <w:rPr>
          <w:rFonts w:ascii="Times New Roman" w:hAnsi="Times New Roman"/>
          <w:b/>
          <w:sz w:val="24"/>
          <w:szCs w:val="24"/>
        </w:rPr>
        <w:t xml:space="preserve"> Order 1 rule 7 CPR </w:t>
      </w:r>
      <w:r w:rsidRPr="000D2BD8">
        <w:rPr>
          <w:rFonts w:ascii="Times New Roman" w:hAnsi="Times New Roman"/>
          <w:sz w:val="24"/>
          <w:szCs w:val="24"/>
        </w:rPr>
        <w:t>quoted by the plaintiff is irrelevant because it only applies where the plaintiff is in doubt as to the persons from whom he is entitled to obtain redress. In this case before court, it is clear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is the party from which the plaintiffs can seek redress in the unlikely event that they win this suit.</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 xml:space="preserve">In the case of </w:t>
      </w:r>
      <w:r w:rsidRPr="000D2BD8">
        <w:rPr>
          <w:rFonts w:ascii="Times New Roman" w:hAnsi="Times New Roman"/>
          <w:b/>
          <w:sz w:val="24"/>
          <w:szCs w:val="24"/>
        </w:rPr>
        <w:t xml:space="preserve">Attorney General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Oluoch</w:t>
      </w:r>
      <w:proofErr w:type="spellEnd"/>
      <w:r w:rsidRPr="000D2BD8">
        <w:rPr>
          <w:rFonts w:ascii="Times New Roman" w:hAnsi="Times New Roman"/>
          <w:b/>
          <w:sz w:val="24"/>
          <w:szCs w:val="24"/>
        </w:rPr>
        <w:t xml:space="preserve"> (1972) EA 392 </w:t>
      </w:r>
      <w:r w:rsidRPr="000D2BD8">
        <w:rPr>
          <w:rFonts w:ascii="Times New Roman" w:hAnsi="Times New Roman"/>
          <w:sz w:val="24"/>
          <w:szCs w:val="24"/>
        </w:rPr>
        <w:t xml:space="preserve">it was held that the question of whether a plaint discloses a cause of action is determined upon perusal of the plaint and attachments thereto with an assumption that the facts pleaded or implied therein are true. It is trite law that a plaint which does not disclose a cause of action ought to be struck out or rejected. </w:t>
      </w:r>
      <w:r w:rsidRPr="000D2BD8">
        <w:rPr>
          <w:rFonts w:ascii="Times New Roman" w:hAnsi="Times New Roman"/>
          <w:b/>
          <w:sz w:val="24"/>
          <w:szCs w:val="24"/>
        </w:rPr>
        <w:t>Spry J</w:t>
      </w:r>
      <w:r w:rsidRPr="000D2BD8">
        <w:rPr>
          <w:rFonts w:ascii="Times New Roman" w:hAnsi="Times New Roman"/>
          <w:sz w:val="24"/>
          <w:szCs w:val="24"/>
        </w:rPr>
        <w:t xml:space="preserve"> in the case of </w:t>
      </w:r>
      <w:r w:rsidRPr="000D2BD8">
        <w:rPr>
          <w:rFonts w:ascii="Times New Roman" w:hAnsi="Times New Roman"/>
          <w:b/>
          <w:sz w:val="24"/>
          <w:szCs w:val="24"/>
        </w:rPr>
        <w:t xml:space="preserve">Auto Garage and Others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xml:space="preserve">. </w:t>
      </w:r>
      <w:proofErr w:type="spellStart"/>
      <w:r w:rsidRPr="000D2BD8">
        <w:rPr>
          <w:rFonts w:ascii="Times New Roman" w:hAnsi="Times New Roman"/>
          <w:b/>
          <w:sz w:val="24"/>
          <w:szCs w:val="24"/>
        </w:rPr>
        <w:t>Motokov</w:t>
      </w:r>
      <w:proofErr w:type="spellEnd"/>
      <w:r w:rsidRPr="000D2BD8">
        <w:rPr>
          <w:rFonts w:ascii="Times New Roman" w:hAnsi="Times New Roman"/>
          <w:b/>
          <w:sz w:val="24"/>
          <w:szCs w:val="24"/>
        </w:rPr>
        <w:t xml:space="preserve"> (supra</w:t>
      </w:r>
      <w:r w:rsidRPr="000D2BD8">
        <w:rPr>
          <w:rFonts w:ascii="Times New Roman" w:hAnsi="Times New Roman"/>
          <w:sz w:val="24"/>
          <w:szCs w:val="24"/>
        </w:rPr>
        <w:t>) held that a cause of action arises where a plaintiff enjoyed a right, that the right has been violated and that the defendant is liable.   The three are to be considered concurrently and if any of them is missing, the plaint would be struck out for not disclosing a cause of action.</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 xml:space="preserve">In the instant case, the plaintiff brought the main suit jointly and or severally against the defendants for an order by the court that the negotiations in respect of the suit property between the plaintiffs and defendants be terminated and that the defendants receive back the deposit made to the plaintiffs.   In paragraph 14 of the plaint, it was averred that the defendants in the course of the negotiations were making deposits to the plaintiffs in unreasonable installments.   This was evidenced by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“C” to the plaint which was a statement of various payments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However, nothing was pleaded in the plaint to show that the negotiations were between </w:t>
      </w:r>
      <w:r w:rsidRPr="000D2BD8">
        <w:rPr>
          <w:rFonts w:ascii="Times New Roman" w:hAnsi="Times New Roman"/>
          <w:sz w:val="24"/>
          <w:szCs w:val="24"/>
        </w:rPr>
        <w:lastRenderedPageBreak/>
        <w:t>the plaintiffs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or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dealt with the plaintiff in his personal capacity.  In fact according to </w:t>
      </w:r>
      <w:proofErr w:type="spellStart"/>
      <w:r w:rsidRPr="000D2BD8">
        <w:rPr>
          <w:rFonts w:ascii="Times New Roman" w:hAnsi="Times New Roman"/>
          <w:sz w:val="24"/>
          <w:szCs w:val="24"/>
        </w:rPr>
        <w:t>Annexture</w:t>
      </w:r>
      <w:proofErr w:type="spellEnd"/>
      <w:r w:rsidRPr="000D2BD8">
        <w:rPr>
          <w:rFonts w:ascii="Times New Roman" w:hAnsi="Times New Roman"/>
          <w:sz w:val="24"/>
          <w:szCs w:val="24"/>
        </w:rPr>
        <w:t xml:space="preserve"> A to the WSD, all the acknowledgments made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(one hundred in number) were stated to be from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only. </w:t>
      </w:r>
    </w:p>
    <w:p w:rsidR="00974A8D" w:rsidRPr="000D2BD8" w:rsidRDefault="00974A8D" w:rsidP="00974A8D">
      <w:pPr>
        <w:spacing w:line="360" w:lineRule="auto"/>
        <w:jc w:val="both"/>
        <w:rPr>
          <w:rFonts w:ascii="Times New Roman" w:hAnsi="Times New Roman"/>
          <w:b/>
          <w:sz w:val="24"/>
          <w:szCs w:val="24"/>
        </w:rPr>
      </w:pPr>
      <w:r w:rsidRPr="000D2BD8">
        <w:rPr>
          <w:rFonts w:ascii="Times New Roman" w:hAnsi="Times New Roman"/>
          <w:sz w:val="24"/>
          <w:szCs w:val="24"/>
        </w:rPr>
        <w:t xml:space="preserve"> In paragraph 3 of the plaint,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is described as, “a limited company incorporated and carrying out business in Uganda capable of suing and being sued on its behalf……….”    This fact is admitted in paragraph 2 of the WSD and counterclaim.  That being so,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is a body corporate and going by the principle laid down in the authority of </w:t>
      </w:r>
      <w:r w:rsidRPr="000D2BD8">
        <w:rPr>
          <w:rFonts w:ascii="Times New Roman" w:hAnsi="Times New Roman"/>
          <w:b/>
          <w:sz w:val="24"/>
          <w:szCs w:val="24"/>
        </w:rPr>
        <w:t xml:space="preserve">Salmon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Salmon (1897) AC 22</w:t>
      </w:r>
      <w:r w:rsidRPr="000D2BD8">
        <w:rPr>
          <w:rFonts w:ascii="Times New Roman" w:hAnsi="Times New Roman"/>
          <w:sz w:val="24"/>
          <w:szCs w:val="24"/>
        </w:rPr>
        <w: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enjoys corporate personality.  It is a legal person separate, and distinct from its directors, one of them being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As such,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is protected against claims agents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even where he acted on their behalf. This is because, although the company is a legal person, it can only act through </w:t>
      </w:r>
      <w:proofErr w:type="gramStart"/>
      <w:r w:rsidRPr="000D2BD8">
        <w:rPr>
          <w:rFonts w:ascii="Times New Roman" w:hAnsi="Times New Roman"/>
          <w:sz w:val="24"/>
          <w:szCs w:val="24"/>
        </w:rPr>
        <w:t>its against</w:t>
      </w:r>
      <w:proofErr w:type="gramEnd"/>
      <w:r w:rsidRPr="000D2BD8">
        <w:rPr>
          <w:rFonts w:ascii="Times New Roman" w:hAnsi="Times New Roman"/>
          <w:sz w:val="24"/>
          <w:szCs w:val="24"/>
        </w:rPr>
        <w:t>, who are principally its directors.   I therefore agree with counsel for the defendants that whatever actions alleged to have been done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were on behalf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 xml:space="preserve">The present case can to some extent be distinguished from the facts in </w:t>
      </w:r>
      <w:proofErr w:type="spellStart"/>
      <w:r w:rsidRPr="000D2BD8">
        <w:rPr>
          <w:rFonts w:ascii="Times New Roman" w:hAnsi="Times New Roman"/>
          <w:b/>
          <w:sz w:val="24"/>
          <w:szCs w:val="24"/>
        </w:rPr>
        <w:t>Lukyamuzi</w:t>
      </w:r>
      <w:proofErr w:type="spellEnd"/>
      <w:r w:rsidRPr="000D2BD8">
        <w:rPr>
          <w:rFonts w:ascii="Times New Roman" w:hAnsi="Times New Roman"/>
          <w:b/>
          <w:sz w:val="24"/>
          <w:szCs w:val="24"/>
        </w:rPr>
        <w:t xml:space="preserve"> James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Akright</w:t>
      </w:r>
      <w:proofErr w:type="spellEnd"/>
      <w:r w:rsidRPr="000D2BD8">
        <w:rPr>
          <w:rFonts w:ascii="Times New Roman" w:hAnsi="Times New Roman"/>
          <w:b/>
          <w:sz w:val="24"/>
          <w:szCs w:val="24"/>
        </w:rPr>
        <w:t xml:space="preserve"> Projects Ltd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(supra)</w:t>
      </w:r>
      <w:r w:rsidRPr="000D2BD8">
        <w:rPr>
          <w:rFonts w:ascii="Times New Roman" w:hAnsi="Times New Roman"/>
          <w:sz w:val="24"/>
          <w:szCs w:val="24"/>
        </w:rPr>
        <w:t>.  In the latter case, the Judge opted to reserve her decision (on whether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as director could be sued on a contract), until after she had received all the evidence.  She gave a reason for this when at page 4 of her judgment; she stated that there was no evidence at that stage to assist her in reaching a decision on that point.  The circumstances of this case are different.  Evidence was adduced to show that all payments for the alleged transactions were made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not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The fact that the 2</w:t>
      </w:r>
      <w:r w:rsidRPr="000D2BD8">
        <w:rPr>
          <w:rFonts w:ascii="Times New Roman" w:hAnsi="Times New Roman"/>
          <w:sz w:val="24"/>
          <w:szCs w:val="24"/>
          <w:vertAlign w:val="superscript"/>
        </w:rPr>
        <w:t>nd</w:t>
      </w:r>
      <w:r w:rsidRPr="000D2BD8">
        <w:rPr>
          <w:rFonts w:ascii="Times New Roman" w:hAnsi="Times New Roman"/>
          <w:sz w:val="24"/>
          <w:szCs w:val="24"/>
        </w:rPr>
        <w:t>defendant was involved in the negotiations is irrelevant, as I have already found that he was only acting as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agent.  His participation in the negotiations cannot heighten, reduce or eliminate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liability, which the plaintiffs indeed, still have to prove. </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In summary the plaintiffs have no cause of action against the 2</w:t>
      </w:r>
      <w:r w:rsidRPr="000D2BD8">
        <w:rPr>
          <w:rFonts w:ascii="Times New Roman" w:hAnsi="Times New Roman"/>
          <w:sz w:val="24"/>
          <w:szCs w:val="24"/>
          <w:vertAlign w:val="superscript"/>
        </w:rPr>
        <w:t>nd</w:t>
      </w:r>
      <w:r w:rsidRPr="000D2BD8">
        <w:rPr>
          <w:rFonts w:ascii="Times New Roman" w:hAnsi="Times New Roman"/>
          <w:sz w:val="24"/>
          <w:szCs w:val="24"/>
        </w:rPr>
        <w:t>defendant, and I therefore find merit in the objection.  The suit against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defendant is accordingly dismissed with costs and he is discharged from and struck off the pleadings forthwith. </w:t>
      </w:r>
    </w:p>
    <w:p w:rsidR="00974A8D" w:rsidRPr="000D2BD8" w:rsidRDefault="00974A8D" w:rsidP="00974A8D">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974A8D" w:rsidRPr="000D2BD8" w:rsidRDefault="00974A8D" w:rsidP="00974A8D">
      <w:pPr>
        <w:pStyle w:val="NoSpacing"/>
        <w:rPr>
          <w:rFonts w:ascii="Times New Roman" w:hAnsi="Times New Roman"/>
          <w:b/>
          <w:sz w:val="24"/>
          <w:szCs w:val="24"/>
        </w:rPr>
      </w:pPr>
      <w:r w:rsidRPr="000D2BD8">
        <w:rPr>
          <w:rFonts w:ascii="Times New Roman" w:hAnsi="Times New Roman"/>
          <w:b/>
          <w:sz w:val="24"/>
          <w:szCs w:val="24"/>
        </w:rPr>
        <w:t>EVA K. LUSWATA</w:t>
      </w:r>
    </w:p>
    <w:p w:rsidR="00974A8D" w:rsidRPr="000D2BD8" w:rsidRDefault="00974A8D" w:rsidP="00974A8D">
      <w:pPr>
        <w:pStyle w:val="NoSpacing"/>
        <w:rPr>
          <w:rFonts w:ascii="Times New Roman" w:hAnsi="Times New Roman"/>
          <w:b/>
          <w:sz w:val="24"/>
          <w:szCs w:val="24"/>
        </w:rPr>
      </w:pPr>
      <w:r w:rsidRPr="000D2BD8">
        <w:rPr>
          <w:rFonts w:ascii="Times New Roman" w:hAnsi="Times New Roman"/>
          <w:b/>
          <w:sz w:val="24"/>
          <w:szCs w:val="24"/>
        </w:rPr>
        <w:lastRenderedPageBreak/>
        <w:t>JUDGE</w:t>
      </w:r>
    </w:p>
    <w:p w:rsidR="00974A8D" w:rsidRPr="000D2BD8" w:rsidRDefault="00974A8D" w:rsidP="00974A8D">
      <w:pPr>
        <w:spacing w:line="360" w:lineRule="auto"/>
        <w:jc w:val="both"/>
        <w:rPr>
          <w:rFonts w:ascii="Times New Roman" w:hAnsi="Times New Roman"/>
          <w:b/>
          <w:sz w:val="24"/>
          <w:szCs w:val="24"/>
        </w:rPr>
      </w:pPr>
      <w:r w:rsidRPr="000D2BD8">
        <w:rPr>
          <w:rFonts w:ascii="Times New Roman" w:hAnsi="Times New Roman"/>
          <w:b/>
          <w:sz w:val="24"/>
          <w:szCs w:val="24"/>
        </w:rPr>
        <w:t>10</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October 2014</w:t>
      </w:r>
    </w:p>
    <w:p w:rsidR="00974A8D" w:rsidRPr="000D2BD8" w:rsidRDefault="00974A8D" w:rsidP="00974A8D">
      <w:pPr>
        <w:spacing w:line="360" w:lineRule="auto"/>
        <w:jc w:val="both"/>
        <w:rPr>
          <w:rFonts w:ascii="Times New Roman" w:hAnsi="Times New Roman"/>
          <w:sz w:val="24"/>
          <w:szCs w:val="24"/>
        </w:rPr>
      </w:pPr>
    </w:p>
    <w:p w:rsidR="00974A8D" w:rsidRPr="000D2BD8" w:rsidRDefault="00974A8D" w:rsidP="00974A8D">
      <w:pPr>
        <w:spacing w:line="360" w:lineRule="auto"/>
        <w:jc w:val="both"/>
        <w:rPr>
          <w:rFonts w:ascii="Times New Roman" w:hAnsi="Times New Roman"/>
          <w:sz w:val="24"/>
          <w:szCs w:val="24"/>
        </w:rPr>
      </w:pPr>
    </w:p>
    <w:p w:rsidR="00974A8D" w:rsidRPr="000D2BD8" w:rsidRDefault="00974A8D" w:rsidP="00974A8D">
      <w:pPr>
        <w:spacing w:line="360" w:lineRule="auto"/>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74A8D" w:rsidRPr="000D2BD8" w:rsidRDefault="00974A8D" w:rsidP="00974A8D">
      <w:pPr>
        <w:jc w:val="both"/>
        <w:rPr>
          <w:rFonts w:ascii="Times New Roman" w:hAnsi="Times New Roman"/>
          <w:sz w:val="24"/>
          <w:szCs w:val="24"/>
        </w:rPr>
      </w:pP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624F3"/>
    <w:multiLevelType w:val="hybridMultilevel"/>
    <w:tmpl w:val="6638F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8F58B6"/>
    <w:multiLevelType w:val="hybridMultilevel"/>
    <w:tmpl w:val="14905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8D"/>
    <w:rsid w:val="00974A8D"/>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A8D"/>
    <w:pPr>
      <w:spacing w:after="0" w:line="240" w:lineRule="auto"/>
    </w:pPr>
    <w:rPr>
      <w:rFonts w:ascii="Calibri" w:eastAsia="Calibri" w:hAnsi="Calibri" w:cs="Times New Roman"/>
    </w:rPr>
  </w:style>
  <w:style w:type="paragraph" w:styleId="ListParagraph">
    <w:name w:val="List Paragraph"/>
    <w:basedOn w:val="Normal"/>
    <w:uiPriority w:val="34"/>
    <w:qFormat/>
    <w:rsid w:val="00974A8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A8D"/>
    <w:pPr>
      <w:spacing w:after="0" w:line="240" w:lineRule="auto"/>
    </w:pPr>
    <w:rPr>
      <w:rFonts w:ascii="Calibri" w:eastAsia="Calibri" w:hAnsi="Calibri" w:cs="Times New Roman"/>
    </w:rPr>
  </w:style>
  <w:style w:type="paragraph" w:styleId="ListParagraph">
    <w:name w:val="List Paragraph"/>
    <w:basedOn w:val="Normal"/>
    <w:uiPriority w:val="34"/>
    <w:qFormat/>
    <w:rsid w:val="00974A8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2017-02-01T08:28:00Z</dcterms:created>
  <dcterms:modified xsi:type="dcterms:W3CDTF">2017-02-01T08:29:00Z</dcterms:modified>
</cp:coreProperties>
</file>