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1E" w:rsidRPr="00D24334" w:rsidRDefault="001D361E" w:rsidP="001D361E">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1D361E" w:rsidRPr="00D24334" w:rsidRDefault="001D361E" w:rsidP="001D361E">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1D361E" w:rsidRPr="00D24334" w:rsidRDefault="001D361E" w:rsidP="001D361E">
      <w:pPr>
        <w:pStyle w:val="NoSpacing"/>
        <w:jc w:val="center"/>
        <w:rPr>
          <w:rFonts w:ascii="Times New Roman" w:hAnsi="Times New Roman"/>
          <w:sz w:val="24"/>
          <w:szCs w:val="24"/>
        </w:rPr>
      </w:pPr>
      <w:r w:rsidRPr="00D24334">
        <w:rPr>
          <w:rFonts w:ascii="Times New Roman" w:hAnsi="Times New Roman"/>
          <w:b/>
          <w:sz w:val="24"/>
          <w:szCs w:val="24"/>
        </w:rPr>
        <w:t>(LAND DIVISION</w:t>
      </w:r>
      <w:r w:rsidRPr="00D24334">
        <w:rPr>
          <w:rFonts w:ascii="Times New Roman" w:hAnsi="Times New Roman"/>
          <w:sz w:val="24"/>
          <w:szCs w:val="24"/>
        </w:rPr>
        <w:t>)</w:t>
      </w:r>
    </w:p>
    <w:p w:rsidR="001D361E" w:rsidRPr="00D24334" w:rsidRDefault="001D361E" w:rsidP="001D361E">
      <w:pPr>
        <w:jc w:val="center"/>
        <w:rPr>
          <w:rFonts w:ascii="Times New Roman" w:hAnsi="Times New Roman"/>
          <w:b/>
          <w:sz w:val="24"/>
          <w:szCs w:val="24"/>
        </w:rPr>
      </w:pPr>
      <w:proofErr w:type="gramStart"/>
      <w:r w:rsidRPr="00D24334">
        <w:rPr>
          <w:rFonts w:ascii="Times New Roman" w:hAnsi="Times New Roman"/>
          <w:b/>
          <w:sz w:val="24"/>
          <w:szCs w:val="24"/>
        </w:rPr>
        <w:t>MISC APPLICATION NO.</w:t>
      </w:r>
      <w:proofErr w:type="gramEnd"/>
      <w:r w:rsidRPr="00D24334">
        <w:rPr>
          <w:rFonts w:ascii="Times New Roman" w:hAnsi="Times New Roman"/>
          <w:b/>
          <w:sz w:val="24"/>
          <w:szCs w:val="24"/>
        </w:rPr>
        <w:t xml:space="preserve"> 181 OF 2009</w:t>
      </w:r>
    </w:p>
    <w:p w:rsidR="001D361E" w:rsidRPr="00D24334" w:rsidRDefault="001D361E" w:rsidP="001D361E">
      <w:pPr>
        <w:jc w:val="center"/>
        <w:rPr>
          <w:rFonts w:ascii="Times New Roman" w:hAnsi="Times New Roman"/>
          <w:b/>
          <w:sz w:val="24"/>
          <w:szCs w:val="24"/>
        </w:rPr>
      </w:pPr>
      <w:r w:rsidRPr="00D24334">
        <w:rPr>
          <w:rFonts w:ascii="Times New Roman" w:hAnsi="Times New Roman"/>
          <w:b/>
          <w:sz w:val="24"/>
          <w:szCs w:val="24"/>
        </w:rPr>
        <w:t>(ARISING OUT OF CIVIL SUIT NO. 533 OF 2013)</w:t>
      </w:r>
    </w:p>
    <w:p w:rsidR="001D361E" w:rsidRPr="00D24334" w:rsidRDefault="001D361E" w:rsidP="001D361E">
      <w:pPr>
        <w:rPr>
          <w:rFonts w:ascii="Times New Roman" w:hAnsi="Times New Roman"/>
          <w:b/>
          <w:sz w:val="24"/>
          <w:szCs w:val="24"/>
        </w:rPr>
      </w:pPr>
      <w:r w:rsidRPr="00D24334">
        <w:rPr>
          <w:rFonts w:ascii="Times New Roman" w:hAnsi="Times New Roman"/>
          <w:b/>
          <w:sz w:val="24"/>
          <w:szCs w:val="24"/>
        </w:rPr>
        <w:t>NANJOBE DAMALIE</w:t>
      </w:r>
      <w:r>
        <w:rPr>
          <w:rFonts w:ascii="Times New Roman" w:hAnsi="Times New Roman"/>
          <w:b/>
          <w:sz w:val="24"/>
          <w:szCs w:val="24"/>
        </w:rPr>
        <w:t>………………………</w:t>
      </w:r>
      <w:r w:rsidRPr="00D24334">
        <w:rPr>
          <w:rFonts w:ascii="Times New Roman" w:hAnsi="Times New Roman"/>
          <w:b/>
          <w:sz w:val="24"/>
          <w:szCs w:val="24"/>
        </w:rPr>
        <w:t>……………………</w:t>
      </w:r>
      <w:r>
        <w:rPr>
          <w:rFonts w:ascii="Times New Roman" w:hAnsi="Times New Roman"/>
          <w:b/>
          <w:sz w:val="24"/>
          <w:szCs w:val="24"/>
        </w:rPr>
        <w:t>…</w:t>
      </w:r>
      <w:r w:rsidRPr="00D24334">
        <w:rPr>
          <w:rFonts w:ascii="Times New Roman" w:hAnsi="Times New Roman"/>
          <w:b/>
          <w:sz w:val="24"/>
          <w:szCs w:val="24"/>
        </w:rPr>
        <w:t>……….APPLICANT</w:t>
      </w:r>
    </w:p>
    <w:p w:rsidR="001D361E" w:rsidRPr="00D24334" w:rsidRDefault="001D361E" w:rsidP="001D361E">
      <w:pPr>
        <w:jc w:val="center"/>
        <w:rPr>
          <w:rFonts w:ascii="Times New Roman" w:hAnsi="Times New Roman"/>
          <w:b/>
          <w:sz w:val="24"/>
          <w:szCs w:val="24"/>
        </w:rPr>
      </w:pPr>
      <w:r w:rsidRPr="00D24334">
        <w:rPr>
          <w:rFonts w:ascii="Times New Roman" w:hAnsi="Times New Roman"/>
          <w:b/>
          <w:sz w:val="24"/>
          <w:szCs w:val="24"/>
        </w:rPr>
        <w:t>VERSUS</w:t>
      </w:r>
    </w:p>
    <w:p w:rsidR="001D361E" w:rsidRPr="00D24334" w:rsidRDefault="001D361E" w:rsidP="001D361E">
      <w:pPr>
        <w:pStyle w:val="ListParagraph"/>
        <w:numPr>
          <w:ilvl w:val="0"/>
          <w:numId w:val="2"/>
        </w:numPr>
        <w:rPr>
          <w:rFonts w:ascii="Times New Roman" w:hAnsi="Times New Roman" w:cs="Times New Roman"/>
          <w:b/>
          <w:sz w:val="24"/>
          <w:szCs w:val="24"/>
        </w:rPr>
      </w:pPr>
      <w:r w:rsidRPr="00D24334">
        <w:rPr>
          <w:rFonts w:ascii="Times New Roman" w:hAnsi="Times New Roman" w:cs="Times New Roman"/>
          <w:b/>
          <w:noProof/>
          <w:sz w:val="24"/>
          <w:szCs w:val="24"/>
        </w:rPr>
        <w:t>MUGISHA FRANK</w:t>
      </w:r>
    </w:p>
    <w:p w:rsidR="001D361E" w:rsidRPr="00D24334" w:rsidRDefault="001D361E" w:rsidP="001D361E">
      <w:pPr>
        <w:pStyle w:val="ListParagraph"/>
        <w:numPr>
          <w:ilvl w:val="0"/>
          <w:numId w:val="2"/>
        </w:numPr>
        <w:rPr>
          <w:rFonts w:ascii="Times New Roman" w:hAnsi="Times New Roman" w:cs="Times New Roman"/>
          <w:b/>
          <w:sz w:val="24"/>
          <w:szCs w:val="24"/>
        </w:rPr>
      </w:pPr>
      <w:r w:rsidRPr="00D24334">
        <w:rPr>
          <w:rFonts w:ascii="Times New Roman" w:hAnsi="Times New Roman" w:cs="Times New Roman"/>
          <w:b/>
          <w:sz w:val="24"/>
          <w:szCs w:val="24"/>
        </w:rPr>
        <w:t>TUKUNDANE FRANCIS………</w:t>
      </w:r>
      <w:r>
        <w:rPr>
          <w:rFonts w:ascii="Times New Roman" w:hAnsi="Times New Roman" w:cs="Times New Roman"/>
          <w:b/>
          <w:sz w:val="24"/>
          <w:szCs w:val="24"/>
        </w:rPr>
        <w:t>…………………………………</w:t>
      </w:r>
      <w:r w:rsidRPr="00D24334">
        <w:rPr>
          <w:rFonts w:ascii="Times New Roman" w:hAnsi="Times New Roman" w:cs="Times New Roman"/>
          <w:b/>
          <w:sz w:val="24"/>
          <w:szCs w:val="24"/>
        </w:rPr>
        <w:t>…..RESPONDENTS</w:t>
      </w:r>
    </w:p>
    <w:p w:rsidR="001D361E" w:rsidRPr="00D24334" w:rsidRDefault="001D361E" w:rsidP="001D361E">
      <w:pPr>
        <w:pStyle w:val="ListParagraph"/>
        <w:rPr>
          <w:rFonts w:ascii="Times New Roman" w:hAnsi="Times New Roman" w:cs="Times New Roman"/>
          <w:b/>
          <w:sz w:val="24"/>
          <w:szCs w:val="24"/>
        </w:rPr>
      </w:pPr>
    </w:p>
    <w:p w:rsidR="001D361E" w:rsidRPr="00D24334" w:rsidRDefault="001D361E" w:rsidP="001D361E">
      <w:pPr>
        <w:pStyle w:val="ListParagraph"/>
        <w:jc w:val="center"/>
        <w:rPr>
          <w:rFonts w:ascii="Times New Roman" w:hAnsi="Times New Roman" w:cs="Times New Roman"/>
          <w:b/>
          <w:sz w:val="24"/>
          <w:szCs w:val="24"/>
        </w:rPr>
      </w:pPr>
    </w:p>
    <w:p w:rsidR="001D361E" w:rsidRPr="00D24334" w:rsidRDefault="001D361E" w:rsidP="001D361E">
      <w:pPr>
        <w:pStyle w:val="ListParagraph"/>
        <w:spacing w:line="360" w:lineRule="auto"/>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1D361E" w:rsidRPr="00D24334" w:rsidRDefault="001D361E" w:rsidP="001D361E">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1D361E" w:rsidRPr="00D24334" w:rsidRDefault="001D361E" w:rsidP="001D361E">
      <w:pPr>
        <w:spacing w:line="360" w:lineRule="auto"/>
        <w:jc w:val="both"/>
        <w:rPr>
          <w:rFonts w:ascii="Times New Roman" w:hAnsi="Times New Roman"/>
          <w:sz w:val="24"/>
          <w:szCs w:val="24"/>
        </w:rPr>
      </w:pPr>
      <w:r w:rsidRPr="00D24334">
        <w:rPr>
          <w:rFonts w:ascii="Times New Roman" w:hAnsi="Times New Roman"/>
          <w:sz w:val="24"/>
          <w:szCs w:val="24"/>
        </w:rPr>
        <w:t xml:space="preserve">This application for an injunction was presented by Dominica </w:t>
      </w:r>
      <w:proofErr w:type="spellStart"/>
      <w:r w:rsidRPr="00D24334">
        <w:rPr>
          <w:rFonts w:ascii="Times New Roman" w:hAnsi="Times New Roman"/>
          <w:sz w:val="24"/>
          <w:szCs w:val="24"/>
        </w:rPr>
        <w:t>Emiru</w:t>
      </w:r>
      <w:proofErr w:type="spellEnd"/>
      <w:r w:rsidRPr="00D24334">
        <w:rPr>
          <w:rFonts w:ascii="Times New Roman" w:hAnsi="Times New Roman"/>
          <w:sz w:val="24"/>
          <w:szCs w:val="24"/>
        </w:rPr>
        <w:t xml:space="preserve"> who proceeded by written submissions.  Therein the applicant seeks a temporary injunction restraining the respondents from dealing in the land comprised in Block 280 Plot 64 and all titles that arise out of its subsequent subdivisions.  The application is supported by the affidavit of the applicant.  </w:t>
      </w:r>
    </w:p>
    <w:p w:rsidR="001D361E" w:rsidRPr="00D24334" w:rsidRDefault="001D361E" w:rsidP="001D361E">
      <w:pPr>
        <w:spacing w:line="360" w:lineRule="auto"/>
        <w:jc w:val="both"/>
        <w:rPr>
          <w:rFonts w:ascii="Times New Roman" w:hAnsi="Times New Roman"/>
          <w:sz w:val="24"/>
          <w:szCs w:val="24"/>
        </w:rPr>
      </w:pPr>
      <w:r w:rsidRPr="00D24334">
        <w:rPr>
          <w:rFonts w:ascii="Times New Roman" w:hAnsi="Times New Roman"/>
          <w:sz w:val="24"/>
          <w:szCs w:val="24"/>
        </w:rPr>
        <w:t xml:space="preserve"> The brief facts are that the applicant was at one time the registered proprietor of land comprised  in Block 280 Plot 64 at </w:t>
      </w:r>
      <w:proofErr w:type="spellStart"/>
      <w:r w:rsidRPr="00D24334">
        <w:rPr>
          <w:rFonts w:ascii="Times New Roman" w:hAnsi="Times New Roman"/>
          <w:sz w:val="24"/>
          <w:szCs w:val="24"/>
        </w:rPr>
        <w:t>Kawoko</w:t>
      </w:r>
      <w:proofErr w:type="spellEnd"/>
      <w:r w:rsidRPr="00D24334">
        <w:rPr>
          <w:rFonts w:ascii="Times New Roman" w:hAnsi="Times New Roman"/>
          <w:sz w:val="24"/>
          <w:szCs w:val="24"/>
        </w:rPr>
        <w:t xml:space="preserve"> (hereinafter referred  and as the suit land).  But sometimes during 2008 she realized that her title had been stolen and she reported the matter to police, a result of which two people were arrested and charged for their offence.  That subsequently she confirmed that the defendants had purchased their interest in the suit land from those who had been convicted of stealing the title.  That the defendants on realizing their mistakes, on 28/10/08 agreed to buy the suit land from her and settle the squatters thereon and in return she relinquish all her interest in the suit land and absolve the defendants of all criminal impropriety in acquiring the land.   the agreement of which was reduced into writing that despite the undertaking the defendants only made partial payment towards the agreement and then embarked on alienating the suit land by making subdivisions and selling part of it.  She therefore seeks an injunctive order against the acts of the defendants until disposal of the main suit. </w:t>
      </w:r>
    </w:p>
    <w:p w:rsidR="001D361E" w:rsidRPr="00D24334" w:rsidRDefault="001D361E" w:rsidP="001D361E">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The respondents did not file any affidavit in reply or submissions even after they sought land were granted more time to do so.  </w:t>
      </w:r>
    </w:p>
    <w:p w:rsidR="001D361E" w:rsidRPr="00D24334" w:rsidRDefault="001D361E" w:rsidP="001D361E">
      <w:pPr>
        <w:spacing w:line="360" w:lineRule="auto"/>
        <w:jc w:val="both"/>
        <w:rPr>
          <w:rFonts w:ascii="Times New Roman" w:hAnsi="Times New Roman"/>
          <w:sz w:val="24"/>
          <w:szCs w:val="24"/>
        </w:rPr>
      </w:pPr>
      <w:r w:rsidRPr="00D24334">
        <w:rPr>
          <w:rFonts w:ascii="Times New Roman" w:hAnsi="Times New Roman"/>
          <w:sz w:val="24"/>
          <w:szCs w:val="24"/>
        </w:rPr>
        <w:t xml:space="preserve">The law on temporary injunctions is contained in </w:t>
      </w:r>
      <w:r w:rsidRPr="00D24334">
        <w:rPr>
          <w:rFonts w:ascii="Times New Roman" w:hAnsi="Times New Roman"/>
          <w:b/>
          <w:sz w:val="24"/>
          <w:szCs w:val="24"/>
        </w:rPr>
        <w:t xml:space="preserve">Order 41 rules 1(a) </w:t>
      </w:r>
      <w:r w:rsidRPr="00D24334">
        <w:rPr>
          <w:rFonts w:ascii="Times New Roman" w:hAnsi="Times New Roman"/>
          <w:sz w:val="24"/>
          <w:szCs w:val="24"/>
        </w:rPr>
        <w:t>of the</w:t>
      </w:r>
      <w:r w:rsidRPr="00D24334">
        <w:rPr>
          <w:rFonts w:ascii="Times New Roman" w:hAnsi="Times New Roman"/>
          <w:b/>
          <w:sz w:val="24"/>
          <w:szCs w:val="24"/>
        </w:rPr>
        <w:t xml:space="preserve"> Civil Procedure Rules</w:t>
      </w:r>
      <w:r w:rsidRPr="00D24334">
        <w:rPr>
          <w:rFonts w:ascii="Times New Roman" w:hAnsi="Times New Roman"/>
          <w:sz w:val="24"/>
          <w:szCs w:val="24"/>
        </w:rPr>
        <w:t xml:space="preserve">.  The principles to be followed before granting a temporary injunction a well settled and quite well articulated in the submissions of counsel.  </w:t>
      </w:r>
    </w:p>
    <w:p w:rsidR="001D361E" w:rsidRPr="00D24334" w:rsidRDefault="001D361E" w:rsidP="001D361E">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It is now settled law that when court is considering the application for a temporary injunction it must bear in mind that its purpose is to preserve the status quo in respect of the matter in dispute until determination of the whole dispute: See for example </w:t>
      </w:r>
      <w:r w:rsidRPr="00D24334">
        <w:rPr>
          <w:rFonts w:ascii="Times New Roman" w:hAnsi="Times New Roman" w:cs="Times New Roman"/>
          <w:b/>
          <w:sz w:val="24"/>
          <w:szCs w:val="24"/>
        </w:rPr>
        <w:t xml:space="preserve">E.L.T. </w:t>
      </w:r>
      <w:proofErr w:type="spellStart"/>
      <w:r w:rsidRPr="00D24334">
        <w:rPr>
          <w:rFonts w:ascii="Times New Roman" w:hAnsi="Times New Roman" w:cs="Times New Roman"/>
          <w:b/>
          <w:sz w:val="24"/>
          <w:szCs w:val="24"/>
        </w:rPr>
        <w:t>Kiyimba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Kaggwa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Haji A.N,. </w:t>
      </w:r>
      <w:proofErr w:type="spellStart"/>
      <w:proofErr w:type="gramStart"/>
      <w:r w:rsidRPr="00D24334">
        <w:rPr>
          <w:rFonts w:ascii="Times New Roman" w:hAnsi="Times New Roman" w:cs="Times New Roman"/>
          <w:b/>
          <w:sz w:val="24"/>
          <w:szCs w:val="24"/>
        </w:rPr>
        <w:t>Kateride</w:t>
      </w:r>
      <w:proofErr w:type="spellEnd"/>
      <w:r w:rsidRPr="00D24334">
        <w:rPr>
          <w:rFonts w:ascii="Times New Roman" w:hAnsi="Times New Roman" w:cs="Times New Roman"/>
          <w:b/>
          <w:sz w:val="24"/>
          <w:szCs w:val="24"/>
        </w:rPr>
        <w:t xml:space="preserve"> (1985) HCB 43 </w:t>
      </w:r>
      <w:proofErr w:type="spellStart"/>
      <w:r w:rsidRPr="00D24334">
        <w:rPr>
          <w:rFonts w:ascii="Times New Roman" w:hAnsi="Times New Roman" w:cs="Times New Roman"/>
          <w:b/>
          <w:sz w:val="24"/>
          <w:szCs w:val="24"/>
        </w:rPr>
        <w:t>and</w:t>
      </w:r>
      <w:r w:rsidRPr="00D24334">
        <w:rPr>
          <w:rFonts w:ascii="Times New Roman" w:hAnsi="Times New Roman" w:cs="Times New Roman"/>
          <w:sz w:val="24"/>
          <w:szCs w:val="24"/>
        </w:rPr>
        <w:t>Commodity</w:t>
      </w:r>
      <w:proofErr w:type="spellEnd"/>
      <w:r w:rsidRPr="00D24334">
        <w:rPr>
          <w:rFonts w:ascii="Times New Roman" w:hAnsi="Times New Roman" w:cs="Times New Roman"/>
          <w:b/>
          <w:sz w:val="24"/>
          <w:szCs w:val="24"/>
        </w:rPr>
        <w:t xml:space="preserve"> Trading Industries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Uganda Maize Industries and another [2001-2005] HCB 118.</w:t>
      </w:r>
      <w:proofErr w:type="gramEnd"/>
      <w:r w:rsidRPr="00D24334">
        <w:rPr>
          <w:rFonts w:ascii="Times New Roman" w:hAnsi="Times New Roman" w:cs="Times New Roman"/>
          <w:b/>
          <w:sz w:val="24"/>
          <w:szCs w:val="24"/>
        </w:rPr>
        <w:t xml:space="preserve"> </w:t>
      </w:r>
      <w:r w:rsidRPr="00D24334">
        <w:rPr>
          <w:rFonts w:ascii="Times New Roman" w:hAnsi="Times New Roman" w:cs="Times New Roman"/>
          <w:sz w:val="24"/>
          <w:szCs w:val="24"/>
        </w:rPr>
        <w:t xml:space="preserve">The principles governing the grant of a temporary injunction are well settled and have been well argued by both </w:t>
      </w:r>
      <w:proofErr w:type="gramStart"/>
      <w:r w:rsidRPr="00D24334">
        <w:rPr>
          <w:rFonts w:ascii="Times New Roman" w:hAnsi="Times New Roman" w:cs="Times New Roman"/>
          <w:sz w:val="24"/>
          <w:szCs w:val="24"/>
        </w:rPr>
        <w:t>counsel</w:t>
      </w:r>
      <w:proofErr w:type="gramEnd"/>
      <w:r w:rsidRPr="00D24334">
        <w:rPr>
          <w:rFonts w:ascii="Times New Roman" w:hAnsi="Times New Roman" w:cs="Times New Roman"/>
          <w:sz w:val="24"/>
          <w:szCs w:val="24"/>
        </w:rPr>
        <w:t xml:space="preserve">. In the case of </w:t>
      </w:r>
      <w:r w:rsidRPr="00D24334">
        <w:rPr>
          <w:rFonts w:ascii="Times New Roman" w:hAnsi="Times New Roman" w:cs="Times New Roman"/>
          <w:b/>
          <w:sz w:val="24"/>
          <w:szCs w:val="24"/>
        </w:rPr>
        <w:t xml:space="preserve">American Cyanamid Co.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Ethicon Ltd [1975] AC 396</w:t>
      </w:r>
      <w:r w:rsidRPr="00D24334">
        <w:rPr>
          <w:rFonts w:ascii="Times New Roman" w:hAnsi="Times New Roman" w:cs="Times New Roman"/>
          <w:sz w:val="24"/>
          <w:szCs w:val="24"/>
        </w:rPr>
        <w:t xml:space="preserve"> Lord </w:t>
      </w:r>
      <w:proofErr w:type="spellStart"/>
      <w:r w:rsidRPr="00D24334">
        <w:rPr>
          <w:rFonts w:ascii="Times New Roman" w:hAnsi="Times New Roman" w:cs="Times New Roman"/>
          <w:sz w:val="24"/>
          <w:szCs w:val="24"/>
        </w:rPr>
        <w:t>Diplock</w:t>
      </w:r>
      <w:proofErr w:type="spellEnd"/>
      <w:r w:rsidRPr="00D24334">
        <w:rPr>
          <w:rFonts w:ascii="Times New Roman" w:hAnsi="Times New Roman" w:cs="Times New Roman"/>
          <w:sz w:val="24"/>
          <w:szCs w:val="24"/>
        </w:rPr>
        <w:t xml:space="preserve"> laid down guidelines for the grant of temporary injunctions that have been followed in Ugandan cases of </w:t>
      </w:r>
      <w:r w:rsidRPr="00D24334">
        <w:rPr>
          <w:rFonts w:ascii="Times New Roman" w:hAnsi="Times New Roman" w:cs="Times New Roman"/>
          <w:b/>
          <w:sz w:val="24"/>
          <w:szCs w:val="24"/>
        </w:rPr>
        <w:t xml:space="preserve">Francis </w:t>
      </w:r>
      <w:proofErr w:type="spellStart"/>
      <w:r w:rsidRPr="00D24334">
        <w:rPr>
          <w:rFonts w:ascii="Times New Roman" w:hAnsi="Times New Roman" w:cs="Times New Roman"/>
          <w:b/>
          <w:sz w:val="24"/>
          <w:szCs w:val="24"/>
        </w:rPr>
        <w:t>Babumba</w:t>
      </w:r>
      <w:proofErr w:type="spellEnd"/>
      <w:r w:rsidRPr="00D24334">
        <w:rPr>
          <w:rFonts w:ascii="Times New Roman" w:hAnsi="Times New Roman" w:cs="Times New Roman"/>
          <w:b/>
          <w:sz w:val="24"/>
          <w:szCs w:val="24"/>
        </w:rPr>
        <w:t xml:space="preserve"> and 2 others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Erisa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Bunjo</w:t>
      </w:r>
      <w:proofErr w:type="spellEnd"/>
      <w:r w:rsidRPr="00D24334">
        <w:rPr>
          <w:rFonts w:ascii="Times New Roman" w:hAnsi="Times New Roman" w:cs="Times New Roman"/>
          <w:b/>
          <w:sz w:val="24"/>
          <w:szCs w:val="24"/>
        </w:rPr>
        <w:t xml:space="preserve"> HCCS No. 697 of 1999</w:t>
      </w:r>
      <w:r w:rsidRPr="00D24334">
        <w:rPr>
          <w:rFonts w:ascii="Times New Roman" w:hAnsi="Times New Roman" w:cs="Times New Roman"/>
          <w:sz w:val="24"/>
          <w:szCs w:val="24"/>
        </w:rPr>
        <w:t xml:space="preserve"> and </w:t>
      </w:r>
      <w:r w:rsidRPr="00D24334">
        <w:rPr>
          <w:rFonts w:ascii="Times New Roman" w:hAnsi="Times New Roman" w:cs="Times New Roman"/>
          <w:b/>
          <w:sz w:val="24"/>
          <w:szCs w:val="24"/>
        </w:rPr>
        <w:t xml:space="preserve">Robert </w:t>
      </w:r>
      <w:proofErr w:type="spellStart"/>
      <w:r w:rsidRPr="00D24334">
        <w:rPr>
          <w:rFonts w:ascii="Times New Roman" w:hAnsi="Times New Roman" w:cs="Times New Roman"/>
          <w:b/>
          <w:sz w:val="24"/>
          <w:szCs w:val="24"/>
        </w:rPr>
        <w:t>Kavuma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M/S Hotel International SCCA No.8 of 1990</w:t>
      </w:r>
      <w:r w:rsidRPr="00D24334">
        <w:rPr>
          <w:rFonts w:ascii="Times New Roman" w:hAnsi="Times New Roman" w:cs="Times New Roman"/>
          <w:sz w:val="24"/>
          <w:szCs w:val="24"/>
        </w:rPr>
        <w:t xml:space="preserve"> they include;</w:t>
      </w:r>
    </w:p>
    <w:p w:rsidR="001D361E" w:rsidRPr="00D24334" w:rsidRDefault="001D361E" w:rsidP="001D361E">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applicant has to show that he has a prima facie case with a probability of success in the main suit.</w:t>
      </w:r>
    </w:p>
    <w:p w:rsidR="001D361E" w:rsidRPr="00D24334" w:rsidRDefault="001D361E" w:rsidP="001D361E">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applicant has to show that he is likely to suffer irreparable damages if the injunction is denied.</w:t>
      </w:r>
    </w:p>
    <w:p w:rsidR="001D361E" w:rsidRPr="00D24334" w:rsidRDefault="001D361E" w:rsidP="001D361E">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If court is in doubt as to the above considerations it will decide the application on the balance of convenience.</w:t>
      </w:r>
    </w:p>
    <w:p w:rsidR="001D361E" w:rsidRPr="00D24334" w:rsidRDefault="001D361E" w:rsidP="001D361E">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In considering the above principles, the court should also bear in mind that that temporary injunctions are discretionary orders and always that the court should not attempt to resolve issues related to the main suit: See: </w:t>
      </w:r>
      <w:r w:rsidRPr="00D24334">
        <w:rPr>
          <w:rFonts w:ascii="Times New Roman" w:hAnsi="Times New Roman" w:cs="Times New Roman"/>
          <w:b/>
          <w:sz w:val="24"/>
          <w:szCs w:val="24"/>
        </w:rPr>
        <w:t xml:space="preserve">Prof. Peter Anyang </w:t>
      </w:r>
      <w:proofErr w:type="spellStart"/>
      <w:r w:rsidRPr="00D24334">
        <w:rPr>
          <w:rFonts w:ascii="Times New Roman" w:hAnsi="Times New Roman" w:cs="Times New Roman"/>
          <w:b/>
          <w:sz w:val="24"/>
          <w:szCs w:val="24"/>
        </w:rPr>
        <w:t>Nyongo</w:t>
      </w:r>
      <w:proofErr w:type="spellEnd"/>
      <w:r w:rsidRPr="00D24334">
        <w:rPr>
          <w:rFonts w:ascii="Times New Roman" w:hAnsi="Times New Roman" w:cs="Times New Roman"/>
          <w:b/>
          <w:sz w:val="24"/>
          <w:szCs w:val="24"/>
        </w:rPr>
        <w:t xml:space="preserve">&amp; Others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The Attorney General of Kenya &amp; Others; East African Court of Justice Case Ref. No. 1 of 2006 (unreported)</w:t>
      </w:r>
    </w:p>
    <w:p w:rsidR="001D361E" w:rsidRPr="00D24334" w:rsidRDefault="001D361E" w:rsidP="001D361E">
      <w:pPr>
        <w:spacing w:line="360" w:lineRule="auto"/>
        <w:jc w:val="both"/>
        <w:rPr>
          <w:rFonts w:ascii="Times New Roman" w:hAnsi="Times New Roman"/>
          <w:b/>
          <w:sz w:val="24"/>
          <w:szCs w:val="24"/>
        </w:rPr>
      </w:pPr>
      <w:r w:rsidRPr="00D24334">
        <w:rPr>
          <w:rFonts w:ascii="Times New Roman" w:hAnsi="Times New Roman"/>
          <w:b/>
          <w:sz w:val="24"/>
          <w:szCs w:val="24"/>
        </w:rPr>
        <w:t xml:space="preserve">The applicant has to show that he has a </w:t>
      </w:r>
      <w:r w:rsidRPr="00D24334">
        <w:rPr>
          <w:rFonts w:ascii="Times New Roman" w:hAnsi="Times New Roman"/>
          <w:b/>
          <w:i/>
          <w:sz w:val="24"/>
          <w:szCs w:val="24"/>
        </w:rPr>
        <w:t>prima facie</w:t>
      </w:r>
      <w:r w:rsidRPr="00D24334">
        <w:rPr>
          <w:rFonts w:ascii="Times New Roman" w:hAnsi="Times New Roman"/>
          <w:b/>
          <w:sz w:val="24"/>
          <w:szCs w:val="24"/>
        </w:rPr>
        <w:t xml:space="preserve"> case with a probability of success in the main suit.</w:t>
      </w:r>
    </w:p>
    <w:p w:rsidR="001D361E" w:rsidRPr="00D24334" w:rsidRDefault="001D361E" w:rsidP="001D361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my view a </w:t>
      </w:r>
      <w:r w:rsidRPr="00D24334">
        <w:rPr>
          <w:rFonts w:ascii="Times New Roman" w:hAnsi="Times New Roman" w:cs="Times New Roman"/>
          <w:i/>
          <w:sz w:val="24"/>
          <w:szCs w:val="24"/>
        </w:rPr>
        <w:t>prima facie</w:t>
      </w:r>
      <w:r w:rsidRPr="00D24334">
        <w:rPr>
          <w:rFonts w:ascii="Times New Roman" w:hAnsi="Times New Roman" w:cs="Times New Roman"/>
          <w:sz w:val="24"/>
          <w:szCs w:val="24"/>
        </w:rPr>
        <w:t xml:space="preserve"> case is not necessarily a tight case. It is a case in which the court need only be satisfied that there is a serious question to be tried. </w:t>
      </w:r>
      <w:proofErr w:type="spellStart"/>
      <w:r w:rsidRPr="00D24334">
        <w:rPr>
          <w:rFonts w:ascii="Times New Roman" w:hAnsi="Times New Roman" w:cs="Times New Roman"/>
          <w:sz w:val="24"/>
          <w:szCs w:val="24"/>
        </w:rPr>
        <w:t>Wambuzi</w:t>
      </w:r>
      <w:proofErr w:type="spellEnd"/>
      <w:r w:rsidRPr="00D24334">
        <w:rPr>
          <w:rFonts w:ascii="Times New Roman" w:hAnsi="Times New Roman" w:cs="Times New Roman"/>
          <w:sz w:val="24"/>
          <w:szCs w:val="24"/>
        </w:rPr>
        <w:t xml:space="preserve"> C J (as he then was) in the </w:t>
      </w:r>
      <w:r w:rsidRPr="00D24334">
        <w:rPr>
          <w:rFonts w:ascii="Times New Roman" w:hAnsi="Times New Roman" w:cs="Times New Roman"/>
          <w:sz w:val="24"/>
          <w:szCs w:val="24"/>
        </w:rPr>
        <w:lastRenderedPageBreak/>
        <w:t xml:space="preserve">case of </w:t>
      </w:r>
      <w:r w:rsidRPr="00D24334">
        <w:rPr>
          <w:rFonts w:ascii="Times New Roman" w:hAnsi="Times New Roman" w:cs="Times New Roman"/>
          <w:b/>
          <w:sz w:val="24"/>
          <w:szCs w:val="24"/>
        </w:rPr>
        <w:t xml:space="preserve">Robert </w:t>
      </w:r>
      <w:proofErr w:type="spellStart"/>
      <w:r w:rsidRPr="00D24334">
        <w:rPr>
          <w:rFonts w:ascii="Times New Roman" w:hAnsi="Times New Roman" w:cs="Times New Roman"/>
          <w:b/>
          <w:sz w:val="24"/>
          <w:szCs w:val="24"/>
        </w:rPr>
        <w:t>Kavuma</w:t>
      </w:r>
      <w:proofErr w:type="spellEnd"/>
      <w:r w:rsidRPr="00D24334">
        <w:rPr>
          <w:rFonts w:ascii="Times New Roman" w:hAnsi="Times New Roman" w:cs="Times New Roman"/>
          <w:b/>
          <w:sz w:val="24"/>
          <w:szCs w:val="24"/>
        </w:rPr>
        <w:t xml:space="preserve"> (supra) </w:t>
      </w:r>
      <w:r w:rsidRPr="00D24334">
        <w:rPr>
          <w:rFonts w:ascii="Times New Roman" w:hAnsi="Times New Roman" w:cs="Times New Roman"/>
          <w:sz w:val="24"/>
          <w:szCs w:val="24"/>
        </w:rPr>
        <w:t xml:space="preserve">explained it well when he stated that the applicant is required at this stage of trial to show a </w:t>
      </w:r>
      <w:proofErr w:type="spellStart"/>
      <w:r w:rsidRPr="00D24334">
        <w:rPr>
          <w:rFonts w:ascii="Times New Roman" w:hAnsi="Times New Roman" w:cs="Times New Roman"/>
          <w:sz w:val="24"/>
          <w:szCs w:val="24"/>
        </w:rPr>
        <w:t>primafacie</w:t>
      </w:r>
      <w:proofErr w:type="spellEnd"/>
      <w:r w:rsidRPr="00D24334">
        <w:rPr>
          <w:rFonts w:ascii="Times New Roman" w:hAnsi="Times New Roman" w:cs="Times New Roman"/>
          <w:sz w:val="24"/>
          <w:szCs w:val="24"/>
        </w:rPr>
        <w:t xml:space="preserve"> case and a probability of success </w:t>
      </w:r>
      <w:r w:rsidRPr="00D24334">
        <w:rPr>
          <w:rFonts w:ascii="Times New Roman" w:hAnsi="Times New Roman" w:cs="Times New Roman"/>
          <w:sz w:val="24"/>
          <w:szCs w:val="24"/>
          <w:u w:val="single"/>
        </w:rPr>
        <w:t>but not</w:t>
      </w:r>
      <w:r w:rsidRPr="00D24334">
        <w:rPr>
          <w:rFonts w:ascii="Times New Roman" w:hAnsi="Times New Roman" w:cs="Times New Roman"/>
          <w:sz w:val="24"/>
          <w:szCs w:val="24"/>
        </w:rPr>
        <w:t xml:space="preserve"> success. (Emphasis mine)Also, in deciding this issue I have found the quote in the case of </w:t>
      </w:r>
      <w:r w:rsidRPr="00D24334">
        <w:rPr>
          <w:rFonts w:ascii="Times New Roman" w:hAnsi="Times New Roman" w:cs="Times New Roman"/>
          <w:b/>
          <w:sz w:val="24"/>
          <w:szCs w:val="24"/>
        </w:rPr>
        <w:t xml:space="preserve">GRACE MATOVU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THOPISTA NABBALE &amp; ANOR HC.MSC. </w:t>
      </w:r>
      <w:proofErr w:type="gramStart"/>
      <w:r w:rsidRPr="00D24334">
        <w:rPr>
          <w:rFonts w:ascii="Times New Roman" w:hAnsi="Times New Roman" w:cs="Times New Roman"/>
          <w:b/>
          <w:sz w:val="24"/>
          <w:szCs w:val="24"/>
        </w:rPr>
        <w:t>ALPPL.</w:t>
      </w:r>
      <w:proofErr w:type="gramEnd"/>
      <w:r w:rsidRPr="00D24334">
        <w:rPr>
          <w:rFonts w:ascii="Times New Roman" w:hAnsi="Times New Roman" w:cs="Times New Roman"/>
          <w:b/>
          <w:sz w:val="24"/>
          <w:szCs w:val="24"/>
        </w:rPr>
        <w:t xml:space="preserve"> </w:t>
      </w:r>
      <w:proofErr w:type="gramStart"/>
      <w:r w:rsidRPr="00D24334">
        <w:rPr>
          <w:rFonts w:ascii="Times New Roman" w:hAnsi="Times New Roman" w:cs="Times New Roman"/>
          <w:b/>
          <w:sz w:val="24"/>
          <w:szCs w:val="24"/>
        </w:rPr>
        <w:t>NO.471 of 2013</w:t>
      </w:r>
      <w:r w:rsidRPr="00D24334">
        <w:rPr>
          <w:rFonts w:ascii="Times New Roman" w:hAnsi="Times New Roman" w:cs="Times New Roman"/>
          <w:sz w:val="24"/>
          <w:szCs w:val="24"/>
        </w:rPr>
        <w:t xml:space="preserve"> very useful.</w:t>
      </w:r>
      <w:proofErr w:type="gramEnd"/>
      <w:r w:rsidRPr="00D24334">
        <w:rPr>
          <w:rFonts w:ascii="Times New Roman" w:hAnsi="Times New Roman" w:cs="Times New Roman"/>
          <w:sz w:val="24"/>
          <w:szCs w:val="24"/>
        </w:rPr>
        <w:t xml:space="preserve">  Therein his </w:t>
      </w:r>
      <w:r w:rsidRPr="00D24334">
        <w:rPr>
          <w:rFonts w:ascii="Times New Roman" w:hAnsi="Times New Roman" w:cs="Times New Roman"/>
          <w:b/>
          <w:sz w:val="24"/>
          <w:szCs w:val="24"/>
        </w:rPr>
        <w:t>Lordship</w:t>
      </w:r>
      <w:r w:rsidRPr="00D24334">
        <w:rPr>
          <w:rFonts w:ascii="Times New Roman" w:hAnsi="Times New Roman" w:cs="Times New Roman"/>
          <w:sz w:val="24"/>
          <w:szCs w:val="24"/>
        </w:rPr>
        <w:t xml:space="preserve"> Justice </w:t>
      </w:r>
      <w:proofErr w:type="spellStart"/>
      <w:r w:rsidRPr="00D24334">
        <w:rPr>
          <w:rFonts w:ascii="Times New Roman" w:hAnsi="Times New Roman" w:cs="Times New Roman"/>
          <w:sz w:val="24"/>
          <w:szCs w:val="24"/>
        </w:rPr>
        <w:t>Mulangira</w:t>
      </w:r>
      <w:proofErr w:type="spellEnd"/>
      <w:r w:rsidRPr="00D24334">
        <w:rPr>
          <w:rFonts w:ascii="Times New Roman" w:hAnsi="Times New Roman" w:cs="Times New Roman"/>
          <w:sz w:val="24"/>
          <w:szCs w:val="24"/>
        </w:rPr>
        <w:t xml:space="preserve"> held that: </w:t>
      </w:r>
    </w:p>
    <w:p w:rsidR="001D361E" w:rsidRPr="00D24334" w:rsidRDefault="001D361E" w:rsidP="001D361E">
      <w:pPr>
        <w:pStyle w:val="ListParagraph"/>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w:t>
      </w:r>
      <w:r w:rsidRPr="00D24334">
        <w:rPr>
          <w:rFonts w:ascii="Times New Roman" w:hAnsi="Times New Roman" w:cs="Times New Roman"/>
          <w:i/>
          <w:sz w:val="24"/>
          <w:szCs w:val="24"/>
        </w:rPr>
        <w:t>considering the object of an interim injunction and nature of the proceedings at which kit is considered, a more realistic and fair condition to satisfy the court is, that there a serious question to be tried rather than a prima facie case with a probability of success.</w:t>
      </w:r>
    </w:p>
    <w:p w:rsidR="001D361E" w:rsidRPr="00D24334" w:rsidRDefault="001D361E" w:rsidP="001D361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It was argued for the applicant that she has shown by </w:t>
      </w:r>
      <w:proofErr w:type="spellStart"/>
      <w:r w:rsidRPr="00D24334">
        <w:rPr>
          <w:rFonts w:ascii="Times New Roman" w:hAnsi="Times New Roman" w:cs="Times New Roman"/>
          <w:sz w:val="24"/>
          <w:szCs w:val="24"/>
        </w:rPr>
        <w:t>annexture</w:t>
      </w:r>
      <w:proofErr w:type="spellEnd"/>
      <w:r w:rsidRPr="00D24334">
        <w:rPr>
          <w:rFonts w:ascii="Times New Roman" w:hAnsi="Times New Roman" w:cs="Times New Roman"/>
          <w:sz w:val="24"/>
          <w:szCs w:val="24"/>
        </w:rPr>
        <w:t xml:space="preserve"> ‘APD1’ that she was at All material time the registered owner of the suit land and discovered the loss of certificate of title to the police.  That their investigations unearthed a certificate of title with respect to </w:t>
      </w:r>
      <w:proofErr w:type="spellStart"/>
      <w:r w:rsidRPr="00D24334">
        <w:rPr>
          <w:rFonts w:ascii="Times New Roman" w:hAnsi="Times New Roman" w:cs="Times New Roman"/>
          <w:sz w:val="24"/>
          <w:szCs w:val="24"/>
        </w:rPr>
        <w:t>Busilo</w:t>
      </w:r>
      <w:proofErr w:type="spellEnd"/>
      <w:r w:rsidRPr="00D24334">
        <w:rPr>
          <w:rFonts w:ascii="Times New Roman" w:hAnsi="Times New Roman" w:cs="Times New Roman"/>
          <w:sz w:val="24"/>
          <w:szCs w:val="24"/>
        </w:rPr>
        <w:t xml:space="preserve"> Block 280 Plot 222 which was the residue by balance of the suit land following numerous unauthorized subdivisions.  That she also demonstrated that the respondent in a bid to avert police investigations tricked the applicant into making a memorandum of understanding whereby she would discontinue pursuing the criminal case and which the respondent then failed to fulfill.  </w:t>
      </w:r>
      <w:proofErr w:type="gramStart"/>
      <w:r w:rsidRPr="00D24334">
        <w:rPr>
          <w:rFonts w:ascii="Times New Roman" w:hAnsi="Times New Roman" w:cs="Times New Roman"/>
          <w:sz w:val="24"/>
          <w:szCs w:val="24"/>
        </w:rPr>
        <w:t>That the respondent has only made a partial payment of Shs.5m toward the memorandum of understanding but has continued to subdivide and sell the suit land.</w:t>
      </w:r>
      <w:proofErr w:type="gramEnd"/>
      <w:r w:rsidRPr="00D24334">
        <w:rPr>
          <w:rFonts w:ascii="Times New Roman" w:hAnsi="Times New Roman" w:cs="Times New Roman"/>
          <w:sz w:val="24"/>
          <w:szCs w:val="24"/>
        </w:rPr>
        <w:t xml:space="preserve">  </w:t>
      </w:r>
    </w:p>
    <w:p w:rsidR="001D361E" w:rsidRPr="00D24334" w:rsidRDefault="001D361E" w:rsidP="001D361E">
      <w:pPr>
        <w:pStyle w:val="ListParagraph"/>
        <w:spacing w:line="360" w:lineRule="auto"/>
        <w:ind w:left="0"/>
        <w:jc w:val="both"/>
        <w:rPr>
          <w:rFonts w:ascii="Times New Roman" w:hAnsi="Times New Roman" w:cs="Times New Roman"/>
          <w:sz w:val="24"/>
          <w:szCs w:val="24"/>
        </w:rPr>
      </w:pP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I have perused the plaint and confirmed that the basis of the claim is the breach by the respondents of the memorandum of understanding that they entered into with the applicant on 28/8/08.  That same memorandum is relied on the applicant as “</w:t>
      </w:r>
      <w:r w:rsidRPr="00D24334">
        <w:rPr>
          <w:rFonts w:ascii="Times New Roman" w:hAnsi="Times New Roman"/>
          <w:b/>
          <w:sz w:val="24"/>
          <w:szCs w:val="24"/>
        </w:rPr>
        <w:t>APD2</w:t>
      </w:r>
      <w:r w:rsidRPr="00D24334">
        <w:rPr>
          <w:rFonts w:ascii="Times New Roman" w:hAnsi="Times New Roman"/>
          <w:sz w:val="24"/>
          <w:szCs w:val="24"/>
        </w:rPr>
        <w:t xml:space="preserve">”.  The applicant claims that the respondents undertook but failed to pay her Shs.64 million in order to formalize their purchase of land comprised in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280 Plots 14 and 17 at </w:t>
      </w:r>
      <w:proofErr w:type="spellStart"/>
      <w:r w:rsidRPr="00D24334">
        <w:rPr>
          <w:rFonts w:ascii="Times New Roman" w:hAnsi="Times New Roman"/>
          <w:sz w:val="24"/>
          <w:szCs w:val="24"/>
        </w:rPr>
        <w:t>Kawoko</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Bukasa</w:t>
      </w:r>
      <w:proofErr w:type="spellEnd"/>
      <w:r w:rsidRPr="00D24334">
        <w:rPr>
          <w:rFonts w:ascii="Times New Roman" w:hAnsi="Times New Roman"/>
          <w:sz w:val="24"/>
          <w:szCs w:val="24"/>
        </w:rPr>
        <w:t xml:space="preserve"> Parish.  As a result, the applicant sought cancellation of the respondents’ title and such other persons deriving title from them and general damages</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With respect, I see little or no relation to the facts of the main suit and the injunctive order sought in this application.  Although the land in both causes is off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280 the plots are seemingly different.  The land in the main suit is described to be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64 Plots 17 and 14 and this is the land that is the subject of the memorandum of understanding.  In the application, it is alleged that the applicant was the original owner of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280 Plot 64 which was sub divided into quite a number of plots.  Neither plot 14 nor 17 are mentioned as having been </w:t>
      </w:r>
      <w:r w:rsidRPr="00D24334">
        <w:rPr>
          <w:rFonts w:ascii="Times New Roman" w:hAnsi="Times New Roman"/>
          <w:sz w:val="24"/>
          <w:szCs w:val="24"/>
        </w:rPr>
        <w:lastRenderedPageBreak/>
        <w:t xml:space="preserve">curved out of Plot 64.  (See paragraph 1 of the application and paragraph 2 of the applicant’s affidavit)  The area schedule form attached as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w:t>
      </w:r>
      <w:r w:rsidRPr="00D24334">
        <w:rPr>
          <w:rFonts w:ascii="Times New Roman" w:hAnsi="Times New Roman"/>
          <w:b/>
          <w:sz w:val="24"/>
          <w:szCs w:val="24"/>
        </w:rPr>
        <w:t>APD1</w:t>
      </w:r>
      <w:r w:rsidRPr="00D24334">
        <w:rPr>
          <w:rFonts w:ascii="Times New Roman" w:hAnsi="Times New Roman"/>
          <w:sz w:val="24"/>
          <w:szCs w:val="24"/>
        </w:rPr>
        <w:t>” is also not informative in a manner that would take the applicant’s claims forward.  It does show that there was once a land known as Block 280-281 Plot 64 which was sub divided into several plots, all of which are still in the applicant’s names.  Again the area schedule makes no mention of Plots 14 and 17.</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I note that although Plot 14 is mentioned in both the main suit and application Plot 17 is not.   Even then, no evidence is brought out in the two actions to show that the applicant did at any one time own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280  plots 14 and 17 or that the respondents derived their title in respect of those plots from the two people who the applicant claims did at one time steal more titles. </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Secondly, the facts related in paragraphs two and three and part of paragraph 4 of </w:t>
      </w:r>
      <w:proofErr w:type="spellStart"/>
      <w:r w:rsidRPr="00D24334">
        <w:rPr>
          <w:rFonts w:ascii="Times New Roman" w:hAnsi="Times New Roman"/>
          <w:sz w:val="24"/>
          <w:szCs w:val="24"/>
        </w:rPr>
        <w:t>Nanjobe’s</w:t>
      </w:r>
      <w:proofErr w:type="spellEnd"/>
      <w:r w:rsidRPr="00D24334">
        <w:rPr>
          <w:rFonts w:ascii="Times New Roman" w:hAnsi="Times New Roman"/>
          <w:sz w:val="24"/>
          <w:szCs w:val="24"/>
        </w:rPr>
        <w:t xml:space="preserve"> affidavit are missing in the plaint.  In my view, the allegations that the applicant’s title was stolen and later discovered sub divided by the respondents is a serious one especially where it is alleged in paragraph 4 that they signed the memorandum because they realized that they did not obtain title through legitimate means.  It is strange and improper that such vital information is only introduced in the pleadings at the stage of the application and not in the suit itself. </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Thirdly, the applicant in the main suit seeks cancellation of the respondent’s titles due to their failure to furnish consideration as agreed in the deed of understanding.  The claim in the main suit would tantamount to a remedy which in Section 176 RTA would require the applicant to have adduced fraud against the respondents.  No facts of fraud have been pleaded. </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Lastly, the facts pleaded seem to indicate that the respondents have already alienated part of the suit the suit land, sub divided it and disposed it off to other parties.  No differentiation has been made to show which titles are still in the name of the applicant and those that have already been transferred.  In fact, if I am to go by the area schedule form the numerous plots are indicated to be in the applicant’s names and no evidence was adduced to show in whose names they were transferred to.    Therefore, the orders sought may affect or purport to affect the interests of other parties that are not party to the main suit or this application. </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I am conscious of the fact that the respondent did not oppose this application.  They are deemed under to have acquiesced to its contents.  See for example </w:t>
      </w:r>
      <w:proofErr w:type="spellStart"/>
      <w:r w:rsidRPr="00D24334">
        <w:rPr>
          <w:rFonts w:ascii="Times New Roman" w:hAnsi="Times New Roman"/>
          <w:b/>
          <w:sz w:val="24"/>
          <w:szCs w:val="24"/>
        </w:rPr>
        <w:t>Samwiri</w:t>
      </w:r>
      <w:proofErr w:type="spellEnd"/>
      <w:r w:rsidRPr="00D24334">
        <w:rPr>
          <w:rFonts w:ascii="Times New Roman" w:hAnsi="Times New Roman"/>
          <w:b/>
          <w:sz w:val="24"/>
          <w:szCs w:val="24"/>
        </w:rPr>
        <w:t xml:space="preserve"> Mass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Rose </w:t>
      </w:r>
      <w:proofErr w:type="spellStart"/>
      <w:r w:rsidRPr="00D24334">
        <w:rPr>
          <w:rFonts w:ascii="Times New Roman" w:hAnsi="Times New Roman"/>
          <w:b/>
          <w:sz w:val="24"/>
          <w:szCs w:val="24"/>
        </w:rPr>
        <w:t>Achen</w:t>
      </w:r>
      <w:proofErr w:type="spellEnd"/>
      <w:r w:rsidRPr="00D24334">
        <w:rPr>
          <w:rFonts w:ascii="Times New Roman" w:hAnsi="Times New Roman"/>
          <w:b/>
          <w:sz w:val="24"/>
          <w:szCs w:val="24"/>
        </w:rPr>
        <w:t xml:space="preserve"> (1978) HCB 297</w:t>
      </w:r>
      <w:r w:rsidRPr="00D24334">
        <w:rPr>
          <w:rFonts w:ascii="Times New Roman" w:hAnsi="Times New Roman"/>
          <w:sz w:val="24"/>
          <w:szCs w:val="24"/>
        </w:rPr>
        <w:t xml:space="preserve">.    </w:t>
      </w:r>
      <w:proofErr w:type="gramStart"/>
      <w:r w:rsidRPr="00D24334">
        <w:rPr>
          <w:rFonts w:ascii="Times New Roman" w:hAnsi="Times New Roman"/>
          <w:sz w:val="24"/>
          <w:szCs w:val="24"/>
        </w:rPr>
        <w:t>However, under Order 9.</w:t>
      </w:r>
      <w:proofErr w:type="gramEnd"/>
      <w:r w:rsidRPr="00D24334">
        <w:rPr>
          <w:rFonts w:ascii="Times New Roman" w:hAnsi="Times New Roman"/>
          <w:sz w:val="24"/>
          <w:szCs w:val="24"/>
        </w:rPr>
        <w:t xml:space="preserve"> Rule 10 CPR the applicant is still duty bound to prove her case on a balance of probabilities.  The subject matter in the application not being the same the one in the main suit and memorandum of understanding creates a contradiction so </w:t>
      </w:r>
      <w:r w:rsidRPr="00D24334">
        <w:rPr>
          <w:rFonts w:ascii="Times New Roman" w:hAnsi="Times New Roman"/>
          <w:sz w:val="24"/>
          <w:szCs w:val="24"/>
        </w:rPr>
        <w:lastRenderedPageBreak/>
        <w:t xml:space="preserve">glaring that allowing the injunctive order would be a gross injustice to the respondents, </w:t>
      </w:r>
      <w:proofErr w:type="spellStart"/>
      <w:r w:rsidRPr="00D24334">
        <w:rPr>
          <w:rFonts w:ascii="Times New Roman" w:hAnsi="Times New Roman"/>
          <w:sz w:val="24"/>
          <w:szCs w:val="24"/>
        </w:rPr>
        <w:t>not withstanding</w:t>
      </w:r>
      <w:proofErr w:type="spellEnd"/>
      <w:r w:rsidRPr="00D24334">
        <w:rPr>
          <w:rFonts w:ascii="Times New Roman" w:hAnsi="Times New Roman"/>
          <w:sz w:val="24"/>
          <w:szCs w:val="24"/>
        </w:rPr>
        <w:t xml:space="preserve"> their silence.    The fact that the land mentioned in the application is quite different from that mentioned in the memorandum of understanding would in my view, tilt the balance of convenience very much in disfavor of the applicant. </w:t>
      </w:r>
    </w:p>
    <w:p w:rsidR="001D361E" w:rsidRPr="00D24334" w:rsidRDefault="001D361E" w:rsidP="001D361E">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In view of what I have stated above, it has not been shown that the respondents are threatening to or have alienated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280 Plots 14 and 17 to the detriment of the applicant to warrant the issuance of an injunctive order. </w:t>
      </w:r>
    </w:p>
    <w:p w:rsidR="001D361E" w:rsidRPr="00D24334" w:rsidRDefault="001D361E" w:rsidP="001D361E">
      <w:pPr>
        <w:pStyle w:val="NoSpacing"/>
        <w:spacing w:line="360" w:lineRule="auto"/>
        <w:jc w:val="both"/>
        <w:rPr>
          <w:rFonts w:ascii="Times New Roman" w:hAnsi="Times New Roman"/>
          <w:sz w:val="24"/>
          <w:szCs w:val="24"/>
        </w:rPr>
      </w:pPr>
    </w:p>
    <w:p w:rsidR="001D361E" w:rsidRPr="00D24334" w:rsidRDefault="001D361E" w:rsidP="001D361E">
      <w:pPr>
        <w:pStyle w:val="NoSpacing"/>
        <w:spacing w:line="360" w:lineRule="auto"/>
        <w:jc w:val="both"/>
        <w:rPr>
          <w:rFonts w:ascii="Times New Roman" w:hAnsi="Times New Roman"/>
          <w:sz w:val="24"/>
          <w:szCs w:val="24"/>
        </w:rPr>
      </w:pPr>
    </w:p>
    <w:p w:rsidR="001D361E" w:rsidRPr="00D24334" w:rsidRDefault="001D361E" w:rsidP="001D361E">
      <w:pPr>
        <w:pStyle w:val="NoSpacing"/>
        <w:rPr>
          <w:rFonts w:ascii="Times New Roman" w:hAnsi="Times New Roman"/>
          <w:b/>
          <w:sz w:val="24"/>
          <w:szCs w:val="24"/>
        </w:rPr>
      </w:pPr>
      <w:r w:rsidRPr="00D24334">
        <w:rPr>
          <w:rFonts w:ascii="Times New Roman" w:hAnsi="Times New Roman"/>
          <w:b/>
          <w:sz w:val="24"/>
          <w:szCs w:val="24"/>
        </w:rPr>
        <w:t>EVA K. LUSWATA</w:t>
      </w:r>
    </w:p>
    <w:p w:rsidR="001D361E" w:rsidRPr="00D24334" w:rsidRDefault="001D361E" w:rsidP="001D361E">
      <w:pPr>
        <w:pStyle w:val="NoSpacing"/>
        <w:rPr>
          <w:rFonts w:ascii="Times New Roman" w:hAnsi="Times New Roman"/>
          <w:b/>
          <w:sz w:val="24"/>
          <w:szCs w:val="24"/>
        </w:rPr>
      </w:pPr>
      <w:r w:rsidRPr="00D24334">
        <w:rPr>
          <w:rFonts w:ascii="Times New Roman" w:hAnsi="Times New Roman"/>
          <w:b/>
          <w:sz w:val="24"/>
          <w:szCs w:val="24"/>
        </w:rPr>
        <w:t>JUDGE</w:t>
      </w:r>
    </w:p>
    <w:p w:rsidR="001D361E" w:rsidRPr="00D24334" w:rsidRDefault="001D361E" w:rsidP="001D361E">
      <w:pPr>
        <w:pStyle w:val="NoSpacing"/>
        <w:spacing w:line="360" w:lineRule="auto"/>
        <w:jc w:val="both"/>
        <w:rPr>
          <w:rFonts w:ascii="Times New Roman" w:hAnsi="Times New Roman"/>
          <w:b/>
          <w:sz w:val="24"/>
          <w:szCs w:val="24"/>
        </w:rPr>
      </w:pPr>
      <w:r w:rsidRPr="00D24334">
        <w:rPr>
          <w:rFonts w:ascii="Times New Roman" w:hAnsi="Times New Roman"/>
          <w:b/>
          <w:sz w:val="24"/>
          <w:szCs w:val="24"/>
        </w:rPr>
        <w:t>7/7/14</w:t>
      </w:r>
    </w:p>
    <w:p w:rsidR="001D361E" w:rsidRPr="00D24334" w:rsidRDefault="001D361E" w:rsidP="001D361E">
      <w:pPr>
        <w:pStyle w:val="NoSpacing"/>
        <w:spacing w:line="360" w:lineRule="auto"/>
        <w:jc w:val="both"/>
        <w:rPr>
          <w:rFonts w:ascii="Times New Roman" w:hAnsi="Times New Roman"/>
          <w:b/>
          <w:sz w:val="24"/>
          <w:szCs w:val="24"/>
        </w:rPr>
      </w:pPr>
    </w:p>
    <w:p w:rsidR="001D361E" w:rsidRPr="00D24334" w:rsidRDefault="001D361E" w:rsidP="001D361E">
      <w:pPr>
        <w:pStyle w:val="NoSpacing"/>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239"/>
    <w:multiLevelType w:val="hybridMultilevel"/>
    <w:tmpl w:val="0DA4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A0783"/>
    <w:multiLevelType w:val="hybridMultilevel"/>
    <w:tmpl w:val="7EEA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1E"/>
    <w:rsid w:val="001D361E"/>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61E"/>
    <w:pPr>
      <w:spacing w:after="0" w:line="240" w:lineRule="auto"/>
    </w:pPr>
    <w:rPr>
      <w:rFonts w:ascii="Calibri" w:eastAsia="Calibri" w:hAnsi="Calibri" w:cs="Times New Roman"/>
    </w:rPr>
  </w:style>
  <w:style w:type="paragraph" w:styleId="ListParagraph">
    <w:name w:val="List Paragraph"/>
    <w:basedOn w:val="Normal"/>
    <w:uiPriority w:val="34"/>
    <w:qFormat/>
    <w:rsid w:val="001D361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61E"/>
    <w:pPr>
      <w:spacing w:after="0" w:line="240" w:lineRule="auto"/>
    </w:pPr>
    <w:rPr>
      <w:rFonts w:ascii="Calibri" w:eastAsia="Calibri" w:hAnsi="Calibri" w:cs="Times New Roman"/>
    </w:rPr>
  </w:style>
  <w:style w:type="paragraph" w:styleId="ListParagraph">
    <w:name w:val="List Paragraph"/>
    <w:basedOn w:val="Normal"/>
    <w:uiPriority w:val="34"/>
    <w:qFormat/>
    <w:rsid w:val="001D36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2017-01-31T13:33:00Z</dcterms:created>
  <dcterms:modified xsi:type="dcterms:W3CDTF">2017-01-31T13:34:00Z</dcterms:modified>
</cp:coreProperties>
</file>