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3D" w:rsidRPr="00727875" w:rsidRDefault="00915E3D" w:rsidP="00915E3D">
      <w:pPr>
        <w:pStyle w:val="NoSpacing"/>
        <w:jc w:val="center"/>
        <w:rPr>
          <w:rFonts w:ascii="Times New Roman" w:hAnsi="Times New Roman"/>
          <w:b/>
          <w:sz w:val="24"/>
          <w:szCs w:val="24"/>
        </w:rPr>
      </w:pPr>
      <w:r w:rsidRPr="00727875">
        <w:rPr>
          <w:rFonts w:ascii="Times New Roman" w:hAnsi="Times New Roman"/>
          <w:b/>
          <w:sz w:val="24"/>
          <w:szCs w:val="24"/>
        </w:rPr>
        <w:t>THE REPUBLIC OF UGANDA</w:t>
      </w:r>
    </w:p>
    <w:p w:rsidR="00915E3D" w:rsidRPr="00727875" w:rsidRDefault="00915E3D" w:rsidP="00915E3D">
      <w:pPr>
        <w:pStyle w:val="NoSpacing"/>
        <w:jc w:val="center"/>
        <w:rPr>
          <w:rFonts w:ascii="Times New Roman" w:hAnsi="Times New Roman"/>
          <w:b/>
          <w:sz w:val="24"/>
          <w:szCs w:val="24"/>
        </w:rPr>
      </w:pPr>
      <w:r w:rsidRPr="00727875">
        <w:rPr>
          <w:rFonts w:ascii="Times New Roman" w:hAnsi="Times New Roman"/>
          <w:b/>
          <w:sz w:val="24"/>
          <w:szCs w:val="24"/>
        </w:rPr>
        <w:t>IN THE HIGH COURT OF UGANDA AT KAMPALA</w:t>
      </w:r>
    </w:p>
    <w:p w:rsidR="00915E3D" w:rsidRPr="00727875" w:rsidRDefault="00915E3D" w:rsidP="00915E3D">
      <w:pPr>
        <w:pStyle w:val="NoSpacing"/>
        <w:jc w:val="center"/>
        <w:rPr>
          <w:rFonts w:ascii="Times New Roman" w:hAnsi="Times New Roman"/>
          <w:b/>
          <w:sz w:val="24"/>
          <w:szCs w:val="24"/>
        </w:rPr>
      </w:pPr>
      <w:r w:rsidRPr="00727875">
        <w:rPr>
          <w:rFonts w:ascii="Times New Roman" w:hAnsi="Times New Roman"/>
          <w:b/>
          <w:sz w:val="24"/>
          <w:szCs w:val="24"/>
        </w:rPr>
        <w:t>LAND DIVISION</w:t>
      </w:r>
    </w:p>
    <w:p w:rsidR="00915E3D" w:rsidRPr="00727875" w:rsidRDefault="00915E3D" w:rsidP="00915E3D">
      <w:pPr>
        <w:pStyle w:val="NoSpacing"/>
        <w:jc w:val="center"/>
        <w:rPr>
          <w:rFonts w:ascii="Times New Roman" w:hAnsi="Times New Roman"/>
          <w:b/>
          <w:sz w:val="24"/>
          <w:szCs w:val="24"/>
        </w:rPr>
      </w:pPr>
      <w:r w:rsidRPr="00727875">
        <w:rPr>
          <w:rFonts w:ascii="Times New Roman" w:hAnsi="Times New Roman"/>
          <w:b/>
          <w:sz w:val="24"/>
          <w:szCs w:val="24"/>
        </w:rPr>
        <w:t>MISCELLANEOUS CAUSE NO. 56 OF 2012</w:t>
      </w:r>
    </w:p>
    <w:p w:rsidR="00915E3D" w:rsidRPr="00727875" w:rsidRDefault="00915E3D" w:rsidP="00915E3D">
      <w:pPr>
        <w:pStyle w:val="NoSpacing"/>
        <w:jc w:val="center"/>
        <w:rPr>
          <w:rFonts w:ascii="Times New Roman" w:hAnsi="Times New Roman"/>
          <w:b/>
          <w:sz w:val="24"/>
          <w:szCs w:val="24"/>
        </w:rPr>
      </w:pPr>
    </w:p>
    <w:p w:rsidR="00915E3D" w:rsidRPr="00727875" w:rsidRDefault="00915E3D" w:rsidP="00915E3D">
      <w:pPr>
        <w:jc w:val="both"/>
        <w:rPr>
          <w:rFonts w:ascii="Times New Roman" w:hAnsi="Times New Roman"/>
          <w:b/>
          <w:sz w:val="24"/>
          <w:szCs w:val="24"/>
        </w:rPr>
      </w:pPr>
      <w:r w:rsidRPr="00727875">
        <w:rPr>
          <w:rFonts w:ascii="Times New Roman" w:hAnsi="Times New Roman"/>
          <w:b/>
          <w:sz w:val="24"/>
          <w:szCs w:val="24"/>
        </w:rPr>
        <w:t>SSENGOOBA ALIFU</w:t>
      </w:r>
      <w:r w:rsidR="00727875">
        <w:rPr>
          <w:rFonts w:ascii="Times New Roman" w:hAnsi="Times New Roman"/>
          <w:b/>
          <w:sz w:val="24"/>
          <w:szCs w:val="24"/>
        </w:rPr>
        <w:t>NSI……………………………………………</w:t>
      </w:r>
      <w:bookmarkStart w:id="0" w:name="_GoBack"/>
      <w:bookmarkEnd w:id="0"/>
      <w:r w:rsidRPr="00727875">
        <w:rPr>
          <w:rFonts w:ascii="Times New Roman" w:hAnsi="Times New Roman"/>
          <w:b/>
          <w:sz w:val="24"/>
          <w:szCs w:val="24"/>
        </w:rPr>
        <w:t>…………  APPLICANT</w:t>
      </w:r>
    </w:p>
    <w:p w:rsidR="00915E3D" w:rsidRPr="00727875" w:rsidRDefault="00915E3D" w:rsidP="00915E3D">
      <w:pPr>
        <w:jc w:val="center"/>
        <w:rPr>
          <w:rFonts w:ascii="Times New Roman" w:hAnsi="Times New Roman"/>
          <w:b/>
          <w:sz w:val="24"/>
          <w:szCs w:val="24"/>
        </w:rPr>
      </w:pPr>
      <w:r w:rsidRPr="00727875">
        <w:rPr>
          <w:rFonts w:ascii="Times New Roman" w:hAnsi="Times New Roman"/>
          <w:b/>
          <w:sz w:val="24"/>
          <w:szCs w:val="24"/>
        </w:rPr>
        <w:t>VERSUS</w:t>
      </w:r>
    </w:p>
    <w:p w:rsidR="00915E3D" w:rsidRPr="00727875" w:rsidRDefault="00915E3D" w:rsidP="00915E3D">
      <w:pPr>
        <w:ind w:left="-142" w:firstLine="142"/>
        <w:jc w:val="both"/>
        <w:rPr>
          <w:rFonts w:ascii="Times New Roman" w:hAnsi="Times New Roman"/>
          <w:b/>
          <w:sz w:val="24"/>
          <w:szCs w:val="24"/>
        </w:rPr>
      </w:pPr>
      <w:r w:rsidRPr="00727875">
        <w:rPr>
          <w:rFonts w:ascii="Times New Roman" w:hAnsi="Times New Roman"/>
          <w:b/>
          <w:sz w:val="24"/>
          <w:szCs w:val="24"/>
        </w:rPr>
        <w:t>COMMISIONER LAND RE</w:t>
      </w:r>
      <w:r w:rsidR="00727875">
        <w:rPr>
          <w:rFonts w:ascii="Times New Roman" w:hAnsi="Times New Roman"/>
          <w:b/>
          <w:sz w:val="24"/>
          <w:szCs w:val="24"/>
        </w:rPr>
        <w:t>GISTRATION……</w:t>
      </w:r>
      <w:r w:rsidRPr="00727875">
        <w:rPr>
          <w:rFonts w:ascii="Times New Roman" w:hAnsi="Times New Roman"/>
          <w:b/>
          <w:sz w:val="24"/>
          <w:szCs w:val="24"/>
        </w:rPr>
        <w:t>…………………………  RESPONDENT</w:t>
      </w:r>
    </w:p>
    <w:p w:rsidR="00915E3D" w:rsidRPr="00727875" w:rsidRDefault="00915E3D" w:rsidP="00915E3D">
      <w:pPr>
        <w:ind w:left="-142" w:firstLine="142"/>
        <w:jc w:val="center"/>
        <w:rPr>
          <w:rFonts w:ascii="Times New Roman" w:hAnsi="Times New Roman"/>
          <w:b/>
          <w:sz w:val="24"/>
          <w:szCs w:val="24"/>
          <w:u w:val="single"/>
        </w:rPr>
      </w:pPr>
      <w:r w:rsidRPr="00727875">
        <w:rPr>
          <w:rFonts w:ascii="Times New Roman" w:hAnsi="Times New Roman"/>
          <w:b/>
          <w:sz w:val="24"/>
          <w:szCs w:val="24"/>
          <w:u w:val="single"/>
        </w:rPr>
        <w:t>RULING</w:t>
      </w:r>
    </w:p>
    <w:p w:rsidR="00915E3D" w:rsidRPr="00727875" w:rsidRDefault="00915E3D" w:rsidP="00915E3D">
      <w:pPr>
        <w:tabs>
          <w:tab w:val="left" w:pos="8310"/>
        </w:tabs>
        <w:rPr>
          <w:rFonts w:ascii="Times New Roman" w:hAnsi="Times New Roman"/>
          <w:b/>
          <w:sz w:val="24"/>
          <w:szCs w:val="24"/>
          <w:u w:val="single"/>
        </w:rPr>
      </w:pPr>
      <w:r w:rsidRPr="00727875">
        <w:rPr>
          <w:rFonts w:ascii="Times New Roman" w:hAnsi="Times New Roman"/>
          <w:b/>
          <w:sz w:val="24"/>
          <w:szCs w:val="24"/>
          <w:u w:val="single"/>
        </w:rPr>
        <w:t>BEFORE HONOURABLE LADY JUSTICE EVA K. LUSWATA</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This application was brought by notice of motion under the provisions of Section 167 and 177 of the Registration of Titles Act Cap 230 (RTA) and Order 52 rules 1 and 3 of the Civil Procedure Rules SI 71-1. The applicant sought for the following orders that:</w:t>
      </w:r>
    </w:p>
    <w:p w:rsidR="00915E3D" w:rsidRPr="00727875" w:rsidRDefault="00915E3D" w:rsidP="00915E3D">
      <w:pPr>
        <w:numPr>
          <w:ilvl w:val="0"/>
          <w:numId w:val="1"/>
        </w:numPr>
        <w:spacing w:line="360" w:lineRule="auto"/>
        <w:ind w:right="-164"/>
        <w:jc w:val="both"/>
        <w:rPr>
          <w:rFonts w:ascii="Times New Roman" w:hAnsi="Times New Roman"/>
          <w:sz w:val="24"/>
          <w:szCs w:val="24"/>
        </w:rPr>
      </w:pPr>
      <w:r w:rsidRPr="00727875">
        <w:rPr>
          <w:rFonts w:ascii="Times New Roman" w:hAnsi="Times New Roman"/>
          <w:sz w:val="24"/>
          <w:szCs w:val="24"/>
        </w:rPr>
        <w:t>The Certificate of Title for the piece of land comprised in Kyadondo Block 222 Plots 1515 and 1516 land at Namugongo (hereinafter referred to as the suit land) be vested in the applicant.</w:t>
      </w:r>
    </w:p>
    <w:p w:rsidR="00915E3D" w:rsidRPr="00727875" w:rsidRDefault="00915E3D" w:rsidP="00915E3D">
      <w:pPr>
        <w:numPr>
          <w:ilvl w:val="0"/>
          <w:numId w:val="1"/>
        </w:numPr>
        <w:spacing w:line="360" w:lineRule="auto"/>
        <w:jc w:val="both"/>
        <w:rPr>
          <w:rFonts w:ascii="Times New Roman" w:hAnsi="Times New Roman"/>
          <w:sz w:val="24"/>
          <w:szCs w:val="24"/>
        </w:rPr>
      </w:pPr>
      <w:r w:rsidRPr="00727875">
        <w:rPr>
          <w:rFonts w:ascii="Times New Roman" w:hAnsi="Times New Roman"/>
          <w:sz w:val="24"/>
          <w:szCs w:val="24"/>
        </w:rPr>
        <w:t>There be no order as to costs.</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 grounds upon which this application was based were contained in the affidavits of </w:t>
      </w:r>
      <w:r w:rsidRPr="00727875">
        <w:rPr>
          <w:rFonts w:ascii="Times New Roman" w:hAnsi="Times New Roman"/>
          <w:b/>
          <w:sz w:val="24"/>
          <w:szCs w:val="24"/>
        </w:rPr>
        <w:t>SSENGOOBA ALIFUNSI</w:t>
      </w:r>
      <w:r w:rsidRPr="00727875">
        <w:rPr>
          <w:rFonts w:ascii="Times New Roman" w:hAnsi="Times New Roman"/>
          <w:sz w:val="24"/>
          <w:szCs w:val="24"/>
        </w:rPr>
        <w:t xml:space="preserve"> (the applicant), and that of Freddie Nyanzi.  I noted that both affidavits of Freddie Nyanzi and one by the applicant indicated no date on when the oath was taken which would offend the provisions of section 5 of the Commissioner for Oaths (Advocates) Act.</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Further, both those particular documents bear no evidence of a court stamp, which would indicate that they were not formerly received by this court.  I conclude that they do not form part of the record and as such I will not rely on them.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Fortunately, the applicant did include grounds in his Notice of Motion which I re-produce as follows:-</w:t>
      </w:r>
    </w:p>
    <w:p w:rsidR="00915E3D" w:rsidRPr="00727875" w:rsidRDefault="00915E3D" w:rsidP="00915E3D">
      <w:pPr>
        <w:numPr>
          <w:ilvl w:val="0"/>
          <w:numId w:val="5"/>
        </w:numPr>
        <w:spacing w:line="360" w:lineRule="auto"/>
        <w:jc w:val="both"/>
        <w:rPr>
          <w:rFonts w:ascii="Times New Roman" w:hAnsi="Times New Roman"/>
          <w:sz w:val="24"/>
          <w:szCs w:val="24"/>
        </w:rPr>
      </w:pPr>
      <w:r w:rsidRPr="00727875">
        <w:rPr>
          <w:rFonts w:ascii="Times New Roman" w:hAnsi="Times New Roman"/>
          <w:sz w:val="24"/>
          <w:szCs w:val="24"/>
        </w:rPr>
        <w:t xml:space="preserve">The Vendor and his predecessor in title passed away before effecting transfer of the Land into the Applicant’s names. </w:t>
      </w:r>
    </w:p>
    <w:p w:rsidR="00915E3D" w:rsidRPr="00727875" w:rsidRDefault="00915E3D" w:rsidP="00915E3D">
      <w:pPr>
        <w:numPr>
          <w:ilvl w:val="0"/>
          <w:numId w:val="5"/>
        </w:numPr>
        <w:spacing w:line="360" w:lineRule="auto"/>
        <w:jc w:val="both"/>
        <w:rPr>
          <w:rFonts w:ascii="Times New Roman" w:hAnsi="Times New Roman"/>
          <w:sz w:val="24"/>
          <w:szCs w:val="24"/>
        </w:rPr>
      </w:pPr>
      <w:r w:rsidRPr="00727875">
        <w:rPr>
          <w:rFonts w:ascii="Times New Roman" w:hAnsi="Times New Roman"/>
          <w:sz w:val="24"/>
          <w:szCs w:val="24"/>
        </w:rPr>
        <w:lastRenderedPageBreak/>
        <w:t xml:space="preserve">That the applicant has been in uninterrupted possession of the land since purchasing it and he has fully developed the same, without any other claimant. </w:t>
      </w:r>
    </w:p>
    <w:p w:rsidR="00915E3D" w:rsidRPr="00727875" w:rsidRDefault="00915E3D" w:rsidP="00915E3D">
      <w:pPr>
        <w:numPr>
          <w:ilvl w:val="0"/>
          <w:numId w:val="5"/>
        </w:numPr>
        <w:spacing w:line="360" w:lineRule="auto"/>
        <w:jc w:val="both"/>
        <w:rPr>
          <w:rFonts w:ascii="Times New Roman" w:hAnsi="Times New Roman"/>
          <w:sz w:val="24"/>
          <w:szCs w:val="24"/>
        </w:rPr>
      </w:pPr>
      <w:r w:rsidRPr="00727875">
        <w:rPr>
          <w:rFonts w:ascii="Times New Roman" w:hAnsi="Times New Roman"/>
          <w:sz w:val="24"/>
          <w:szCs w:val="24"/>
        </w:rPr>
        <w:t>There is no known administrator of the estate of the late Edward Kirabira or Julius Kiyanzi Mupere and as such, the applicant is unable to obtain a transfer of the land into his names.</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In addition to this, the applicant also swore a supplementary affidavit on 17/7/12wherein he stated that he had by an over sight omitted to include Block 222 Plot 1514 in the application.  That he had also purchased Plot 1514 from the late Julius Kiyanzi Mupere, son of Edward Kirabira.   That he was also in possession of that land and was not aware of any adverse interest in it.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There was no response to the application despite the respondent having been served with hearing notices. She also failed to turn up for the hearing of 10/12/13 even after having been served on 5/12/13.   In the case of </w:t>
      </w:r>
      <w:r w:rsidRPr="00727875">
        <w:rPr>
          <w:rFonts w:ascii="Times New Roman" w:hAnsi="Times New Roman"/>
          <w:b/>
          <w:sz w:val="24"/>
          <w:szCs w:val="24"/>
        </w:rPr>
        <w:t>Samwiri Massa Vs. Rose Achen [1978] HCB 297</w:t>
      </w:r>
      <w:r w:rsidRPr="00727875">
        <w:rPr>
          <w:rFonts w:ascii="Times New Roman" w:hAnsi="Times New Roman"/>
          <w:sz w:val="24"/>
          <w:szCs w:val="24"/>
        </w:rPr>
        <w:t xml:space="preserve"> it was held that where certain facts are sworn in an affidavit, the burden to deny them is on the other party and if he or she does not,  they are presumed to have been accepted. It is deemed therefore that the respondent had no opposition to the application.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The main issue therefore is whether the applicant is entitled to a vesting order with respect to the three plots above.   The applicant filed written submissions and the respondent did not.</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 law in regard to a vesting order as provided under </w:t>
      </w:r>
      <w:r w:rsidRPr="00727875">
        <w:rPr>
          <w:rFonts w:ascii="Times New Roman" w:hAnsi="Times New Roman"/>
          <w:b/>
          <w:sz w:val="24"/>
          <w:szCs w:val="24"/>
        </w:rPr>
        <w:t>Section 167 of the Registration of Titles Act</w:t>
      </w:r>
      <w:r w:rsidRPr="00727875">
        <w:rPr>
          <w:rFonts w:ascii="Times New Roman" w:hAnsi="Times New Roman"/>
          <w:sz w:val="24"/>
          <w:szCs w:val="24"/>
        </w:rPr>
        <w:t xml:space="preserve"> states as follows:</w:t>
      </w:r>
    </w:p>
    <w:p w:rsidR="00915E3D" w:rsidRPr="00727875" w:rsidRDefault="00915E3D" w:rsidP="00915E3D">
      <w:pPr>
        <w:spacing w:line="240" w:lineRule="auto"/>
        <w:jc w:val="both"/>
        <w:rPr>
          <w:rFonts w:ascii="Times New Roman" w:hAnsi="Times New Roman"/>
          <w:i/>
          <w:sz w:val="24"/>
          <w:szCs w:val="24"/>
        </w:rPr>
      </w:pPr>
      <w:r w:rsidRPr="00727875">
        <w:rPr>
          <w:rFonts w:ascii="Times New Roman" w:hAnsi="Times New Roman"/>
          <w:sz w:val="24"/>
          <w:szCs w:val="24"/>
        </w:rPr>
        <w:t>“</w:t>
      </w:r>
      <w:r w:rsidRPr="00727875">
        <w:rPr>
          <w:rFonts w:ascii="Times New Roman" w:hAnsi="Times New Roman"/>
          <w:i/>
          <w:sz w:val="24"/>
          <w:szCs w:val="24"/>
        </w:rPr>
        <w:t xml:space="preserve">If it is proved </w:t>
      </w:r>
      <w:r w:rsidRPr="00727875">
        <w:rPr>
          <w:rFonts w:ascii="Times New Roman" w:hAnsi="Times New Roman"/>
          <w:i/>
          <w:sz w:val="24"/>
          <w:szCs w:val="24"/>
          <w:u w:val="single"/>
        </w:rPr>
        <w:t>to the satisfaction of the Registrar</w:t>
      </w:r>
      <w:r w:rsidRPr="00727875">
        <w:rPr>
          <w:rFonts w:ascii="Times New Roman" w:hAnsi="Times New Roman"/>
          <w:i/>
          <w:sz w:val="24"/>
          <w:szCs w:val="24"/>
        </w:rPr>
        <w:t xml:space="preserve"> that land under this Act has been </w:t>
      </w:r>
      <w:r w:rsidRPr="00727875">
        <w:rPr>
          <w:rFonts w:ascii="Times New Roman" w:hAnsi="Times New Roman"/>
          <w:i/>
          <w:sz w:val="24"/>
          <w:szCs w:val="24"/>
          <w:u w:val="single"/>
        </w:rPr>
        <w:t>sold by the proprietor</w:t>
      </w:r>
      <w:r w:rsidRPr="00727875">
        <w:rPr>
          <w:rFonts w:ascii="Times New Roman" w:hAnsi="Times New Roman"/>
          <w:i/>
          <w:sz w:val="24"/>
          <w:szCs w:val="24"/>
        </w:rPr>
        <w:t xml:space="preserve"> and the </w:t>
      </w:r>
      <w:r w:rsidRPr="00727875">
        <w:rPr>
          <w:rFonts w:ascii="Times New Roman" w:hAnsi="Times New Roman"/>
          <w:i/>
          <w:sz w:val="24"/>
          <w:szCs w:val="24"/>
          <w:u w:val="single"/>
        </w:rPr>
        <w:t>whole of the purchase money paid</w:t>
      </w:r>
      <w:r w:rsidRPr="00727875">
        <w:rPr>
          <w:rFonts w:ascii="Times New Roman" w:hAnsi="Times New Roman"/>
          <w:i/>
          <w:sz w:val="24"/>
          <w:szCs w:val="24"/>
        </w:rPr>
        <w:t xml:space="preserve">, and that the purchaser has or those claiming under the purchaser,  have entered and taken possession under the purchase, and that entry and possession have been </w:t>
      </w:r>
      <w:r w:rsidRPr="00727875">
        <w:rPr>
          <w:rFonts w:ascii="Times New Roman" w:hAnsi="Times New Roman"/>
          <w:i/>
          <w:sz w:val="24"/>
          <w:szCs w:val="24"/>
          <w:u w:val="single"/>
        </w:rPr>
        <w:t>acquiesced to by the vendor</w:t>
      </w:r>
      <w:r w:rsidRPr="00727875">
        <w:rPr>
          <w:rFonts w:ascii="Times New Roman" w:hAnsi="Times New Roman"/>
          <w:i/>
          <w:sz w:val="24"/>
          <w:szCs w:val="24"/>
        </w:rPr>
        <w:t xml:space="preserve"> or his or her representatives, but that a transfer has never been executed by the vendor and cannot be obtained by reason that the vendor is dead or residing out of the jurisdiction or cannot be found, </w:t>
      </w:r>
      <w:r w:rsidRPr="00727875">
        <w:rPr>
          <w:rFonts w:ascii="Times New Roman" w:hAnsi="Times New Roman"/>
          <w:i/>
          <w:sz w:val="24"/>
          <w:szCs w:val="24"/>
          <w:u w:val="single"/>
        </w:rPr>
        <w:t>the Registrar</w:t>
      </w:r>
      <w:r w:rsidRPr="00727875">
        <w:rPr>
          <w:rFonts w:ascii="Times New Roman" w:hAnsi="Times New Roman"/>
          <w:i/>
          <w:sz w:val="24"/>
          <w:szCs w:val="24"/>
        </w:rPr>
        <w:t xml:space="preserve"> may make </w:t>
      </w:r>
      <w:r w:rsidRPr="00727875">
        <w:rPr>
          <w:rFonts w:ascii="Times New Roman" w:hAnsi="Times New Roman"/>
          <w:i/>
          <w:sz w:val="24"/>
          <w:szCs w:val="24"/>
          <w:u w:val="single"/>
        </w:rPr>
        <w:t>a vesting order</w:t>
      </w:r>
      <w:r w:rsidRPr="00727875">
        <w:rPr>
          <w:rFonts w:ascii="Times New Roman" w:hAnsi="Times New Roman"/>
          <w:i/>
          <w:sz w:val="24"/>
          <w:szCs w:val="24"/>
        </w:rPr>
        <w:t xml:space="preserve"> in the premises and may include in the order a direction for the payment of such an additional fee in respect of assurance of title as he or she may think fit, and the Registrar upon payment of that additional fee, if any, shall effect the registration directed to be made by Section 166 in the case of the vesting orders mentioned there, and the effecting or the omission to effect that registration shall be attended by the same results as declared by Section 166 in respect of the vesting orders mentioned there.”</w:t>
      </w:r>
      <w:r w:rsidRPr="00727875">
        <w:rPr>
          <w:rFonts w:ascii="Times New Roman" w:hAnsi="Times New Roman"/>
          <w:sz w:val="24"/>
          <w:szCs w:val="24"/>
          <w:u w:val="single"/>
        </w:rPr>
        <w:t>emphasis mine</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lastRenderedPageBreak/>
        <w:t xml:space="preserve">The above Section was interpreted in the case of </w:t>
      </w:r>
      <w:r w:rsidRPr="00727875">
        <w:rPr>
          <w:rFonts w:ascii="Times New Roman" w:hAnsi="Times New Roman"/>
          <w:b/>
          <w:sz w:val="24"/>
          <w:szCs w:val="24"/>
        </w:rPr>
        <w:t xml:space="preserve">Re Ivan Mutaka [1980] HCB 27 </w:t>
      </w:r>
      <w:r w:rsidRPr="00727875">
        <w:rPr>
          <w:rFonts w:ascii="Times New Roman" w:hAnsi="Times New Roman"/>
          <w:sz w:val="24"/>
          <w:szCs w:val="24"/>
        </w:rPr>
        <w:t>by</w:t>
      </w:r>
      <w:r w:rsidRPr="00727875">
        <w:rPr>
          <w:rFonts w:ascii="Times New Roman" w:hAnsi="Times New Roman"/>
          <w:b/>
          <w:sz w:val="24"/>
          <w:szCs w:val="24"/>
        </w:rPr>
        <w:t xml:space="preserve"> Odoki Ag. J</w:t>
      </w:r>
      <w:r w:rsidRPr="00727875">
        <w:rPr>
          <w:rFonts w:ascii="Times New Roman" w:hAnsi="Times New Roman"/>
          <w:sz w:val="24"/>
          <w:szCs w:val="24"/>
        </w:rPr>
        <w:t xml:space="preserve"> (as he then was) where he held that;</w:t>
      </w:r>
    </w:p>
    <w:p w:rsidR="00915E3D" w:rsidRPr="00727875" w:rsidRDefault="00915E3D" w:rsidP="00915E3D">
      <w:pPr>
        <w:spacing w:line="360" w:lineRule="auto"/>
        <w:jc w:val="both"/>
        <w:rPr>
          <w:rFonts w:ascii="Times New Roman" w:hAnsi="Times New Roman"/>
          <w:i/>
          <w:sz w:val="24"/>
          <w:szCs w:val="24"/>
        </w:rPr>
      </w:pPr>
      <w:r w:rsidRPr="00727875">
        <w:rPr>
          <w:rFonts w:ascii="Times New Roman" w:hAnsi="Times New Roman"/>
          <w:i/>
          <w:sz w:val="24"/>
          <w:szCs w:val="24"/>
        </w:rPr>
        <w:t>“…Before the court makes a vesting order, the following circumstances must be proved:-</w:t>
      </w:r>
    </w:p>
    <w:p w:rsidR="00915E3D" w:rsidRPr="00727875" w:rsidRDefault="00915E3D" w:rsidP="00915E3D">
      <w:pPr>
        <w:numPr>
          <w:ilvl w:val="0"/>
          <w:numId w:val="2"/>
        </w:numPr>
        <w:spacing w:line="360" w:lineRule="auto"/>
        <w:jc w:val="both"/>
        <w:rPr>
          <w:rFonts w:ascii="Times New Roman" w:hAnsi="Times New Roman"/>
          <w:i/>
          <w:sz w:val="24"/>
          <w:szCs w:val="24"/>
        </w:rPr>
      </w:pPr>
      <w:r w:rsidRPr="00727875">
        <w:rPr>
          <w:rFonts w:ascii="Times New Roman" w:hAnsi="Times New Roman"/>
          <w:i/>
          <w:sz w:val="24"/>
          <w:szCs w:val="24"/>
        </w:rPr>
        <w:t>That there has been a sale of land the title of which is registered under the Act;</w:t>
      </w:r>
    </w:p>
    <w:p w:rsidR="00915E3D" w:rsidRPr="00727875" w:rsidRDefault="00915E3D" w:rsidP="00915E3D">
      <w:pPr>
        <w:numPr>
          <w:ilvl w:val="0"/>
          <w:numId w:val="2"/>
        </w:numPr>
        <w:spacing w:line="360" w:lineRule="auto"/>
        <w:jc w:val="both"/>
        <w:rPr>
          <w:rFonts w:ascii="Times New Roman" w:hAnsi="Times New Roman"/>
          <w:i/>
          <w:sz w:val="24"/>
          <w:szCs w:val="24"/>
        </w:rPr>
      </w:pPr>
      <w:r w:rsidRPr="00727875">
        <w:rPr>
          <w:rFonts w:ascii="Times New Roman" w:hAnsi="Times New Roman"/>
          <w:i/>
          <w:sz w:val="24"/>
          <w:szCs w:val="24"/>
        </w:rPr>
        <w:t>That the whole of the purchase price has been paid;</w:t>
      </w:r>
    </w:p>
    <w:p w:rsidR="00915E3D" w:rsidRPr="00727875" w:rsidRDefault="00915E3D" w:rsidP="00915E3D">
      <w:pPr>
        <w:numPr>
          <w:ilvl w:val="0"/>
          <w:numId w:val="2"/>
        </w:numPr>
        <w:spacing w:line="360" w:lineRule="auto"/>
        <w:jc w:val="both"/>
        <w:rPr>
          <w:rFonts w:ascii="Times New Roman" w:hAnsi="Times New Roman"/>
          <w:i/>
          <w:sz w:val="24"/>
          <w:szCs w:val="24"/>
        </w:rPr>
      </w:pPr>
      <w:r w:rsidRPr="00727875">
        <w:rPr>
          <w:rFonts w:ascii="Times New Roman" w:hAnsi="Times New Roman"/>
          <w:i/>
          <w:sz w:val="24"/>
          <w:szCs w:val="24"/>
        </w:rPr>
        <w:t>That the purchaser (or those claiming under him or her) has taken possession of the land;</w:t>
      </w:r>
    </w:p>
    <w:p w:rsidR="00915E3D" w:rsidRPr="00727875" w:rsidRDefault="00915E3D" w:rsidP="00915E3D">
      <w:pPr>
        <w:numPr>
          <w:ilvl w:val="0"/>
          <w:numId w:val="2"/>
        </w:numPr>
        <w:spacing w:line="360" w:lineRule="auto"/>
        <w:jc w:val="both"/>
        <w:rPr>
          <w:rFonts w:ascii="Times New Roman" w:hAnsi="Times New Roman"/>
          <w:i/>
          <w:sz w:val="24"/>
          <w:szCs w:val="24"/>
          <w:u w:val="single"/>
        </w:rPr>
      </w:pPr>
      <w:r w:rsidRPr="00727875">
        <w:rPr>
          <w:rFonts w:ascii="Times New Roman" w:hAnsi="Times New Roman"/>
          <w:i/>
          <w:sz w:val="24"/>
          <w:szCs w:val="24"/>
        </w:rPr>
        <w:t xml:space="preserve">That the entry into possession by the purchaser has been acquiesced </w:t>
      </w:r>
      <w:r w:rsidRPr="00727875">
        <w:rPr>
          <w:rFonts w:ascii="Times New Roman" w:hAnsi="Times New Roman"/>
          <w:i/>
          <w:sz w:val="24"/>
          <w:szCs w:val="24"/>
          <w:u w:val="single"/>
        </w:rPr>
        <w:t>in by the vendor or his or her representatives;</w:t>
      </w:r>
    </w:p>
    <w:p w:rsidR="00915E3D" w:rsidRPr="00727875" w:rsidRDefault="00915E3D" w:rsidP="00915E3D">
      <w:pPr>
        <w:numPr>
          <w:ilvl w:val="0"/>
          <w:numId w:val="2"/>
        </w:numPr>
        <w:spacing w:line="360" w:lineRule="auto"/>
        <w:jc w:val="both"/>
        <w:rPr>
          <w:rFonts w:ascii="Times New Roman" w:hAnsi="Times New Roman"/>
          <w:i/>
          <w:sz w:val="24"/>
          <w:szCs w:val="24"/>
        </w:rPr>
      </w:pPr>
      <w:r w:rsidRPr="00727875">
        <w:rPr>
          <w:rFonts w:ascii="Times New Roman" w:hAnsi="Times New Roman"/>
          <w:i/>
          <w:sz w:val="24"/>
          <w:szCs w:val="24"/>
        </w:rPr>
        <w:t>That a transfer has not been executed and cannot be obtained because,</w:t>
      </w:r>
    </w:p>
    <w:p w:rsidR="00915E3D" w:rsidRPr="00727875" w:rsidRDefault="00915E3D" w:rsidP="00915E3D">
      <w:pPr>
        <w:numPr>
          <w:ilvl w:val="0"/>
          <w:numId w:val="3"/>
        </w:numPr>
        <w:spacing w:line="360" w:lineRule="auto"/>
        <w:jc w:val="both"/>
        <w:rPr>
          <w:rFonts w:ascii="Times New Roman" w:hAnsi="Times New Roman"/>
          <w:i/>
          <w:sz w:val="24"/>
          <w:szCs w:val="24"/>
        </w:rPr>
      </w:pPr>
      <w:r w:rsidRPr="00727875">
        <w:rPr>
          <w:rFonts w:ascii="Times New Roman" w:hAnsi="Times New Roman"/>
          <w:i/>
          <w:sz w:val="24"/>
          <w:szCs w:val="24"/>
        </w:rPr>
        <w:t>The vendor is dead, or</w:t>
      </w:r>
    </w:p>
    <w:p w:rsidR="00915E3D" w:rsidRPr="00727875" w:rsidRDefault="00915E3D" w:rsidP="00915E3D">
      <w:pPr>
        <w:numPr>
          <w:ilvl w:val="0"/>
          <w:numId w:val="3"/>
        </w:numPr>
        <w:spacing w:line="360" w:lineRule="auto"/>
        <w:jc w:val="both"/>
        <w:rPr>
          <w:rFonts w:ascii="Times New Roman" w:hAnsi="Times New Roman"/>
          <w:i/>
          <w:sz w:val="24"/>
          <w:szCs w:val="24"/>
        </w:rPr>
      </w:pPr>
      <w:r w:rsidRPr="00727875">
        <w:rPr>
          <w:rFonts w:ascii="Times New Roman" w:hAnsi="Times New Roman"/>
          <w:i/>
          <w:sz w:val="24"/>
          <w:szCs w:val="24"/>
        </w:rPr>
        <w:t>The vendor is residing out of jurisdiction, or</w:t>
      </w:r>
    </w:p>
    <w:p w:rsidR="00915E3D" w:rsidRPr="00727875" w:rsidRDefault="00915E3D" w:rsidP="00915E3D">
      <w:pPr>
        <w:numPr>
          <w:ilvl w:val="0"/>
          <w:numId w:val="3"/>
        </w:numPr>
        <w:spacing w:line="360" w:lineRule="auto"/>
        <w:jc w:val="both"/>
        <w:rPr>
          <w:rFonts w:ascii="Times New Roman" w:hAnsi="Times New Roman"/>
          <w:i/>
          <w:sz w:val="24"/>
          <w:szCs w:val="24"/>
        </w:rPr>
      </w:pPr>
      <w:r w:rsidRPr="00727875">
        <w:rPr>
          <w:rFonts w:ascii="Times New Roman" w:hAnsi="Times New Roman"/>
          <w:i/>
          <w:sz w:val="24"/>
          <w:szCs w:val="24"/>
        </w:rPr>
        <w:t>The vendor cannot be found.”</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In my view,  the application will succeed only if the following are satisfied:-</w:t>
      </w:r>
    </w:p>
    <w:p w:rsidR="00915E3D" w:rsidRPr="00727875" w:rsidRDefault="00915E3D" w:rsidP="00915E3D">
      <w:pPr>
        <w:numPr>
          <w:ilvl w:val="0"/>
          <w:numId w:val="4"/>
        </w:numPr>
        <w:spacing w:line="360" w:lineRule="auto"/>
        <w:jc w:val="both"/>
        <w:rPr>
          <w:rFonts w:ascii="Times New Roman" w:hAnsi="Times New Roman"/>
          <w:sz w:val="24"/>
          <w:szCs w:val="24"/>
        </w:rPr>
      </w:pPr>
      <w:r w:rsidRPr="00727875">
        <w:rPr>
          <w:rFonts w:ascii="Times New Roman" w:hAnsi="Times New Roman"/>
          <w:sz w:val="24"/>
          <w:szCs w:val="24"/>
        </w:rPr>
        <w:t xml:space="preserve">That the applicant purchased from the registered proprietor. </w:t>
      </w:r>
    </w:p>
    <w:p w:rsidR="00915E3D" w:rsidRPr="00727875" w:rsidRDefault="00915E3D" w:rsidP="00915E3D">
      <w:pPr>
        <w:numPr>
          <w:ilvl w:val="0"/>
          <w:numId w:val="4"/>
        </w:numPr>
        <w:spacing w:line="360" w:lineRule="auto"/>
        <w:jc w:val="both"/>
        <w:rPr>
          <w:rFonts w:ascii="Times New Roman" w:hAnsi="Times New Roman"/>
          <w:sz w:val="24"/>
          <w:szCs w:val="24"/>
        </w:rPr>
      </w:pPr>
      <w:r w:rsidRPr="00727875">
        <w:rPr>
          <w:rFonts w:ascii="Times New Roman" w:hAnsi="Times New Roman"/>
          <w:sz w:val="24"/>
          <w:szCs w:val="24"/>
        </w:rPr>
        <w:t xml:space="preserve">That the whole of the purchase price was paid. </w:t>
      </w:r>
    </w:p>
    <w:p w:rsidR="00915E3D" w:rsidRPr="00727875" w:rsidRDefault="00915E3D" w:rsidP="00915E3D">
      <w:pPr>
        <w:numPr>
          <w:ilvl w:val="0"/>
          <w:numId w:val="4"/>
        </w:numPr>
        <w:spacing w:line="360" w:lineRule="auto"/>
        <w:jc w:val="both"/>
        <w:rPr>
          <w:rFonts w:ascii="Times New Roman" w:hAnsi="Times New Roman"/>
          <w:sz w:val="24"/>
          <w:szCs w:val="24"/>
        </w:rPr>
      </w:pPr>
      <w:r w:rsidRPr="00727875">
        <w:rPr>
          <w:rFonts w:ascii="Times New Roman" w:hAnsi="Times New Roman"/>
          <w:sz w:val="24"/>
          <w:szCs w:val="24"/>
        </w:rPr>
        <w:t>What the applicant or those claiming under him took possession of the suit land.</w:t>
      </w:r>
    </w:p>
    <w:p w:rsidR="00915E3D" w:rsidRPr="00727875" w:rsidRDefault="00915E3D" w:rsidP="00915E3D">
      <w:pPr>
        <w:numPr>
          <w:ilvl w:val="0"/>
          <w:numId w:val="4"/>
        </w:numPr>
        <w:spacing w:line="360" w:lineRule="auto"/>
        <w:jc w:val="both"/>
        <w:rPr>
          <w:rFonts w:ascii="Times New Roman" w:hAnsi="Times New Roman"/>
          <w:sz w:val="24"/>
          <w:szCs w:val="24"/>
        </w:rPr>
      </w:pPr>
      <w:r w:rsidRPr="00727875">
        <w:rPr>
          <w:rFonts w:ascii="Times New Roman" w:hAnsi="Times New Roman"/>
          <w:sz w:val="24"/>
          <w:szCs w:val="24"/>
        </w:rPr>
        <w:t>That the vendor or his representatives acquiesced to the applicant’s taking possession.</w:t>
      </w:r>
    </w:p>
    <w:p w:rsidR="00915E3D" w:rsidRPr="00727875" w:rsidRDefault="00915E3D" w:rsidP="00915E3D">
      <w:pPr>
        <w:numPr>
          <w:ilvl w:val="0"/>
          <w:numId w:val="4"/>
        </w:numPr>
        <w:spacing w:line="360" w:lineRule="auto"/>
        <w:jc w:val="both"/>
        <w:rPr>
          <w:rFonts w:ascii="Times New Roman" w:hAnsi="Times New Roman"/>
          <w:sz w:val="24"/>
          <w:szCs w:val="24"/>
        </w:rPr>
      </w:pPr>
      <w:r w:rsidRPr="00727875">
        <w:rPr>
          <w:rFonts w:ascii="Times New Roman" w:hAnsi="Times New Roman"/>
          <w:sz w:val="24"/>
          <w:szCs w:val="24"/>
        </w:rPr>
        <w:t>That a transfer form cannot be reasonably obtained (emphasis mine).</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A plain reading of section 167 RTA indicates that the powers therein are a preserve of the Registrar of Titles.  The short title to that section is indicative enough.  The application before me therefore would be, at the outset, misconceived.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lastRenderedPageBreak/>
        <w:t xml:space="preserve">However, courts have previously taken a more liberal approach to that section.  In particular, the Court of Appeal in </w:t>
      </w:r>
      <w:r w:rsidRPr="00727875">
        <w:rPr>
          <w:rFonts w:ascii="Times New Roman" w:hAnsi="Times New Roman"/>
          <w:b/>
          <w:sz w:val="24"/>
          <w:szCs w:val="24"/>
        </w:rPr>
        <w:t>Aida Najjemba Vs Esther Mpagi</w:t>
      </w:r>
      <w:r w:rsidRPr="00727875">
        <w:rPr>
          <w:rFonts w:ascii="Times New Roman" w:hAnsi="Times New Roman"/>
          <w:sz w:val="24"/>
          <w:szCs w:val="24"/>
        </w:rPr>
        <w:t xml:space="preserve"> was of the view that although an application for a vesting Order must be made to the Registrar of Tittles, the High Court has unlimited jurisdiction in all matters.  I take a similar position, and will thus entertain this application.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 above notwithstanding, in the absence of the supporting affidavits, I am only able to rely on the grounds in the application which are by the nature of the application, quite limited.  Therein, the applicant shows that the vendor and </w:t>
      </w:r>
      <w:r w:rsidRPr="00727875">
        <w:rPr>
          <w:rFonts w:ascii="Times New Roman" w:hAnsi="Times New Roman"/>
          <w:sz w:val="24"/>
          <w:szCs w:val="24"/>
          <w:u w:val="single"/>
        </w:rPr>
        <w:t>his predecessor</w:t>
      </w:r>
      <w:r w:rsidRPr="00727875">
        <w:rPr>
          <w:rFonts w:ascii="Times New Roman" w:hAnsi="Times New Roman"/>
          <w:sz w:val="24"/>
          <w:szCs w:val="24"/>
        </w:rPr>
        <w:t xml:space="preserve"> passed away before affecting the transfer of the suit land into his names.  That he has since the purchase been in uninterrupted possession thereof and developed it without any adverse claim.  And also that there is no known administrator of the estate of the late Edward Kirabira or Julius Kirabira Mupere,  the latter from whom he purchased the land.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In his supplementary affidavit, the applicant mentions that he also purchased Block 222 Plot 1514 from Julius Kiyanzi Mupere son of Edward Kirabira and seeks a vesting order with respect of all three plots namely Block 222 Plots 1514, 1515 and 1516.</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Although I have chosen to ignore the contents of the affidavit sworn by the applicant and Freddie Nyanzi, by inference, the supplementary affidavit brings out the fact that the land was at one time the property of Edward Kirabira.  This fact is supported by a search report of the commissioner of Land Registration dated 27/2/12.  It is a public document that I will take cognizance of (albeit the fact that it was presented with an affidavit that I have found to be defective).  According to the report, Edward Kirabira was registered as proprietor with respect to Block 222 Plots 1515 and 1516, Namugongo on 14/8/73 vide instrument No.70321 of that date.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Therefore, going by the contents of the application and that report, Edward Kirabira is the registered owner of the suit land and, Julius Kiyanzi Mupere merely his successor.  In both the application and the submissions by counsel, it is clear that the vendor in the transaction was Julius Kiyanzi Mupere as successor of Edward Kirabira.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 provisions of section 167 of the RTA are clear.  The transaction must be by the registered proprietor and no other person.  Where he is deceased, then section 268 of the Succession Act comes in operation.  Julius Kiyanzi Mupere would in law be permitted to deal with the suit land </w:t>
      </w:r>
      <w:r w:rsidRPr="00727875">
        <w:rPr>
          <w:rFonts w:ascii="Times New Roman" w:hAnsi="Times New Roman"/>
          <w:sz w:val="24"/>
          <w:szCs w:val="24"/>
        </w:rPr>
        <w:lastRenderedPageBreak/>
        <w:t xml:space="preserve">only after he obtained Letters of Administration with respect to Edward Kirabira’s estate.  No evidence was adduced to show that he was the administrator of that estate at the time of the sale,  and as such, he could not sell the suit land.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Therefore, whether the applicant did pay the full purchase price is irrelevant. No vesting order can be made with regard to a transaction in which the registered proprietor or if deceased, the administrator of his estate was not a party.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 fact that there is no known administrator with respect of Julius Kiyanzi Mupere’s estate is also irrelevant.   The sale was at the onset was  void for Mupere should have first obtained a grant before dealing in the land.   I am accordingly unable to grant the vesting order as requested.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The applicant by his supplementary affidavit attempts to apply for a vesting order with respect to Block 222 Plot 1514.  An affidavit is evidence that is usually used to support a substantive application and cannot amount to an application of any kind known in procedural law.  It is evident that   Plot 1514 was never mentioned in the application and in fact, no proof was attached to the affidavit to support the fact that it is also in the names of Edward Kirabira. I accordingly decline to grant that prayer as well.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Having decided that the applicant purchased the suit land from a party, who in law,  had no powers to deal with it, I do not find it necessary to make a finding on whether the full purchase price was ever  paid or that a transfer cannot be reasonably obtained.  However, it is mentioned in the application that the applicant has been in uninterrupted possession of the land since its purchase and has fully developed the same, without any adverse claim.  He may as a result have acquired certain equitable rights through prolonged and uninterrupted possession.  In my estimation,  he may still be able to obtain registration if he were to pursue administration of the late Edward Kirabira as a ‘creditor/purchaser’ or better,  seek the intervention of the Administrator General who by law has the mandate to administer estates of all deceased persons in Uganda, to pursue the grant.  The Administrator General can then complete the transaction.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t xml:space="preserve">In conclusion, I find that the applicant has failed to fulfill the conditions of a vesting order with respect to Block 222 Plots 1514, 1515 and 1516 Namugongo.  I decline to make the order and it is hereby dismissed.  The application was uncontested and I thereby make no order, as to costs. </w:t>
      </w:r>
    </w:p>
    <w:p w:rsidR="00915E3D" w:rsidRPr="00727875" w:rsidRDefault="00915E3D" w:rsidP="00915E3D">
      <w:pPr>
        <w:spacing w:line="360" w:lineRule="auto"/>
        <w:jc w:val="both"/>
        <w:rPr>
          <w:rFonts w:ascii="Times New Roman" w:hAnsi="Times New Roman"/>
          <w:sz w:val="24"/>
          <w:szCs w:val="24"/>
        </w:rPr>
      </w:pPr>
      <w:r w:rsidRPr="00727875">
        <w:rPr>
          <w:rFonts w:ascii="Times New Roman" w:hAnsi="Times New Roman"/>
          <w:sz w:val="24"/>
          <w:szCs w:val="24"/>
        </w:rPr>
        <w:lastRenderedPageBreak/>
        <w:t>Dated at Kampala the 19</w:t>
      </w:r>
      <w:r w:rsidRPr="00727875">
        <w:rPr>
          <w:rFonts w:ascii="Times New Roman" w:hAnsi="Times New Roman"/>
          <w:sz w:val="24"/>
          <w:szCs w:val="24"/>
          <w:vertAlign w:val="superscript"/>
        </w:rPr>
        <w:t>th</w:t>
      </w:r>
      <w:r w:rsidRPr="00727875">
        <w:rPr>
          <w:rFonts w:ascii="Times New Roman" w:hAnsi="Times New Roman"/>
          <w:sz w:val="24"/>
          <w:szCs w:val="24"/>
        </w:rPr>
        <w:t xml:space="preserve">day of December, 2013. </w:t>
      </w:r>
    </w:p>
    <w:p w:rsidR="00915E3D" w:rsidRPr="00727875" w:rsidRDefault="00915E3D" w:rsidP="00915E3D">
      <w:pPr>
        <w:spacing w:line="360" w:lineRule="auto"/>
        <w:jc w:val="both"/>
        <w:rPr>
          <w:rFonts w:ascii="Times New Roman" w:hAnsi="Times New Roman"/>
          <w:sz w:val="24"/>
          <w:szCs w:val="24"/>
        </w:rPr>
      </w:pPr>
    </w:p>
    <w:p w:rsidR="00915E3D" w:rsidRPr="00727875" w:rsidRDefault="00915E3D" w:rsidP="00915E3D">
      <w:pPr>
        <w:pStyle w:val="NoSpacing"/>
        <w:rPr>
          <w:rFonts w:ascii="Times New Roman" w:hAnsi="Times New Roman"/>
          <w:sz w:val="24"/>
          <w:szCs w:val="24"/>
        </w:rPr>
      </w:pPr>
      <w:r w:rsidRPr="00727875">
        <w:rPr>
          <w:rFonts w:ascii="Times New Roman" w:hAnsi="Times New Roman"/>
          <w:sz w:val="24"/>
          <w:szCs w:val="24"/>
        </w:rPr>
        <w:t>……………………………………………</w:t>
      </w:r>
    </w:p>
    <w:p w:rsidR="00915E3D" w:rsidRPr="00727875" w:rsidRDefault="00915E3D" w:rsidP="00915E3D">
      <w:pPr>
        <w:pStyle w:val="NoSpacing"/>
        <w:rPr>
          <w:rFonts w:ascii="Times New Roman" w:hAnsi="Times New Roman"/>
          <w:b/>
          <w:sz w:val="24"/>
          <w:szCs w:val="24"/>
        </w:rPr>
      </w:pPr>
      <w:r w:rsidRPr="00727875">
        <w:rPr>
          <w:rFonts w:ascii="Times New Roman" w:hAnsi="Times New Roman"/>
          <w:b/>
          <w:sz w:val="24"/>
          <w:szCs w:val="24"/>
        </w:rPr>
        <w:t xml:space="preserve">EVA K. LUSWATA </w:t>
      </w:r>
    </w:p>
    <w:p w:rsidR="00915E3D" w:rsidRPr="00727875" w:rsidRDefault="00915E3D" w:rsidP="00915E3D">
      <w:pPr>
        <w:pStyle w:val="NoSpacing"/>
        <w:rPr>
          <w:rFonts w:ascii="Times New Roman" w:hAnsi="Times New Roman"/>
          <w:b/>
          <w:sz w:val="24"/>
          <w:szCs w:val="24"/>
        </w:rPr>
      </w:pPr>
      <w:r w:rsidRPr="00727875">
        <w:rPr>
          <w:rFonts w:ascii="Times New Roman" w:hAnsi="Times New Roman"/>
          <w:b/>
          <w:sz w:val="24"/>
          <w:szCs w:val="24"/>
        </w:rPr>
        <w:t>JUDGE</w:t>
      </w:r>
    </w:p>
    <w:p w:rsidR="00915E3D" w:rsidRPr="00727875" w:rsidRDefault="00915E3D" w:rsidP="00915E3D">
      <w:pPr>
        <w:pStyle w:val="NoSpacing"/>
        <w:rPr>
          <w:rFonts w:ascii="Times New Roman" w:hAnsi="Times New Roman"/>
          <w:b/>
          <w:sz w:val="24"/>
          <w:szCs w:val="24"/>
        </w:rPr>
      </w:pPr>
    </w:p>
    <w:p w:rsidR="00915E3D" w:rsidRPr="00727875" w:rsidRDefault="00915E3D" w:rsidP="00915E3D">
      <w:pPr>
        <w:pStyle w:val="NoSpacing"/>
        <w:rPr>
          <w:rFonts w:ascii="Times New Roman" w:hAnsi="Times New Roman"/>
          <w:b/>
          <w:sz w:val="24"/>
          <w:szCs w:val="24"/>
        </w:rPr>
      </w:pPr>
    </w:p>
    <w:p w:rsidR="00915E3D" w:rsidRPr="00727875" w:rsidRDefault="00915E3D" w:rsidP="00915E3D">
      <w:pPr>
        <w:pStyle w:val="NoSpacing"/>
        <w:rPr>
          <w:rFonts w:ascii="Times New Roman" w:hAnsi="Times New Roman"/>
          <w:b/>
          <w:sz w:val="24"/>
          <w:szCs w:val="24"/>
        </w:rPr>
      </w:pPr>
    </w:p>
    <w:p w:rsidR="0092502B" w:rsidRPr="00727875" w:rsidRDefault="0092502B">
      <w:pPr>
        <w:rPr>
          <w:rFonts w:ascii="Times New Roman" w:hAnsi="Times New Roman"/>
          <w:sz w:val="24"/>
          <w:szCs w:val="24"/>
        </w:rPr>
      </w:pPr>
    </w:p>
    <w:sectPr w:rsidR="0092502B" w:rsidRPr="0072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842"/>
    <w:multiLevelType w:val="hybridMultilevel"/>
    <w:tmpl w:val="43DE2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953AC"/>
    <w:multiLevelType w:val="hybridMultilevel"/>
    <w:tmpl w:val="61B6F888"/>
    <w:lvl w:ilvl="0" w:tplc="E98E7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651E49"/>
    <w:multiLevelType w:val="hybridMultilevel"/>
    <w:tmpl w:val="6F04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4348F"/>
    <w:multiLevelType w:val="hybridMultilevel"/>
    <w:tmpl w:val="1184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344D66"/>
    <w:multiLevelType w:val="hybridMultilevel"/>
    <w:tmpl w:val="B9629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3D"/>
    <w:rsid w:val="00727875"/>
    <w:rsid w:val="00915E3D"/>
    <w:rsid w:val="0092502B"/>
    <w:rsid w:val="00CC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E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E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2017-01-31T07:56:00Z</dcterms:created>
  <dcterms:modified xsi:type="dcterms:W3CDTF">2017-01-31T07:56:00Z</dcterms:modified>
</cp:coreProperties>
</file>