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33" w:rsidRPr="00133202" w:rsidRDefault="00C00E33" w:rsidP="00C00E33">
      <w:pPr>
        <w:jc w:val="center"/>
        <w:rPr>
          <w:rFonts w:ascii="Constantia" w:hAnsi="Constantia"/>
          <w:b/>
          <w:sz w:val="24"/>
          <w:szCs w:val="24"/>
          <w:u w:val="single"/>
        </w:rPr>
      </w:pPr>
      <w:r w:rsidRPr="00133202">
        <w:rPr>
          <w:rFonts w:ascii="Constantia" w:hAnsi="Constantia"/>
          <w:b/>
          <w:sz w:val="24"/>
          <w:szCs w:val="24"/>
          <w:u w:val="single"/>
        </w:rPr>
        <w:t>THE REPUBLIC OF UGANDA</w:t>
      </w:r>
    </w:p>
    <w:p w:rsidR="00C00E33" w:rsidRPr="00133202" w:rsidRDefault="00C00E33" w:rsidP="00C00E33">
      <w:pPr>
        <w:jc w:val="center"/>
        <w:rPr>
          <w:rFonts w:ascii="Constantia" w:hAnsi="Constantia"/>
          <w:b/>
          <w:sz w:val="24"/>
          <w:szCs w:val="24"/>
          <w:u w:val="single"/>
        </w:rPr>
      </w:pPr>
      <w:r w:rsidRPr="00133202">
        <w:rPr>
          <w:rFonts w:ascii="Constantia" w:hAnsi="Constantia"/>
          <w:b/>
          <w:sz w:val="24"/>
          <w:szCs w:val="24"/>
          <w:u w:val="single"/>
        </w:rPr>
        <w:t>IN THE HIGH COURT OF UGANDA AT KAMPALA</w:t>
      </w:r>
    </w:p>
    <w:p w:rsidR="00C00E33" w:rsidRPr="00133202" w:rsidRDefault="00C00E33" w:rsidP="00C00E33">
      <w:pPr>
        <w:jc w:val="center"/>
        <w:rPr>
          <w:rFonts w:ascii="Constantia" w:hAnsi="Constantia"/>
          <w:b/>
          <w:sz w:val="24"/>
          <w:szCs w:val="24"/>
          <w:u w:val="single"/>
        </w:rPr>
      </w:pPr>
      <w:r w:rsidRPr="00133202">
        <w:rPr>
          <w:rFonts w:ascii="Constantia" w:hAnsi="Constantia"/>
          <w:b/>
          <w:sz w:val="24"/>
          <w:szCs w:val="24"/>
          <w:u w:val="single"/>
        </w:rPr>
        <w:t>(Land Division)</w:t>
      </w:r>
    </w:p>
    <w:p w:rsidR="00C00E33" w:rsidRPr="00133202" w:rsidRDefault="00C00E33" w:rsidP="00C00E33">
      <w:pPr>
        <w:pStyle w:val="NormalWeb"/>
        <w:jc w:val="center"/>
        <w:rPr>
          <w:rFonts w:ascii="Constantia" w:hAnsi="Constantia"/>
          <w:b/>
          <w:bCs/>
          <w:u w:val="single"/>
        </w:rPr>
      </w:pPr>
      <w:r w:rsidRPr="00133202">
        <w:rPr>
          <w:rFonts w:ascii="Constantia" w:hAnsi="Constantia"/>
          <w:b/>
          <w:bCs/>
          <w:u w:val="single"/>
        </w:rPr>
        <w:t>MISCELLANEOUS CAUSE NO. 28 OF 2013</w:t>
      </w:r>
    </w:p>
    <w:p w:rsidR="00C00E33" w:rsidRPr="00133202" w:rsidRDefault="00C00E33" w:rsidP="00C00E33">
      <w:pPr>
        <w:spacing w:line="240" w:lineRule="auto"/>
        <w:contextualSpacing/>
        <w:jc w:val="center"/>
        <w:rPr>
          <w:rFonts w:ascii="Times New Roman" w:hAnsi="Times New Roman"/>
          <w:b/>
          <w:i/>
          <w:sz w:val="24"/>
          <w:szCs w:val="24"/>
        </w:rPr>
      </w:pPr>
      <w:r w:rsidRPr="00133202">
        <w:rPr>
          <w:rFonts w:ascii="Constantia" w:hAnsi="Constantia"/>
          <w:b/>
          <w:bCs/>
          <w:i/>
          <w:sz w:val="24"/>
          <w:szCs w:val="24"/>
        </w:rPr>
        <w:t>(</w:t>
      </w:r>
      <w:r w:rsidRPr="00133202">
        <w:rPr>
          <w:rFonts w:ascii="Times New Roman" w:hAnsi="Times New Roman"/>
          <w:b/>
          <w:i/>
          <w:sz w:val="24"/>
          <w:szCs w:val="24"/>
        </w:rPr>
        <w:t>Arising from Civil Suit No. 294 of 2009)</w:t>
      </w:r>
    </w:p>
    <w:p w:rsidR="00C00E33" w:rsidRPr="00133202" w:rsidRDefault="00C00E33" w:rsidP="00C00E33">
      <w:pPr>
        <w:spacing w:line="240" w:lineRule="auto"/>
        <w:contextualSpacing/>
        <w:jc w:val="center"/>
        <w:rPr>
          <w:rFonts w:ascii="Times New Roman" w:hAnsi="Times New Roman"/>
          <w:b/>
          <w:i/>
          <w:sz w:val="24"/>
          <w:szCs w:val="24"/>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APPLICATION FOR JUDICIAL REVIEW</w:t>
      </w:r>
    </w:p>
    <w:p w:rsidR="00C00E33" w:rsidRPr="00133202" w:rsidRDefault="00C00E33" w:rsidP="00C00E33">
      <w:pPr>
        <w:spacing w:line="240" w:lineRule="auto"/>
        <w:contextualSpacing/>
        <w:jc w:val="center"/>
        <w:rPr>
          <w:rFonts w:ascii="Constantia" w:hAnsi="Constantia"/>
          <w:b/>
          <w:sz w:val="24"/>
          <w:szCs w:val="24"/>
          <w:u w:val="single"/>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IN THE MATTER OF THE JUDICATURE ACT, CAP. 13</w:t>
      </w:r>
    </w:p>
    <w:p w:rsidR="00C00E33" w:rsidRPr="00133202" w:rsidRDefault="00C00E33" w:rsidP="00C00E33">
      <w:pPr>
        <w:spacing w:line="240" w:lineRule="auto"/>
        <w:contextualSpacing/>
        <w:jc w:val="center"/>
        <w:rPr>
          <w:rFonts w:ascii="Times New Roman" w:hAnsi="Times New Roman"/>
          <w:b/>
          <w:i/>
          <w:sz w:val="24"/>
          <w:szCs w:val="24"/>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AND</w:t>
      </w:r>
    </w:p>
    <w:p w:rsidR="00C00E33" w:rsidRPr="00133202" w:rsidRDefault="00C00E33" w:rsidP="00C00E33">
      <w:pPr>
        <w:spacing w:line="240" w:lineRule="auto"/>
        <w:contextualSpacing/>
        <w:jc w:val="center"/>
        <w:rPr>
          <w:rFonts w:ascii="Constantia" w:hAnsi="Constantia"/>
          <w:b/>
          <w:sz w:val="24"/>
          <w:szCs w:val="24"/>
          <w:u w:val="single"/>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IN THE MATTER OF THE CIVIL PROCEDURE ACT, CAP. 70</w:t>
      </w:r>
    </w:p>
    <w:p w:rsidR="00C00E33" w:rsidRPr="00133202" w:rsidRDefault="00C00E33" w:rsidP="00C00E33">
      <w:pPr>
        <w:spacing w:line="240" w:lineRule="auto"/>
        <w:contextualSpacing/>
        <w:jc w:val="center"/>
        <w:rPr>
          <w:rFonts w:ascii="Constantia" w:hAnsi="Constantia"/>
          <w:b/>
          <w:sz w:val="24"/>
          <w:szCs w:val="24"/>
          <w:u w:val="single"/>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 xml:space="preserve">AND </w:t>
      </w:r>
    </w:p>
    <w:p w:rsidR="00C00E33" w:rsidRPr="00133202" w:rsidRDefault="00C00E33" w:rsidP="00C00E33">
      <w:pPr>
        <w:spacing w:line="240" w:lineRule="auto"/>
        <w:contextualSpacing/>
        <w:jc w:val="center"/>
        <w:rPr>
          <w:rFonts w:ascii="Constantia" w:hAnsi="Constantia"/>
          <w:b/>
          <w:sz w:val="24"/>
          <w:szCs w:val="24"/>
          <w:u w:val="single"/>
        </w:rPr>
      </w:pPr>
    </w:p>
    <w:p w:rsidR="00C00E33" w:rsidRPr="00133202" w:rsidRDefault="00C00E33" w:rsidP="00C00E33">
      <w:pPr>
        <w:spacing w:line="240" w:lineRule="auto"/>
        <w:contextualSpacing/>
        <w:jc w:val="center"/>
        <w:rPr>
          <w:rFonts w:ascii="Constantia" w:hAnsi="Constantia"/>
          <w:b/>
          <w:sz w:val="24"/>
          <w:szCs w:val="24"/>
          <w:u w:val="single"/>
        </w:rPr>
      </w:pPr>
      <w:r w:rsidRPr="00133202">
        <w:rPr>
          <w:rFonts w:ascii="Constantia" w:hAnsi="Constantia"/>
          <w:b/>
          <w:sz w:val="24"/>
          <w:szCs w:val="24"/>
          <w:u w:val="single"/>
        </w:rPr>
        <w:t>IN THE MATTER OF THE JUDICATURE (JUDICIAL REVIEW) RULES, S.I 11 OF 2009</w:t>
      </w:r>
    </w:p>
    <w:p w:rsidR="00C00E33" w:rsidRPr="00133202" w:rsidRDefault="00C00E33" w:rsidP="00C00E33">
      <w:pPr>
        <w:spacing w:line="240" w:lineRule="auto"/>
        <w:contextualSpacing/>
        <w:jc w:val="center"/>
        <w:rPr>
          <w:rFonts w:ascii="Constantia" w:hAnsi="Constantia"/>
          <w:b/>
          <w:sz w:val="24"/>
          <w:szCs w:val="24"/>
          <w:u w:val="single"/>
        </w:rPr>
      </w:pPr>
    </w:p>
    <w:p w:rsidR="00C00E33" w:rsidRPr="00133202" w:rsidRDefault="00C00E33" w:rsidP="00C00E33">
      <w:pPr>
        <w:pStyle w:val="NormalWeb"/>
        <w:rPr>
          <w:rFonts w:ascii="Constantia" w:hAnsi="Constantia"/>
          <w:b/>
          <w:bCs/>
        </w:rPr>
      </w:pPr>
      <w:r w:rsidRPr="00133202">
        <w:rPr>
          <w:rFonts w:ascii="Constantia" w:hAnsi="Constantia"/>
          <w:b/>
          <w:bCs/>
        </w:rPr>
        <w:t xml:space="preserve">JANET KOBUSINGYE ............................................................................... </w:t>
      </w:r>
      <w:r w:rsidRPr="00133202">
        <w:rPr>
          <w:rFonts w:ascii="Constantia" w:hAnsi="Constantia"/>
          <w:b/>
          <w:bCs/>
        </w:rPr>
        <w:tab/>
        <w:t>APPLICANT</w:t>
      </w:r>
    </w:p>
    <w:p w:rsidR="00C00E33" w:rsidRPr="00133202" w:rsidRDefault="00C00E33" w:rsidP="00C00E33">
      <w:pPr>
        <w:pStyle w:val="NormalWeb"/>
        <w:jc w:val="center"/>
        <w:rPr>
          <w:rFonts w:ascii="Constantia" w:hAnsi="Constantia"/>
          <w:b/>
          <w:bCs/>
        </w:rPr>
      </w:pPr>
      <w:r w:rsidRPr="00133202">
        <w:rPr>
          <w:rFonts w:ascii="Constantia" w:hAnsi="Constantia"/>
          <w:b/>
          <w:bCs/>
        </w:rPr>
        <w:t>VERSUS</w:t>
      </w:r>
    </w:p>
    <w:p w:rsidR="00C00E33" w:rsidRPr="00133202" w:rsidRDefault="00C00E33" w:rsidP="00C00E33">
      <w:pPr>
        <w:pStyle w:val="NormalWeb"/>
        <w:rPr>
          <w:rFonts w:ascii="Constantia" w:hAnsi="Constantia"/>
        </w:rPr>
      </w:pPr>
      <w:r w:rsidRPr="00133202">
        <w:rPr>
          <w:rFonts w:ascii="Constantia" w:hAnsi="Constantia"/>
          <w:b/>
          <w:bCs/>
        </w:rPr>
        <w:t>UGANDA LAND COMMISION .............................................................. RESPONDENT</w:t>
      </w:r>
    </w:p>
    <w:p w:rsidR="00C00E33" w:rsidRPr="00133202" w:rsidRDefault="00C00E33" w:rsidP="00C00E33">
      <w:pPr>
        <w:jc w:val="center"/>
        <w:rPr>
          <w:rFonts w:ascii="Constantia" w:hAnsi="Constantia"/>
          <w:b/>
          <w:bCs/>
          <w:sz w:val="24"/>
          <w:szCs w:val="24"/>
          <w:u w:val="single"/>
        </w:rPr>
      </w:pPr>
      <w:r w:rsidRPr="00133202">
        <w:rPr>
          <w:rFonts w:ascii="Constantia" w:hAnsi="Constantia"/>
          <w:b/>
          <w:bCs/>
          <w:sz w:val="24"/>
          <w:szCs w:val="24"/>
        </w:rPr>
        <w:t xml:space="preserve">BEFORE: </w:t>
      </w:r>
      <w:r w:rsidRPr="00133202">
        <w:rPr>
          <w:rFonts w:ascii="Constantia" w:hAnsi="Constantia"/>
          <w:b/>
          <w:bCs/>
          <w:sz w:val="24"/>
          <w:szCs w:val="24"/>
          <w:u w:val="single"/>
        </w:rPr>
        <w:t xml:space="preserve">Hon. Lady Justice Monica K. Mugenyi </w:t>
      </w:r>
    </w:p>
    <w:p w:rsidR="00C00E33" w:rsidRPr="00133202" w:rsidRDefault="00C00E33" w:rsidP="00C00E33">
      <w:pPr>
        <w:jc w:val="center"/>
        <w:rPr>
          <w:rFonts w:ascii="Constantia" w:hAnsi="Constantia"/>
          <w:b/>
          <w:sz w:val="24"/>
          <w:szCs w:val="24"/>
          <w:u w:val="single"/>
        </w:rPr>
      </w:pPr>
      <w:r w:rsidRPr="00133202">
        <w:rPr>
          <w:rFonts w:ascii="Constantia" w:hAnsi="Constantia"/>
          <w:b/>
          <w:sz w:val="24"/>
          <w:szCs w:val="24"/>
          <w:u w:val="single"/>
        </w:rPr>
        <w:t>RULING</w:t>
      </w:r>
    </w:p>
    <w:p w:rsidR="00020250" w:rsidRPr="00133202" w:rsidRDefault="007C0312" w:rsidP="00C00E33">
      <w:pPr>
        <w:jc w:val="both"/>
        <w:rPr>
          <w:rFonts w:ascii="Constantia" w:hAnsi="Constantia"/>
          <w:sz w:val="24"/>
          <w:szCs w:val="24"/>
        </w:rPr>
      </w:pPr>
      <w:r w:rsidRPr="00133202">
        <w:rPr>
          <w:rFonts w:ascii="Constantia" w:hAnsi="Constantia"/>
          <w:sz w:val="24"/>
          <w:szCs w:val="24"/>
        </w:rPr>
        <w:t>The applicant</w:t>
      </w:r>
      <w:r w:rsidR="00DB30C9" w:rsidRPr="00133202">
        <w:rPr>
          <w:rFonts w:ascii="Constantia" w:hAnsi="Constantia"/>
          <w:sz w:val="24"/>
          <w:szCs w:val="24"/>
        </w:rPr>
        <w:t xml:space="preserve">, vide Civil Suit No. </w:t>
      </w:r>
      <w:r w:rsidR="002B0193" w:rsidRPr="00133202">
        <w:rPr>
          <w:rFonts w:ascii="Constantia" w:hAnsi="Constantia"/>
          <w:sz w:val="24"/>
          <w:szCs w:val="24"/>
        </w:rPr>
        <w:t>294 of 2009</w:t>
      </w:r>
      <w:r w:rsidR="00DB30C9" w:rsidRPr="00133202">
        <w:rPr>
          <w:rFonts w:ascii="Constantia" w:hAnsi="Constantia"/>
          <w:sz w:val="24"/>
          <w:szCs w:val="24"/>
        </w:rPr>
        <w:t xml:space="preserve">, </w:t>
      </w:r>
      <w:r w:rsidRPr="00133202">
        <w:rPr>
          <w:rFonts w:ascii="Constantia" w:hAnsi="Constantia"/>
          <w:sz w:val="24"/>
          <w:szCs w:val="24"/>
        </w:rPr>
        <w:t xml:space="preserve"> instituted legal proceedings against the </w:t>
      </w:r>
      <w:r w:rsidR="00FC177D" w:rsidRPr="00133202">
        <w:rPr>
          <w:rFonts w:ascii="Constantia" w:hAnsi="Constantia"/>
          <w:sz w:val="24"/>
          <w:szCs w:val="24"/>
        </w:rPr>
        <w:t xml:space="preserve">respondent, </w:t>
      </w:r>
      <w:r w:rsidR="007B0C04" w:rsidRPr="00133202">
        <w:rPr>
          <w:rFonts w:ascii="Constantia" w:hAnsi="Constantia"/>
          <w:sz w:val="24"/>
          <w:szCs w:val="24"/>
        </w:rPr>
        <w:t xml:space="preserve">as well as </w:t>
      </w:r>
      <w:r w:rsidR="00FC177D" w:rsidRPr="00133202">
        <w:rPr>
          <w:rFonts w:ascii="Constantia" w:hAnsi="Constantia"/>
          <w:sz w:val="24"/>
          <w:szCs w:val="24"/>
        </w:rPr>
        <w:t xml:space="preserve">the Kampala District Land Board, the Registrar of Titles and the Attorney General arising from the respondent’s attempt to re-allocate her land to another developer.  The land in question was located in Naguru and measured 2.353 hectares.  </w:t>
      </w:r>
      <w:r w:rsidR="00160601" w:rsidRPr="00133202">
        <w:rPr>
          <w:rFonts w:ascii="Constantia" w:hAnsi="Constantia"/>
          <w:sz w:val="24"/>
          <w:szCs w:val="24"/>
        </w:rPr>
        <w:t>On 7</w:t>
      </w:r>
      <w:r w:rsidR="00160601" w:rsidRPr="00133202">
        <w:rPr>
          <w:rFonts w:ascii="Constantia" w:hAnsi="Constantia"/>
          <w:sz w:val="24"/>
          <w:szCs w:val="24"/>
          <w:vertAlign w:val="superscript"/>
        </w:rPr>
        <w:t>th</w:t>
      </w:r>
      <w:r w:rsidR="00160601" w:rsidRPr="00133202">
        <w:rPr>
          <w:rFonts w:ascii="Constantia" w:hAnsi="Constantia"/>
          <w:sz w:val="24"/>
          <w:szCs w:val="24"/>
        </w:rPr>
        <w:t xml:space="preserve"> July 2011 the parties formalised a consent judgment in respect of </w:t>
      </w:r>
      <w:r w:rsidR="00FC177D" w:rsidRPr="00133202">
        <w:rPr>
          <w:rFonts w:ascii="Constantia" w:hAnsi="Constantia"/>
          <w:sz w:val="24"/>
          <w:szCs w:val="24"/>
        </w:rPr>
        <w:t xml:space="preserve">that </w:t>
      </w:r>
      <w:r w:rsidR="00160601" w:rsidRPr="00133202">
        <w:rPr>
          <w:rFonts w:ascii="Constantia" w:hAnsi="Constantia"/>
          <w:sz w:val="24"/>
          <w:szCs w:val="24"/>
        </w:rPr>
        <w:t xml:space="preserve">suit by </w:t>
      </w:r>
      <w:r w:rsidR="00FC177D" w:rsidRPr="00133202">
        <w:rPr>
          <w:rFonts w:ascii="Constantia" w:hAnsi="Constantia"/>
          <w:sz w:val="24"/>
          <w:szCs w:val="24"/>
        </w:rPr>
        <w:t xml:space="preserve">which </w:t>
      </w:r>
      <w:r w:rsidR="00160601" w:rsidRPr="00133202">
        <w:rPr>
          <w:rFonts w:ascii="Constantia" w:hAnsi="Constantia"/>
          <w:sz w:val="24"/>
          <w:szCs w:val="24"/>
        </w:rPr>
        <w:t xml:space="preserve">the respondent undertook to process a lease title in favour of the applicant </w:t>
      </w:r>
      <w:r w:rsidRPr="00133202">
        <w:rPr>
          <w:rFonts w:ascii="Constantia" w:hAnsi="Constantia"/>
          <w:sz w:val="24"/>
          <w:szCs w:val="24"/>
        </w:rPr>
        <w:t xml:space="preserve">for </w:t>
      </w:r>
      <w:r w:rsidR="00FC177D" w:rsidRPr="00133202">
        <w:rPr>
          <w:rFonts w:ascii="Constantia" w:hAnsi="Constantia"/>
          <w:sz w:val="24"/>
          <w:szCs w:val="24"/>
        </w:rPr>
        <w:t xml:space="preserve">alternative land measuring </w:t>
      </w:r>
      <w:r w:rsidRPr="00133202">
        <w:rPr>
          <w:rFonts w:ascii="Constantia" w:hAnsi="Constantia"/>
          <w:sz w:val="24"/>
          <w:szCs w:val="24"/>
        </w:rPr>
        <w:t xml:space="preserve">1.766256 hectares.  The land identified for that purpose was </w:t>
      </w:r>
      <w:r w:rsidR="00160601" w:rsidRPr="00133202">
        <w:rPr>
          <w:rFonts w:ascii="Constantia" w:hAnsi="Constantia"/>
          <w:sz w:val="24"/>
          <w:szCs w:val="24"/>
        </w:rPr>
        <w:t xml:space="preserve">described as FRV 440 Folios 17 and 18 </w:t>
      </w:r>
      <w:r w:rsidRPr="00133202">
        <w:rPr>
          <w:rFonts w:ascii="Constantia" w:hAnsi="Constantia"/>
          <w:sz w:val="24"/>
          <w:szCs w:val="24"/>
        </w:rPr>
        <w:t xml:space="preserve">in Nsambya.  </w:t>
      </w:r>
      <w:r w:rsidR="007D33C1" w:rsidRPr="00133202">
        <w:rPr>
          <w:rFonts w:ascii="Constantia" w:hAnsi="Constantia"/>
          <w:sz w:val="24"/>
          <w:szCs w:val="24"/>
        </w:rPr>
        <w:t>T</w:t>
      </w:r>
      <w:r w:rsidR="007570A1" w:rsidRPr="00133202">
        <w:rPr>
          <w:rFonts w:ascii="Constantia" w:hAnsi="Constantia"/>
          <w:sz w:val="24"/>
          <w:szCs w:val="24"/>
        </w:rPr>
        <w:t xml:space="preserve">he respondent </w:t>
      </w:r>
      <w:r w:rsidR="007D33C1" w:rsidRPr="00133202">
        <w:rPr>
          <w:rFonts w:ascii="Constantia" w:hAnsi="Constantia"/>
          <w:sz w:val="24"/>
          <w:szCs w:val="24"/>
        </w:rPr>
        <w:t xml:space="preserve">subsequently </w:t>
      </w:r>
      <w:r w:rsidR="007570A1" w:rsidRPr="00133202">
        <w:rPr>
          <w:rFonts w:ascii="Constantia" w:hAnsi="Constantia"/>
          <w:sz w:val="24"/>
          <w:szCs w:val="24"/>
        </w:rPr>
        <w:t xml:space="preserve">issued the applicant with a 5 year lease </w:t>
      </w:r>
      <w:r w:rsidR="00A50894" w:rsidRPr="00133202">
        <w:rPr>
          <w:rFonts w:ascii="Constantia" w:hAnsi="Constantia"/>
          <w:sz w:val="24"/>
          <w:szCs w:val="24"/>
        </w:rPr>
        <w:t>effective 1</w:t>
      </w:r>
      <w:r w:rsidR="00A50894" w:rsidRPr="00133202">
        <w:rPr>
          <w:rFonts w:ascii="Constantia" w:hAnsi="Constantia"/>
          <w:sz w:val="24"/>
          <w:szCs w:val="24"/>
          <w:vertAlign w:val="superscript"/>
        </w:rPr>
        <w:t>st</w:t>
      </w:r>
      <w:r w:rsidR="00A50894" w:rsidRPr="00133202">
        <w:rPr>
          <w:rFonts w:ascii="Constantia" w:hAnsi="Constantia"/>
          <w:sz w:val="24"/>
          <w:szCs w:val="24"/>
        </w:rPr>
        <w:t xml:space="preserve"> June 2011 </w:t>
      </w:r>
      <w:r w:rsidR="007570A1" w:rsidRPr="00133202">
        <w:rPr>
          <w:rFonts w:ascii="Constantia" w:hAnsi="Constantia"/>
          <w:sz w:val="24"/>
          <w:szCs w:val="24"/>
        </w:rPr>
        <w:t xml:space="preserve">in respect of 1.479 hectares of land comprised in LRV 4350 Folio 20 </w:t>
      </w:r>
      <w:r w:rsidR="00510830" w:rsidRPr="00133202">
        <w:rPr>
          <w:rFonts w:ascii="Constantia" w:hAnsi="Constantia"/>
          <w:sz w:val="24"/>
          <w:szCs w:val="24"/>
        </w:rPr>
        <w:t>plot 20 Barracks Drive, Nsambya</w:t>
      </w:r>
      <w:r w:rsidR="00F4608C" w:rsidRPr="00133202">
        <w:rPr>
          <w:rFonts w:ascii="Constantia" w:hAnsi="Constantia"/>
          <w:sz w:val="24"/>
          <w:szCs w:val="24"/>
        </w:rPr>
        <w:t xml:space="preserve"> allegedly in part fulfilment of its </w:t>
      </w:r>
      <w:r w:rsidR="00F4608C" w:rsidRPr="00133202">
        <w:rPr>
          <w:rFonts w:ascii="Constantia" w:hAnsi="Constantia"/>
          <w:sz w:val="24"/>
          <w:szCs w:val="24"/>
        </w:rPr>
        <w:lastRenderedPageBreak/>
        <w:t>decretal obligations</w:t>
      </w:r>
      <w:r w:rsidR="00510830" w:rsidRPr="00133202">
        <w:rPr>
          <w:rFonts w:ascii="Constantia" w:hAnsi="Constantia"/>
          <w:sz w:val="24"/>
          <w:szCs w:val="24"/>
        </w:rPr>
        <w:t xml:space="preserve">.  This land </w:t>
      </w:r>
      <w:r w:rsidR="00F4608C" w:rsidRPr="00133202">
        <w:rPr>
          <w:rFonts w:ascii="Constantia" w:hAnsi="Constantia"/>
          <w:sz w:val="24"/>
          <w:szCs w:val="24"/>
        </w:rPr>
        <w:t xml:space="preserve">neither </w:t>
      </w:r>
      <w:r w:rsidR="00510830" w:rsidRPr="00133202">
        <w:rPr>
          <w:rFonts w:ascii="Constantia" w:hAnsi="Constantia"/>
          <w:sz w:val="24"/>
          <w:szCs w:val="24"/>
        </w:rPr>
        <w:t>represent</w:t>
      </w:r>
      <w:r w:rsidR="004756E0" w:rsidRPr="00133202">
        <w:rPr>
          <w:rFonts w:ascii="Constantia" w:hAnsi="Constantia"/>
          <w:sz w:val="24"/>
          <w:szCs w:val="24"/>
        </w:rPr>
        <w:t>ed</w:t>
      </w:r>
      <w:r w:rsidR="00510830" w:rsidRPr="00133202">
        <w:rPr>
          <w:rFonts w:ascii="Constantia" w:hAnsi="Constantia"/>
          <w:sz w:val="24"/>
          <w:szCs w:val="24"/>
        </w:rPr>
        <w:t xml:space="preserve"> the 1.766256 hectares of land agreed to in the consent judgment nor the land described therein as FRV 440 Folios 17 and 18, Nsambya</w:t>
      </w:r>
      <w:r w:rsidR="00020250" w:rsidRPr="00133202">
        <w:rPr>
          <w:rFonts w:ascii="Constantia" w:hAnsi="Constantia"/>
          <w:sz w:val="24"/>
          <w:szCs w:val="24"/>
        </w:rPr>
        <w:t xml:space="preserve"> </w:t>
      </w:r>
      <w:r w:rsidR="00160601" w:rsidRPr="00133202">
        <w:rPr>
          <w:rFonts w:ascii="Constantia" w:hAnsi="Constantia"/>
          <w:sz w:val="24"/>
          <w:szCs w:val="24"/>
        </w:rPr>
        <w:t xml:space="preserve">hence the present application for </w:t>
      </w:r>
      <w:r w:rsidR="00020250" w:rsidRPr="00133202">
        <w:rPr>
          <w:rFonts w:ascii="Constantia" w:hAnsi="Constantia"/>
          <w:sz w:val="24"/>
          <w:szCs w:val="24"/>
        </w:rPr>
        <w:t>a</w:t>
      </w:r>
      <w:r w:rsidR="00E25FE8" w:rsidRPr="00133202">
        <w:rPr>
          <w:rFonts w:ascii="Constantia" w:hAnsi="Constantia"/>
          <w:sz w:val="24"/>
          <w:szCs w:val="24"/>
        </w:rPr>
        <w:t>n order</w:t>
      </w:r>
      <w:r w:rsidR="00160601" w:rsidRPr="00133202">
        <w:rPr>
          <w:rFonts w:ascii="Constantia" w:hAnsi="Constantia"/>
          <w:sz w:val="24"/>
          <w:szCs w:val="24"/>
        </w:rPr>
        <w:t xml:space="preserve"> of mandamus.  </w:t>
      </w:r>
    </w:p>
    <w:p w:rsidR="009F4CC3" w:rsidRPr="00133202" w:rsidRDefault="00133202" w:rsidP="00C00E33">
      <w:pPr>
        <w:jc w:val="both"/>
        <w:rPr>
          <w:rFonts w:ascii="Constantia" w:hAnsi="Constantia"/>
          <w:sz w:val="24"/>
          <w:szCs w:val="24"/>
        </w:rPr>
      </w:pPr>
      <w:r w:rsidRPr="00133202">
        <w:rPr>
          <w:rFonts w:ascii="Constantia" w:hAnsi="Constantia"/>
          <w:sz w:val="24"/>
          <w:szCs w:val="24"/>
        </w:rPr>
        <w:t>At the hearing of this application, it</w:t>
      </w:r>
      <w:r w:rsidR="00E02457" w:rsidRPr="00133202">
        <w:rPr>
          <w:rFonts w:ascii="Constantia" w:hAnsi="Constantia"/>
          <w:sz w:val="24"/>
          <w:szCs w:val="24"/>
        </w:rPr>
        <w:t xml:space="preserve"> was argued for the applicant that although the application was filed outside the 3 month period prescribed by rule 5(1) of the Judicature (Judicial Review) Rules, in matters of execution the courts were not bound by the 3 month limitation period.</w:t>
      </w:r>
      <w:r w:rsidR="0062092F" w:rsidRPr="00133202">
        <w:rPr>
          <w:rFonts w:ascii="Constantia" w:hAnsi="Constantia"/>
          <w:sz w:val="24"/>
          <w:szCs w:val="24"/>
        </w:rPr>
        <w:t xml:space="preserve">  In that regard, this court was referred to the case of </w:t>
      </w:r>
      <w:r w:rsidR="00BC01B4" w:rsidRPr="00133202">
        <w:rPr>
          <w:rFonts w:ascii="Constantia" w:hAnsi="Constantia"/>
          <w:b/>
          <w:sz w:val="24"/>
          <w:szCs w:val="24"/>
          <w:u w:val="single"/>
        </w:rPr>
        <w:t>Canaf Group Inc vs. Attorney General &amp; Another Miscellaneous Cause No. 27 of 2012</w:t>
      </w:r>
      <w:r w:rsidR="00C65A7D" w:rsidRPr="00133202">
        <w:rPr>
          <w:rFonts w:ascii="Constantia" w:hAnsi="Constantia"/>
          <w:sz w:val="24"/>
          <w:szCs w:val="24"/>
        </w:rPr>
        <w:t xml:space="preserve">. </w:t>
      </w:r>
      <w:r w:rsidR="009F4CC3" w:rsidRPr="00133202">
        <w:rPr>
          <w:rFonts w:ascii="Constantia" w:hAnsi="Constantia"/>
          <w:b/>
          <w:sz w:val="24"/>
          <w:szCs w:val="24"/>
        </w:rPr>
        <w:t xml:space="preserve"> </w:t>
      </w:r>
      <w:r w:rsidR="00C83907" w:rsidRPr="00133202">
        <w:rPr>
          <w:rFonts w:ascii="Constantia" w:hAnsi="Constantia"/>
          <w:sz w:val="24"/>
          <w:szCs w:val="24"/>
        </w:rPr>
        <w:t xml:space="preserve">I shall consider this preliminary point of law first.  </w:t>
      </w:r>
    </w:p>
    <w:p w:rsidR="007A2B43" w:rsidRPr="00133202" w:rsidRDefault="007A2B43" w:rsidP="00C00E33">
      <w:pPr>
        <w:jc w:val="both"/>
        <w:rPr>
          <w:rFonts w:ascii="Constantia" w:hAnsi="Constantia"/>
          <w:b/>
          <w:sz w:val="24"/>
          <w:szCs w:val="24"/>
        </w:rPr>
      </w:pPr>
      <w:r w:rsidRPr="00133202">
        <w:rPr>
          <w:rFonts w:ascii="Constantia" w:hAnsi="Constantia"/>
          <w:sz w:val="24"/>
          <w:szCs w:val="24"/>
        </w:rPr>
        <w:t>Rule 5(1) of the Judicature (Judicial Review) Rules reads:</w:t>
      </w:r>
    </w:p>
    <w:p w:rsidR="007A2B43" w:rsidRPr="00133202" w:rsidRDefault="007A2B43" w:rsidP="007A2B43">
      <w:pPr>
        <w:ind w:left="720"/>
        <w:jc w:val="both"/>
        <w:rPr>
          <w:rFonts w:ascii="Constantia" w:hAnsi="Constantia"/>
          <w:b/>
          <w:sz w:val="24"/>
          <w:szCs w:val="24"/>
        </w:rPr>
      </w:pPr>
      <w:r w:rsidRPr="00133202">
        <w:rPr>
          <w:rFonts w:ascii="Constantia" w:hAnsi="Constantia"/>
          <w:b/>
          <w:sz w:val="24"/>
          <w:szCs w:val="24"/>
        </w:rPr>
        <w:t>“An application for judicial review shall be made promptly and in any event within three months from the date when the grounds of the application arose, unless the court considers that there is good reason for extending the period within which the application shall be made.”</w:t>
      </w:r>
    </w:p>
    <w:p w:rsidR="00C83907" w:rsidRPr="00133202" w:rsidRDefault="00E02457" w:rsidP="007A2B43">
      <w:pPr>
        <w:jc w:val="both"/>
        <w:rPr>
          <w:rFonts w:ascii="Constantia" w:hAnsi="Constantia"/>
          <w:sz w:val="24"/>
          <w:szCs w:val="24"/>
        </w:rPr>
      </w:pPr>
      <w:r w:rsidRPr="00133202">
        <w:rPr>
          <w:rFonts w:ascii="Constantia" w:hAnsi="Constantia"/>
          <w:sz w:val="24"/>
          <w:szCs w:val="24"/>
        </w:rPr>
        <w:t xml:space="preserve">Section 38(1)(a) of the Judicature Act as amended prescribes an order of mandamus as one of the remedies available to an applicant for judicial review. </w:t>
      </w:r>
      <w:r w:rsidR="00892DD3" w:rsidRPr="00133202">
        <w:rPr>
          <w:rFonts w:ascii="Constantia" w:hAnsi="Constantia"/>
          <w:sz w:val="24"/>
          <w:szCs w:val="24"/>
        </w:rPr>
        <w:t xml:space="preserve"> To that extent, </w:t>
      </w:r>
      <w:r w:rsidR="00DB30C9" w:rsidRPr="00133202">
        <w:rPr>
          <w:rFonts w:ascii="Constantia" w:hAnsi="Constantia"/>
          <w:sz w:val="24"/>
          <w:szCs w:val="24"/>
        </w:rPr>
        <w:t xml:space="preserve">ordinarily </w:t>
      </w:r>
      <w:r w:rsidR="00892DD3" w:rsidRPr="00133202">
        <w:rPr>
          <w:rFonts w:ascii="Constantia" w:hAnsi="Constantia"/>
          <w:sz w:val="24"/>
          <w:szCs w:val="24"/>
        </w:rPr>
        <w:t xml:space="preserve">an application for the order of mandamus </w:t>
      </w:r>
      <w:r w:rsidR="00DB30C9" w:rsidRPr="00133202">
        <w:rPr>
          <w:rFonts w:ascii="Constantia" w:hAnsi="Constantia"/>
          <w:sz w:val="24"/>
          <w:szCs w:val="24"/>
        </w:rPr>
        <w:t>would be</w:t>
      </w:r>
      <w:r w:rsidR="00892DD3" w:rsidRPr="00133202">
        <w:rPr>
          <w:rFonts w:ascii="Constantia" w:hAnsi="Constantia"/>
          <w:sz w:val="24"/>
          <w:szCs w:val="24"/>
        </w:rPr>
        <w:t xml:space="preserve"> governed by the limitation period prescribed in rule 5(1) above</w:t>
      </w:r>
      <w:r w:rsidR="00F02AB4" w:rsidRPr="00133202">
        <w:rPr>
          <w:rFonts w:ascii="Constantia" w:hAnsi="Constantia"/>
          <w:sz w:val="24"/>
          <w:szCs w:val="24"/>
        </w:rPr>
        <w:t xml:space="preserve"> and </w:t>
      </w:r>
      <w:r w:rsidR="00892DD3" w:rsidRPr="00133202">
        <w:rPr>
          <w:rFonts w:ascii="Constantia" w:hAnsi="Constantia"/>
          <w:sz w:val="24"/>
          <w:szCs w:val="24"/>
        </w:rPr>
        <w:t>should be made within 3 months from the date when the grounds thereof arise.</w:t>
      </w:r>
      <w:r w:rsidR="00DB30C9" w:rsidRPr="00133202">
        <w:rPr>
          <w:rFonts w:ascii="Constantia" w:hAnsi="Constantia"/>
          <w:sz w:val="24"/>
          <w:szCs w:val="24"/>
        </w:rPr>
        <w:t xml:space="preserve"> </w:t>
      </w:r>
      <w:r w:rsidRPr="00133202">
        <w:rPr>
          <w:rFonts w:ascii="Constantia" w:hAnsi="Constantia"/>
          <w:sz w:val="24"/>
          <w:szCs w:val="24"/>
        </w:rPr>
        <w:t xml:space="preserve"> </w:t>
      </w:r>
      <w:r w:rsidR="00F02AB4" w:rsidRPr="00133202">
        <w:rPr>
          <w:rFonts w:ascii="Constantia" w:hAnsi="Constantia"/>
          <w:sz w:val="24"/>
          <w:szCs w:val="24"/>
        </w:rPr>
        <w:t>Be that as it may, i</w:t>
      </w:r>
      <w:r w:rsidR="00C83907" w:rsidRPr="00133202">
        <w:rPr>
          <w:rFonts w:ascii="Constantia" w:hAnsi="Constantia"/>
          <w:sz w:val="24"/>
          <w:szCs w:val="24"/>
        </w:rPr>
        <w:t xml:space="preserve">n its strict legal </w:t>
      </w:r>
      <w:r w:rsidR="004756E0" w:rsidRPr="00133202">
        <w:rPr>
          <w:rFonts w:ascii="Constantia" w:hAnsi="Constantia"/>
          <w:sz w:val="24"/>
          <w:szCs w:val="24"/>
        </w:rPr>
        <w:t>usage</w:t>
      </w:r>
      <w:r w:rsidR="00C83907" w:rsidRPr="00133202">
        <w:rPr>
          <w:rFonts w:ascii="Constantia" w:hAnsi="Constantia"/>
          <w:sz w:val="24"/>
          <w:szCs w:val="24"/>
        </w:rPr>
        <w:t xml:space="preserve">, an order of mandamus </w:t>
      </w:r>
      <w:r w:rsidR="00F02AB4" w:rsidRPr="00133202">
        <w:rPr>
          <w:rFonts w:ascii="Constantia" w:hAnsi="Constantia"/>
          <w:sz w:val="24"/>
          <w:szCs w:val="24"/>
        </w:rPr>
        <w:t>(</w:t>
      </w:r>
      <w:r w:rsidR="00C83907" w:rsidRPr="00133202">
        <w:rPr>
          <w:rFonts w:ascii="Constantia" w:hAnsi="Constantia"/>
          <w:sz w:val="24"/>
          <w:szCs w:val="24"/>
        </w:rPr>
        <w:t>also referred to as a mandatory order</w:t>
      </w:r>
      <w:r w:rsidR="00F02AB4" w:rsidRPr="00133202">
        <w:rPr>
          <w:rFonts w:ascii="Constantia" w:hAnsi="Constantia"/>
          <w:sz w:val="24"/>
          <w:szCs w:val="24"/>
        </w:rPr>
        <w:t>)</w:t>
      </w:r>
      <w:r w:rsidR="00C83907" w:rsidRPr="00133202">
        <w:rPr>
          <w:rFonts w:ascii="Constantia" w:hAnsi="Constantia"/>
          <w:sz w:val="24"/>
          <w:szCs w:val="24"/>
        </w:rPr>
        <w:t xml:space="preserve"> </w:t>
      </w:r>
      <w:r w:rsidR="007A74C5" w:rsidRPr="00133202">
        <w:rPr>
          <w:rFonts w:ascii="Constantia" w:hAnsi="Constantia"/>
          <w:sz w:val="24"/>
          <w:szCs w:val="24"/>
        </w:rPr>
        <w:t>has been</w:t>
      </w:r>
      <w:r w:rsidR="00C83907" w:rsidRPr="00133202">
        <w:rPr>
          <w:rFonts w:ascii="Constantia" w:hAnsi="Constantia"/>
          <w:sz w:val="24"/>
          <w:szCs w:val="24"/>
        </w:rPr>
        <w:t xml:space="preserve"> defined </w:t>
      </w:r>
      <w:r w:rsidR="007A74C5" w:rsidRPr="00133202">
        <w:rPr>
          <w:rFonts w:ascii="Constantia" w:hAnsi="Constantia"/>
          <w:sz w:val="24"/>
          <w:szCs w:val="24"/>
        </w:rPr>
        <w:t xml:space="preserve">in </w:t>
      </w:r>
      <w:r w:rsidR="007A74C5" w:rsidRPr="00133202">
        <w:rPr>
          <w:rFonts w:ascii="Constantia" w:hAnsi="Constantia"/>
          <w:b/>
          <w:sz w:val="24"/>
          <w:szCs w:val="24"/>
          <w:u w:val="single"/>
        </w:rPr>
        <w:t>Halsbury’s Laws of England, 2001, 4</w:t>
      </w:r>
      <w:r w:rsidR="007A74C5" w:rsidRPr="00133202">
        <w:rPr>
          <w:rFonts w:ascii="Constantia" w:hAnsi="Constantia"/>
          <w:b/>
          <w:sz w:val="24"/>
          <w:szCs w:val="24"/>
          <w:u w:val="single"/>
          <w:vertAlign w:val="superscript"/>
        </w:rPr>
        <w:t>th</w:t>
      </w:r>
      <w:r w:rsidR="007A74C5" w:rsidRPr="00133202">
        <w:rPr>
          <w:rFonts w:ascii="Constantia" w:hAnsi="Constantia"/>
          <w:b/>
          <w:sz w:val="24"/>
          <w:szCs w:val="24"/>
          <w:u w:val="single"/>
        </w:rPr>
        <w:t xml:space="preserve"> Ed, Vol. 1(1), para. 119 at p. 268</w:t>
      </w:r>
      <w:r w:rsidR="007A74C5" w:rsidRPr="00133202">
        <w:rPr>
          <w:rFonts w:ascii="Constantia" w:hAnsi="Constantia"/>
          <w:sz w:val="24"/>
          <w:szCs w:val="24"/>
        </w:rPr>
        <w:t xml:space="preserve"> </w:t>
      </w:r>
      <w:r w:rsidR="00C83907" w:rsidRPr="00133202">
        <w:rPr>
          <w:rFonts w:ascii="Constantia" w:hAnsi="Constantia"/>
          <w:sz w:val="24"/>
          <w:szCs w:val="24"/>
        </w:rPr>
        <w:t>as follows:</w:t>
      </w:r>
    </w:p>
    <w:p w:rsidR="00C83907" w:rsidRPr="00133202" w:rsidRDefault="00C83907" w:rsidP="00C83907">
      <w:pPr>
        <w:ind w:left="720"/>
        <w:jc w:val="both"/>
        <w:rPr>
          <w:rFonts w:ascii="Constantia" w:hAnsi="Constantia"/>
          <w:b/>
          <w:sz w:val="24"/>
          <w:szCs w:val="24"/>
        </w:rPr>
      </w:pPr>
      <w:r w:rsidRPr="00133202">
        <w:rPr>
          <w:rFonts w:ascii="Constantia" w:hAnsi="Constantia"/>
          <w:b/>
          <w:sz w:val="24"/>
          <w:szCs w:val="24"/>
        </w:rPr>
        <w:t>“A command issued by the High Court, directed to any person, corporation or inferior tribunal requiring him or them to do some particular thing specified in the command, and which appertains to his or their office, and is in the form of a public duty. … The breach of duty may be a failure to exercise a statutory discretion</w:t>
      </w:r>
      <w:r w:rsidR="007A74C5" w:rsidRPr="00133202">
        <w:rPr>
          <w:rFonts w:ascii="Constantia" w:hAnsi="Constantia"/>
          <w:b/>
          <w:sz w:val="24"/>
          <w:szCs w:val="24"/>
        </w:rPr>
        <w:t>, or a failure to exercise it according to proper legal principles.</w:t>
      </w:r>
      <w:r w:rsidRPr="00133202">
        <w:rPr>
          <w:rFonts w:ascii="Constantia" w:hAnsi="Constantia"/>
          <w:b/>
          <w:sz w:val="24"/>
          <w:szCs w:val="24"/>
        </w:rPr>
        <w:t>”</w:t>
      </w:r>
    </w:p>
    <w:p w:rsidR="00EB3330" w:rsidRPr="00133202" w:rsidRDefault="007A74C5" w:rsidP="007A74C5">
      <w:pPr>
        <w:jc w:val="both"/>
        <w:rPr>
          <w:rFonts w:ascii="Constantia" w:hAnsi="Constantia"/>
          <w:sz w:val="24"/>
          <w:szCs w:val="24"/>
        </w:rPr>
      </w:pPr>
      <w:r w:rsidRPr="00133202">
        <w:rPr>
          <w:rFonts w:ascii="Constantia" w:hAnsi="Constantia"/>
          <w:sz w:val="24"/>
          <w:szCs w:val="24"/>
        </w:rPr>
        <w:t xml:space="preserve">Simply stated, an order of mandamus is ‘a prerogative order available on application for judicial review from the High Court, requiring an inferior court, tribunal or other public body to perform a specified public duty relating to its responsibilities.’  See </w:t>
      </w:r>
      <w:r w:rsidRPr="00133202">
        <w:rPr>
          <w:rFonts w:ascii="Constantia" w:hAnsi="Constantia"/>
          <w:b/>
          <w:sz w:val="24"/>
          <w:szCs w:val="24"/>
          <w:u w:val="single"/>
        </w:rPr>
        <w:t>Oxford’s Dictionary of Law, Oxford University Press, 2009, 7</w:t>
      </w:r>
      <w:r w:rsidRPr="00133202">
        <w:rPr>
          <w:rFonts w:ascii="Constantia" w:hAnsi="Constantia"/>
          <w:b/>
          <w:sz w:val="24"/>
          <w:szCs w:val="24"/>
          <w:u w:val="single"/>
          <w:vertAlign w:val="superscript"/>
        </w:rPr>
        <w:t>th</w:t>
      </w:r>
      <w:r w:rsidRPr="00133202">
        <w:rPr>
          <w:rFonts w:ascii="Constantia" w:hAnsi="Constantia"/>
          <w:b/>
          <w:sz w:val="24"/>
          <w:szCs w:val="24"/>
          <w:u w:val="single"/>
        </w:rPr>
        <w:t xml:space="preserve"> Edition, p. 340</w:t>
      </w:r>
      <w:r w:rsidRPr="00133202">
        <w:rPr>
          <w:rFonts w:ascii="Constantia" w:hAnsi="Constantia"/>
          <w:sz w:val="24"/>
          <w:szCs w:val="24"/>
        </w:rPr>
        <w:t xml:space="preserve">.  The order is applicable to the enforcement of public duties by public, administrative bodies.  </w:t>
      </w:r>
      <w:r w:rsidR="00EB3330" w:rsidRPr="00133202">
        <w:rPr>
          <w:rFonts w:ascii="Constantia" w:hAnsi="Constantia"/>
          <w:sz w:val="24"/>
          <w:szCs w:val="24"/>
        </w:rPr>
        <w:t xml:space="preserve">In my humble judgment the procedure </w:t>
      </w:r>
      <w:r w:rsidR="000B52F0" w:rsidRPr="00133202">
        <w:rPr>
          <w:rFonts w:ascii="Constantia" w:hAnsi="Constantia"/>
          <w:sz w:val="24"/>
          <w:szCs w:val="24"/>
        </w:rPr>
        <w:t xml:space="preserve">of judicial review </w:t>
      </w:r>
      <w:r w:rsidR="00EB3330" w:rsidRPr="00133202">
        <w:rPr>
          <w:rFonts w:ascii="Constantia" w:hAnsi="Constantia"/>
          <w:sz w:val="24"/>
          <w:szCs w:val="24"/>
        </w:rPr>
        <w:t xml:space="preserve">by which the order of mandamus is sought is quite instructive as to the intrinsic nature of that prerogative remedy.  As held in </w:t>
      </w:r>
      <w:r w:rsidR="00EB3330" w:rsidRPr="00133202">
        <w:rPr>
          <w:rFonts w:ascii="Constantia" w:hAnsi="Constantia"/>
          <w:b/>
          <w:sz w:val="24"/>
          <w:szCs w:val="24"/>
          <w:u w:val="single"/>
        </w:rPr>
        <w:t>Kasibo Joshua vs. Commissioner of Customs Misc. Appl. 44 of 2004</w:t>
      </w:r>
      <w:r w:rsidR="000B52F0" w:rsidRPr="00133202">
        <w:rPr>
          <w:rFonts w:ascii="Constantia" w:hAnsi="Constantia"/>
          <w:sz w:val="24"/>
          <w:szCs w:val="24"/>
        </w:rPr>
        <w:t>,</w:t>
      </w:r>
      <w:r w:rsidR="00EB3330" w:rsidRPr="00133202">
        <w:rPr>
          <w:rFonts w:ascii="Constantia" w:hAnsi="Constantia"/>
          <w:sz w:val="24"/>
          <w:szCs w:val="24"/>
        </w:rPr>
        <w:t xml:space="preserve"> </w:t>
      </w:r>
      <w:r w:rsidR="00EB3330" w:rsidRPr="00133202">
        <w:rPr>
          <w:rFonts w:ascii="Constantia" w:hAnsi="Constantia"/>
          <w:b/>
          <w:sz w:val="24"/>
          <w:szCs w:val="24"/>
        </w:rPr>
        <w:t xml:space="preserve">‘judicial </w:t>
      </w:r>
      <w:r w:rsidR="00EB3330" w:rsidRPr="00133202">
        <w:rPr>
          <w:rFonts w:ascii="Constantia" w:hAnsi="Constantia"/>
          <w:b/>
          <w:sz w:val="24"/>
          <w:szCs w:val="24"/>
        </w:rPr>
        <w:lastRenderedPageBreak/>
        <w:t xml:space="preserve">review </w:t>
      </w:r>
      <w:r w:rsidR="000B52F0" w:rsidRPr="00133202">
        <w:rPr>
          <w:rFonts w:ascii="Constantia" w:hAnsi="Constantia"/>
          <w:b/>
          <w:sz w:val="24"/>
          <w:szCs w:val="24"/>
        </w:rPr>
        <w:t>is concerned not with the decision, but the decision-making process</w:t>
      </w:r>
      <w:r w:rsidR="007F0B02" w:rsidRPr="00133202">
        <w:rPr>
          <w:rFonts w:ascii="Constantia" w:hAnsi="Constantia"/>
          <w:b/>
          <w:sz w:val="24"/>
          <w:szCs w:val="24"/>
        </w:rPr>
        <w:t xml:space="preserve">.  Essentially judicial review involves </w:t>
      </w:r>
      <w:r w:rsidR="007F0B02" w:rsidRPr="00133202">
        <w:rPr>
          <w:rFonts w:ascii="Constantia" w:hAnsi="Constantia"/>
          <w:b/>
          <w:sz w:val="24"/>
          <w:szCs w:val="24"/>
          <w:u w:val="single"/>
        </w:rPr>
        <w:t>an</w:t>
      </w:r>
      <w:r w:rsidR="007F0B02" w:rsidRPr="00133202">
        <w:rPr>
          <w:rFonts w:ascii="Constantia" w:hAnsi="Constantia"/>
          <w:b/>
          <w:sz w:val="24"/>
          <w:szCs w:val="24"/>
        </w:rPr>
        <w:t xml:space="preserve"> assessment of the manner in which the decision is made, it is not an appeal and the jurisdiction is exercised in a supervisory manner … not to vindicate rights as such, but to ensure that public powers are exercised in accordance with the basic principles of legality, fairness and rationality.’</w:t>
      </w:r>
      <w:r w:rsidR="00EB3330" w:rsidRPr="00133202">
        <w:rPr>
          <w:rFonts w:ascii="Constantia" w:hAnsi="Constantia"/>
          <w:b/>
          <w:sz w:val="24"/>
          <w:szCs w:val="24"/>
        </w:rPr>
        <w:t xml:space="preserve"> </w:t>
      </w:r>
    </w:p>
    <w:p w:rsidR="00DB30C9" w:rsidRPr="00133202" w:rsidRDefault="007F0B02" w:rsidP="007A2B43">
      <w:pPr>
        <w:jc w:val="both"/>
        <w:rPr>
          <w:rFonts w:ascii="Constantia" w:hAnsi="Constantia"/>
          <w:sz w:val="24"/>
          <w:szCs w:val="24"/>
        </w:rPr>
      </w:pPr>
      <w:r w:rsidRPr="00133202">
        <w:rPr>
          <w:rFonts w:ascii="Constantia" w:hAnsi="Constantia"/>
          <w:sz w:val="24"/>
          <w:szCs w:val="24"/>
        </w:rPr>
        <w:t xml:space="preserve">It would appear from the foregoing decision that a court hearing an application for judicial review is typically concerned with an examination of the process leading up to the decision under review with a view to ascertaining whether or not the resultant decision was arrived at in accordance with the principles of legality, rationality and fairness.  If the answer to such review is in the negative then the court may grant the requisite order.  </w:t>
      </w:r>
      <w:r w:rsidR="00904ADE" w:rsidRPr="00133202">
        <w:rPr>
          <w:rFonts w:ascii="Constantia" w:hAnsi="Constantia"/>
          <w:sz w:val="24"/>
          <w:szCs w:val="24"/>
        </w:rPr>
        <w:t xml:space="preserve">With regard to an order of mandamus, should the court </w:t>
      </w:r>
      <w:r w:rsidR="004756E0" w:rsidRPr="00133202">
        <w:rPr>
          <w:rFonts w:ascii="Constantia" w:hAnsi="Constantia"/>
          <w:sz w:val="24"/>
          <w:szCs w:val="24"/>
        </w:rPr>
        <w:t>establish</w:t>
      </w:r>
      <w:r w:rsidR="00904ADE" w:rsidRPr="00133202">
        <w:rPr>
          <w:rFonts w:ascii="Constantia" w:hAnsi="Constantia"/>
          <w:sz w:val="24"/>
          <w:szCs w:val="24"/>
        </w:rPr>
        <w:t xml:space="preserve"> a failure to exercise a statutory discretion</w:t>
      </w:r>
      <w:r w:rsidR="003B69AC" w:rsidRPr="00133202">
        <w:rPr>
          <w:rFonts w:ascii="Constantia" w:hAnsi="Constantia"/>
          <w:sz w:val="24"/>
          <w:szCs w:val="24"/>
        </w:rPr>
        <w:t xml:space="preserve"> in such process</w:t>
      </w:r>
      <w:r w:rsidR="00F02AB4" w:rsidRPr="00133202">
        <w:rPr>
          <w:rFonts w:ascii="Constantia" w:hAnsi="Constantia"/>
          <w:sz w:val="24"/>
          <w:szCs w:val="24"/>
        </w:rPr>
        <w:t>;</w:t>
      </w:r>
      <w:r w:rsidR="00904ADE" w:rsidRPr="00133202">
        <w:rPr>
          <w:rFonts w:ascii="Constantia" w:hAnsi="Constantia"/>
          <w:sz w:val="24"/>
          <w:szCs w:val="24"/>
        </w:rPr>
        <w:t xml:space="preserve"> failure to exercise </w:t>
      </w:r>
      <w:r w:rsidR="00F02AB4" w:rsidRPr="00133202">
        <w:rPr>
          <w:rFonts w:ascii="Constantia" w:hAnsi="Constantia"/>
          <w:sz w:val="24"/>
          <w:szCs w:val="24"/>
        </w:rPr>
        <w:t>such discretion</w:t>
      </w:r>
      <w:r w:rsidR="00904ADE" w:rsidRPr="00133202">
        <w:rPr>
          <w:rFonts w:ascii="Constantia" w:hAnsi="Constantia"/>
          <w:sz w:val="24"/>
          <w:szCs w:val="24"/>
        </w:rPr>
        <w:t xml:space="preserve"> in accordance with proper legal principles or</w:t>
      </w:r>
      <w:r w:rsidR="004756E0" w:rsidRPr="00133202">
        <w:rPr>
          <w:rFonts w:ascii="Constantia" w:hAnsi="Constantia"/>
          <w:sz w:val="24"/>
          <w:szCs w:val="24"/>
        </w:rPr>
        <w:t>, indeed,</w:t>
      </w:r>
      <w:r w:rsidR="00904ADE" w:rsidRPr="00133202">
        <w:rPr>
          <w:rFonts w:ascii="Constantia" w:hAnsi="Constantia"/>
          <w:sz w:val="24"/>
          <w:szCs w:val="24"/>
        </w:rPr>
        <w:t xml:space="preserve"> within the tenets of fairness and rationality </w:t>
      </w:r>
      <w:r w:rsidR="004756E0" w:rsidRPr="00133202">
        <w:rPr>
          <w:rFonts w:ascii="Constantia" w:hAnsi="Constantia"/>
          <w:sz w:val="24"/>
          <w:szCs w:val="24"/>
        </w:rPr>
        <w:t xml:space="preserve">as </w:t>
      </w:r>
      <w:r w:rsidR="00904ADE" w:rsidRPr="00133202">
        <w:rPr>
          <w:rFonts w:ascii="Constantia" w:hAnsi="Constantia"/>
          <w:sz w:val="24"/>
          <w:szCs w:val="24"/>
        </w:rPr>
        <w:t>e</w:t>
      </w:r>
      <w:r w:rsidR="004756E0" w:rsidRPr="00133202">
        <w:rPr>
          <w:rFonts w:ascii="Constantia" w:hAnsi="Constantia"/>
          <w:sz w:val="24"/>
          <w:szCs w:val="24"/>
        </w:rPr>
        <w:t>mbedded</w:t>
      </w:r>
      <w:r w:rsidR="00904ADE" w:rsidRPr="00133202">
        <w:rPr>
          <w:rFonts w:ascii="Constantia" w:hAnsi="Constantia"/>
          <w:sz w:val="24"/>
          <w:szCs w:val="24"/>
        </w:rPr>
        <w:t xml:space="preserve"> in the doctrine of natural justice, such court may grant the order of mandamus.</w:t>
      </w:r>
      <w:r w:rsidRPr="00133202">
        <w:rPr>
          <w:rFonts w:ascii="Constantia" w:hAnsi="Constantia"/>
          <w:sz w:val="24"/>
          <w:szCs w:val="24"/>
        </w:rPr>
        <w:t xml:space="preserve"> </w:t>
      </w:r>
      <w:r w:rsidR="00763810" w:rsidRPr="00133202">
        <w:rPr>
          <w:rFonts w:ascii="Constantia" w:hAnsi="Constantia"/>
          <w:sz w:val="24"/>
          <w:szCs w:val="24"/>
        </w:rPr>
        <w:t xml:space="preserve"> </w:t>
      </w:r>
      <w:r w:rsidRPr="00133202">
        <w:rPr>
          <w:rFonts w:ascii="Constantia" w:hAnsi="Constantia"/>
          <w:sz w:val="24"/>
          <w:szCs w:val="24"/>
        </w:rPr>
        <w:t>This is not the case in the application before this court.</w:t>
      </w:r>
      <w:r w:rsidR="00904ADE" w:rsidRPr="00133202">
        <w:rPr>
          <w:rFonts w:ascii="Constantia" w:hAnsi="Constantia"/>
          <w:sz w:val="24"/>
          <w:szCs w:val="24"/>
        </w:rPr>
        <w:t xml:space="preserve">  The </w:t>
      </w:r>
      <w:r w:rsidR="0062092F" w:rsidRPr="00133202">
        <w:rPr>
          <w:rFonts w:ascii="Constantia" w:hAnsi="Constantia"/>
          <w:sz w:val="24"/>
          <w:szCs w:val="24"/>
        </w:rPr>
        <w:t xml:space="preserve">circumstances of the present application are that </w:t>
      </w:r>
      <w:r w:rsidR="00904ADE" w:rsidRPr="00133202">
        <w:rPr>
          <w:rFonts w:ascii="Constantia" w:hAnsi="Constantia"/>
          <w:sz w:val="24"/>
          <w:szCs w:val="24"/>
        </w:rPr>
        <w:t>an</w:t>
      </w:r>
      <w:r w:rsidR="0062092F" w:rsidRPr="00133202">
        <w:rPr>
          <w:rFonts w:ascii="Constantia" w:hAnsi="Constantia"/>
          <w:sz w:val="24"/>
          <w:szCs w:val="24"/>
        </w:rPr>
        <w:t xml:space="preserve"> order of mandamus is sought to </w:t>
      </w:r>
      <w:r w:rsidR="0034726A" w:rsidRPr="00133202">
        <w:rPr>
          <w:rFonts w:ascii="Constantia" w:hAnsi="Constantia"/>
          <w:sz w:val="24"/>
          <w:szCs w:val="24"/>
        </w:rPr>
        <w:t>ensure</w:t>
      </w:r>
      <w:r w:rsidR="00EC66C1" w:rsidRPr="00133202">
        <w:rPr>
          <w:rFonts w:ascii="Constantia" w:hAnsi="Constantia"/>
          <w:sz w:val="24"/>
          <w:szCs w:val="24"/>
        </w:rPr>
        <w:t xml:space="preserve"> </w:t>
      </w:r>
      <w:r w:rsidR="0062092F" w:rsidRPr="00133202">
        <w:rPr>
          <w:rFonts w:ascii="Constantia" w:hAnsi="Constantia"/>
          <w:sz w:val="24"/>
          <w:szCs w:val="24"/>
        </w:rPr>
        <w:t xml:space="preserve">the </w:t>
      </w:r>
      <w:r w:rsidR="00904ADE" w:rsidRPr="00133202">
        <w:rPr>
          <w:rFonts w:ascii="Constantia" w:hAnsi="Constantia"/>
          <w:sz w:val="24"/>
          <w:szCs w:val="24"/>
        </w:rPr>
        <w:t xml:space="preserve">delivery of land to the applicant as </w:t>
      </w:r>
      <w:r w:rsidR="0062092F" w:rsidRPr="00133202">
        <w:rPr>
          <w:rFonts w:ascii="Constantia" w:hAnsi="Constantia"/>
          <w:sz w:val="24"/>
          <w:szCs w:val="24"/>
        </w:rPr>
        <w:t>spelt out in a consent judgment.</w:t>
      </w:r>
      <w:r w:rsidR="00E02457" w:rsidRPr="00133202">
        <w:rPr>
          <w:rFonts w:ascii="Constantia" w:hAnsi="Constantia"/>
          <w:sz w:val="24"/>
          <w:szCs w:val="24"/>
        </w:rPr>
        <w:t xml:space="preserve"> </w:t>
      </w:r>
      <w:r w:rsidR="0062092F" w:rsidRPr="00133202">
        <w:rPr>
          <w:rFonts w:ascii="Constantia" w:hAnsi="Constantia"/>
          <w:sz w:val="24"/>
          <w:szCs w:val="24"/>
        </w:rPr>
        <w:t xml:space="preserve"> </w:t>
      </w:r>
      <w:r w:rsidR="00F02AB4" w:rsidRPr="00133202">
        <w:rPr>
          <w:rFonts w:ascii="Constantia" w:hAnsi="Constantia"/>
          <w:sz w:val="24"/>
          <w:szCs w:val="24"/>
        </w:rPr>
        <w:t xml:space="preserve">The application does not seek </w:t>
      </w:r>
      <w:r w:rsidR="00564C74" w:rsidRPr="00133202">
        <w:rPr>
          <w:rFonts w:ascii="Constantia" w:hAnsi="Constantia"/>
          <w:sz w:val="24"/>
          <w:szCs w:val="24"/>
        </w:rPr>
        <w:t>an</w:t>
      </w:r>
      <w:r w:rsidR="00F02AB4" w:rsidRPr="00133202">
        <w:rPr>
          <w:rFonts w:ascii="Constantia" w:hAnsi="Constantia"/>
          <w:sz w:val="24"/>
          <w:szCs w:val="24"/>
        </w:rPr>
        <w:t xml:space="preserve"> examination of the process leading </w:t>
      </w:r>
      <w:r w:rsidR="00564C74" w:rsidRPr="00133202">
        <w:rPr>
          <w:rFonts w:ascii="Constantia" w:hAnsi="Constantia"/>
          <w:sz w:val="24"/>
          <w:szCs w:val="24"/>
        </w:rPr>
        <w:t xml:space="preserve">up to the decision in the consent judgment but rather </w:t>
      </w:r>
      <w:r w:rsidR="008C726F" w:rsidRPr="00133202">
        <w:rPr>
          <w:rFonts w:ascii="Constantia" w:hAnsi="Constantia"/>
          <w:sz w:val="24"/>
          <w:szCs w:val="24"/>
        </w:rPr>
        <w:t xml:space="preserve">the enforcement </w:t>
      </w:r>
      <w:r w:rsidR="00564C74" w:rsidRPr="00133202">
        <w:rPr>
          <w:rFonts w:ascii="Constantia" w:hAnsi="Constantia"/>
          <w:sz w:val="24"/>
          <w:szCs w:val="24"/>
        </w:rPr>
        <w:t xml:space="preserve">or execution </w:t>
      </w:r>
      <w:r w:rsidR="008C726F" w:rsidRPr="00133202">
        <w:rPr>
          <w:rFonts w:ascii="Constantia" w:hAnsi="Constantia"/>
          <w:sz w:val="24"/>
          <w:szCs w:val="24"/>
        </w:rPr>
        <w:t xml:space="preserve">of </w:t>
      </w:r>
      <w:r w:rsidR="00564C74" w:rsidRPr="00133202">
        <w:rPr>
          <w:rFonts w:ascii="Constantia" w:hAnsi="Constantia"/>
          <w:sz w:val="24"/>
          <w:szCs w:val="24"/>
        </w:rPr>
        <w:t>th</w:t>
      </w:r>
      <w:r w:rsidR="008C726F" w:rsidRPr="00133202">
        <w:rPr>
          <w:rFonts w:ascii="Constantia" w:hAnsi="Constantia"/>
          <w:sz w:val="24"/>
          <w:szCs w:val="24"/>
        </w:rPr>
        <w:t>a</w:t>
      </w:r>
      <w:r w:rsidR="00564C74" w:rsidRPr="00133202">
        <w:rPr>
          <w:rFonts w:ascii="Constantia" w:hAnsi="Constantia"/>
          <w:sz w:val="24"/>
          <w:szCs w:val="24"/>
        </w:rPr>
        <w:t>t</w:t>
      </w:r>
      <w:r w:rsidR="008C726F" w:rsidRPr="00133202">
        <w:rPr>
          <w:rFonts w:ascii="Constantia" w:hAnsi="Constantia"/>
          <w:sz w:val="24"/>
          <w:szCs w:val="24"/>
        </w:rPr>
        <w:t xml:space="preserve"> decision</w:t>
      </w:r>
      <w:r w:rsidR="00564C74" w:rsidRPr="00133202">
        <w:rPr>
          <w:rFonts w:ascii="Constantia" w:hAnsi="Constantia"/>
          <w:sz w:val="24"/>
          <w:szCs w:val="24"/>
        </w:rPr>
        <w:t xml:space="preserve"> by the respondent</w:t>
      </w:r>
      <w:r w:rsidR="008C726F" w:rsidRPr="00133202">
        <w:rPr>
          <w:rFonts w:ascii="Constantia" w:hAnsi="Constantia"/>
          <w:sz w:val="24"/>
          <w:szCs w:val="24"/>
        </w:rPr>
        <w:t xml:space="preserve">.  </w:t>
      </w:r>
      <w:r w:rsidR="003B69AC" w:rsidRPr="00133202">
        <w:rPr>
          <w:rFonts w:ascii="Constantia" w:hAnsi="Constantia"/>
          <w:sz w:val="24"/>
          <w:szCs w:val="24"/>
        </w:rPr>
        <w:t xml:space="preserve">To that extent, </w:t>
      </w:r>
      <w:r w:rsidR="00A641C7" w:rsidRPr="00133202">
        <w:rPr>
          <w:rFonts w:ascii="Constantia" w:hAnsi="Constantia"/>
          <w:sz w:val="24"/>
          <w:szCs w:val="24"/>
        </w:rPr>
        <w:t xml:space="preserve">therefore, </w:t>
      </w:r>
      <w:r w:rsidR="003B69AC" w:rsidRPr="00133202">
        <w:rPr>
          <w:rFonts w:ascii="Constantia" w:hAnsi="Constantia"/>
          <w:sz w:val="24"/>
          <w:szCs w:val="24"/>
        </w:rPr>
        <w:t xml:space="preserve">the rules of execution would be as pertinent to this matter as those in respect of applications for judicial review.  </w:t>
      </w:r>
      <w:r w:rsidR="00DB30C9" w:rsidRPr="00133202">
        <w:rPr>
          <w:rFonts w:ascii="Constantia" w:hAnsi="Constantia"/>
          <w:sz w:val="24"/>
          <w:szCs w:val="24"/>
        </w:rPr>
        <w:t xml:space="preserve"> </w:t>
      </w:r>
    </w:p>
    <w:p w:rsidR="005D1329" w:rsidRPr="00133202" w:rsidRDefault="005C42E3" w:rsidP="005D1329">
      <w:pPr>
        <w:jc w:val="both"/>
        <w:rPr>
          <w:rFonts w:ascii="Constantia" w:hAnsi="Constantia"/>
          <w:b/>
          <w:sz w:val="24"/>
          <w:szCs w:val="24"/>
        </w:rPr>
      </w:pPr>
      <w:r w:rsidRPr="00133202">
        <w:rPr>
          <w:rFonts w:ascii="Constantia" w:hAnsi="Constantia"/>
          <w:sz w:val="24"/>
          <w:szCs w:val="24"/>
        </w:rPr>
        <w:t xml:space="preserve">Provision for execution is </w:t>
      </w:r>
      <w:r w:rsidR="005C7569" w:rsidRPr="00133202">
        <w:rPr>
          <w:rFonts w:ascii="Constantia" w:hAnsi="Constantia"/>
          <w:sz w:val="24"/>
          <w:szCs w:val="24"/>
        </w:rPr>
        <w:t xml:space="preserve">contained </w:t>
      </w:r>
      <w:r w:rsidR="008A17B6" w:rsidRPr="00133202">
        <w:rPr>
          <w:rFonts w:ascii="Constantia" w:hAnsi="Constantia"/>
          <w:sz w:val="24"/>
          <w:szCs w:val="24"/>
        </w:rPr>
        <w:t xml:space="preserve">in </w:t>
      </w:r>
      <w:r w:rsidR="0025025C" w:rsidRPr="00133202">
        <w:rPr>
          <w:rFonts w:ascii="Constantia" w:hAnsi="Constantia"/>
          <w:sz w:val="24"/>
          <w:szCs w:val="24"/>
        </w:rPr>
        <w:t xml:space="preserve">section 38 of the CPA and </w:t>
      </w:r>
      <w:r w:rsidR="008A17B6" w:rsidRPr="00133202">
        <w:rPr>
          <w:rFonts w:ascii="Constantia" w:hAnsi="Constantia"/>
          <w:sz w:val="24"/>
          <w:szCs w:val="24"/>
        </w:rPr>
        <w:t xml:space="preserve">Order </w:t>
      </w:r>
      <w:r w:rsidR="009F06E3" w:rsidRPr="00133202">
        <w:rPr>
          <w:rFonts w:ascii="Constantia" w:hAnsi="Constantia"/>
          <w:sz w:val="24"/>
          <w:szCs w:val="24"/>
        </w:rPr>
        <w:t xml:space="preserve">22 </w:t>
      </w:r>
      <w:r w:rsidR="008A17B6" w:rsidRPr="00133202">
        <w:rPr>
          <w:rFonts w:ascii="Constantia" w:hAnsi="Constantia"/>
          <w:sz w:val="24"/>
          <w:szCs w:val="24"/>
        </w:rPr>
        <w:t xml:space="preserve">rule </w:t>
      </w:r>
      <w:r w:rsidR="002C73A4" w:rsidRPr="00133202">
        <w:rPr>
          <w:rFonts w:ascii="Constantia" w:hAnsi="Constantia"/>
          <w:sz w:val="24"/>
          <w:szCs w:val="24"/>
        </w:rPr>
        <w:t xml:space="preserve">7 of the CPR.  </w:t>
      </w:r>
      <w:r w:rsidR="00827D5F" w:rsidRPr="00133202">
        <w:rPr>
          <w:rFonts w:ascii="Constantia" w:hAnsi="Constantia"/>
          <w:sz w:val="24"/>
          <w:szCs w:val="24"/>
        </w:rPr>
        <w:t xml:space="preserve">Section 35 of the CPA, in turn, </w:t>
      </w:r>
      <w:r w:rsidR="00D8548A" w:rsidRPr="00133202">
        <w:rPr>
          <w:rFonts w:ascii="Constantia" w:hAnsi="Constantia"/>
          <w:sz w:val="24"/>
          <w:szCs w:val="24"/>
        </w:rPr>
        <w:t>prescribes</w:t>
      </w:r>
      <w:r w:rsidR="00827D5F" w:rsidRPr="00133202">
        <w:rPr>
          <w:rFonts w:ascii="Constantia" w:hAnsi="Constantia"/>
          <w:sz w:val="24"/>
          <w:szCs w:val="24"/>
        </w:rPr>
        <w:t xml:space="preserve"> the time within which execution of decrees may ensue.  </w:t>
      </w:r>
      <w:r w:rsidR="00D8548A" w:rsidRPr="00133202">
        <w:rPr>
          <w:rFonts w:ascii="Constantia" w:hAnsi="Constantia"/>
          <w:sz w:val="24"/>
          <w:szCs w:val="24"/>
        </w:rPr>
        <w:t xml:space="preserve">While section 35(1) bars an order of execution in respect of a fresh application filed 12 years after the date of the decree or the date of the default in respect thereof; section 35 (2)(a) explicitly permits courts to order for execution where an applicant was prevented from lodging his/ her application for execution within 12 years on account of fraud or force.  The net effect of these provisions is that an application for execution may be brought within 12 years from the date of the decree sought to be executed or the default in compliance therewith. </w:t>
      </w:r>
      <w:r w:rsidR="005D1329" w:rsidRPr="00133202">
        <w:rPr>
          <w:rFonts w:ascii="Constantia" w:hAnsi="Constantia"/>
          <w:sz w:val="24"/>
          <w:szCs w:val="24"/>
        </w:rPr>
        <w:t>Conversely, rule 5(3) of the Judicature (Judicial Review) Rules appears to subject or subordinate the limitation period stipulated in rule 5(1) to any statutory provision that provides otherwise with regard to the time within which an application f</w:t>
      </w:r>
      <w:r w:rsidR="00763810" w:rsidRPr="00133202">
        <w:rPr>
          <w:rFonts w:ascii="Constantia" w:hAnsi="Constantia"/>
          <w:sz w:val="24"/>
          <w:szCs w:val="24"/>
        </w:rPr>
        <w:t xml:space="preserve">or judicial review may be made.  </w:t>
      </w:r>
      <w:r w:rsidR="005D1329" w:rsidRPr="00133202">
        <w:rPr>
          <w:rFonts w:ascii="Constantia" w:hAnsi="Constantia"/>
          <w:sz w:val="24"/>
          <w:szCs w:val="24"/>
        </w:rPr>
        <w:t>Rule 5(3) reads:</w:t>
      </w:r>
    </w:p>
    <w:p w:rsidR="005D1329" w:rsidRPr="00133202" w:rsidRDefault="005D1329" w:rsidP="005D1329">
      <w:pPr>
        <w:ind w:left="720"/>
        <w:jc w:val="both"/>
        <w:rPr>
          <w:rFonts w:ascii="Constantia" w:hAnsi="Constantia"/>
          <w:b/>
          <w:sz w:val="24"/>
          <w:szCs w:val="24"/>
        </w:rPr>
      </w:pPr>
      <w:r w:rsidRPr="00133202">
        <w:rPr>
          <w:rFonts w:ascii="Constantia" w:hAnsi="Constantia"/>
          <w:b/>
          <w:sz w:val="24"/>
          <w:szCs w:val="24"/>
        </w:rPr>
        <w:lastRenderedPageBreak/>
        <w:t xml:space="preserve">“This rule shall apply, without prejudice, to any statutory provision which has the effect of limiting the time within which an application for judicial review may be made.” </w:t>
      </w:r>
    </w:p>
    <w:p w:rsidR="008A5E39" w:rsidRPr="00133202" w:rsidRDefault="00C94F58" w:rsidP="001D6ECC">
      <w:pPr>
        <w:jc w:val="both"/>
        <w:rPr>
          <w:rFonts w:ascii="Constantia" w:hAnsi="Constantia"/>
          <w:sz w:val="24"/>
          <w:szCs w:val="24"/>
        </w:rPr>
      </w:pPr>
      <w:r w:rsidRPr="00133202">
        <w:rPr>
          <w:rFonts w:ascii="Constantia" w:hAnsi="Constantia"/>
          <w:sz w:val="24"/>
          <w:szCs w:val="24"/>
        </w:rPr>
        <w:t xml:space="preserve">Accordingly, </w:t>
      </w:r>
      <w:r w:rsidR="008B0657" w:rsidRPr="00133202">
        <w:rPr>
          <w:rFonts w:ascii="Constantia" w:hAnsi="Constantia"/>
          <w:sz w:val="24"/>
          <w:szCs w:val="24"/>
        </w:rPr>
        <w:t>in so far as the matter under consideration i</w:t>
      </w:r>
      <w:r w:rsidR="008B5163" w:rsidRPr="00133202">
        <w:rPr>
          <w:rFonts w:ascii="Constantia" w:hAnsi="Constantia"/>
          <w:sz w:val="24"/>
          <w:szCs w:val="24"/>
        </w:rPr>
        <w:t>s</w:t>
      </w:r>
      <w:r w:rsidR="008B0657" w:rsidRPr="00133202">
        <w:rPr>
          <w:rFonts w:ascii="Constantia" w:hAnsi="Constantia"/>
          <w:sz w:val="24"/>
          <w:szCs w:val="24"/>
        </w:rPr>
        <w:t xml:space="preserve"> an application for judicial review premised on </w:t>
      </w:r>
      <w:r w:rsidR="000940AD" w:rsidRPr="00133202">
        <w:rPr>
          <w:rFonts w:ascii="Constantia" w:hAnsi="Constantia"/>
          <w:sz w:val="24"/>
          <w:szCs w:val="24"/>
        </w:rPr>
        <w:t xml:space="preserve">decretal orders or </w:t>
      </w:r>
      <w:r w:rsidR="008B5163" w:rsidRPr="00133202">
        <w:rPr>
          <w:rFonts w:ascii="Constantia" w:hAnsi="Constantia"/>
          <w:sz w:val="24"/>
          <w:szCs w:val="24"/>
        </w:rPr>
        <w:t xml:space="preserve">the respondent’s </w:t>
      </w:r>
      <w:r w:rsidR="000940AD" w:rsidRPr="00133202">
        <w:rPr>
          <w:rFonts w:ascii="Constantia" w:hAnsi="Constantia"/>
          <w:sz w:val="24"/>
          <w:szCs w:val="24"/>
        </w:rPr>
        <w:t>default in respect thereof</w:t>
      </w:r>
      <w:r w:rsidR="008A5E39" w:rsidRPr="00133202">
        <w:rPr>
          <w:rFonts w:ascii="Constantia" w:hAnsi="Constantia"/>
          <w:sz w:val="24"/>
          <w:szCs w:val="24"/>
        </w:rPr>
        <w:t xml:space="preserve">, the </w:t>
      </w:r>
      <w:r w:rsidR="008B0657" w:rsidRPr="00133202">
        <w:rPr>
          <w:rFonts w:ascii="Constantia" w:hAnsi="Constantia"/>
          <w:sz w:val="24"/>
          <w:szCs w:val="24"/>
        </w:rPr>
        <w:t xml:space="preserve">limitation period prescribed in rule 5(1) would be subject to </w:t>
      </w:r>
      <w:r w:rsidR="00293DC1" w:rsidRPr="00133202">
        <w:rPr>
          <w:rFonts w:ascii="Constantia" w:hAnsi="Constantia"/>
          <w:sz w:val="24"/>
          <w:szCs w:val="24"/>
        </w:rPr>
        <w:t xml:space="preserve">the </w:t>
      </w:r>
      <w:r w:rsidR="008A5E39" w:rsidRPr="00133202">
        <w:rPr>
          <w:rFonts w:ascii="Constantia" w:hAnsi="Constantia"/>
          <w:sz w:val="24"/>
          <w:szCs w:val="24"/>
        </w:rPr>
        <w:t>time prescribed for execution in the CPA</w:t>
      </w:r>
      <w:r w:rsidR="00293DC1" w:rsidRPr="00133202">
        <w:rPr>
          <w:rFonts w:ascii="Constantia" w:hAnsi="Constantia"/>
          <w:sz w:val="24"/>
          <w:szCs w:val="24"/>
        </w:rPr>
        <w:t xml:space="preserve">.  </w:t>
      </w:r>
      <w:r w:rsidR="008A5E39" w:rsidRPr="00133202">
        <w:rPr>
          <w:rFonts w:ascii="Constantia" w:hAnsi="Constantia"/>
          <w:sz w:val="24"/>
          <w:szCs w:val="24"/>
        </w:rPr>
        <w:t xml:space="preserve">  </w:t>
      </w:r>
      <w:r w:rsidR="00BC2A0F" w:rsidRPr="00133202">
        <w:rPr>
          <w:rFonts w:ascii="Constantia" w:hAnsi="Constantia"/>
          <w:sz w:val="24"/>
          <w:szCs w:val="24"/>
        </w:rPr>
        <w:t>I do, therefore, agree with learned counsel for the applicant that the application before this court has been made within time as by law prescribed.  I so hold.</w:t>
      </w:r>
    </w:p>
    <w:p w:rsidR="008B583A" w:rsidRPr="00133202" w:rsidRDefault="008920A4" w:rsidP="001D6ECC">
      <w:pPr>
        <w:jc w:val="both"/>
        <w:rPr>
          <w:rFonts w:ascii="Constantia" w:hAnsi="Constantia"/>
          <w:sz w:val="24"/>
          <w:szCs w:val="24"/>
        </w:rPr>
      </w:pPr>
      <w:r w:rsidRPr="00133202">
        <w:rPr>
          <w:rFonts w:ascii="Constantia" w:hAnsi="Constantia"/>
          <w:sz w:val="24"/>
          <w:szCs w:val="24"/>
        </w:rPr>
        <w:t>With regard to the merits of this application, t</w:t>
      </w:r>
      <w:r w:rsidR="00BC2A0F" w:rsidRPr="00133202">
        <w:rPr>
          <w:rFonts w:ascii="Constantia" w:hAnsi="Constantia"/>
          <w:sz w:val="24"/>
          <w:szCs w:val="24"/>
        </w:rPr>
        <w:t>he p</w:t>
      </w:r>
      <w:r w:rsidR="008B583A" w:rsidRPr="00133202">
        <w:rPr>
          <w:rFonts w:ascii="Constantia" w:hAnsi="Constantia"/>
          <w:sz w:val="24"/>
          <w:szCs w:val="24"/>
        </w:rPr>
        <w:t>arameters against which a court may determine whether or not to grant an order of mandamus are stipulated in section 37(1) of the Judicature Act as follows:</w:t>
      </w:r>
    </w:p>
    <w:p w:rsidR="008B583A" w:rsidRPr="00133202" w:rsidRDefault="008B583A" w:rsidP="008B583A">
      <w:pPr>
        <w:ind w:left="720"/>
        <w:jc w:val="both"/>
        <w:rPr>
          <w:rFonts w:ascii="Constantia" w:hAnsi="Constantia"/>
          <w:i/>
          <w:sz w:val="24"/>
          <w:szCs w:val="24"/>
        </w:rPr>
      </w:pPr>
      <w:r w:rsidRPr="00133202">
        <w:rPr>
          <w:rFonts w:ascii="Constantia" w:hAnsi="Constantia"/>
          <w:b/>
          <w:sz w:val="24"/>
          <w:szCs w:val="24"/>
        </w:rPr>
        <w:t>“The High Court may grant an order of mandamus … in all cases where it appears to the High Court to be just and convenient to do so.”</w:t>
      </w:r>
      <w:r w:rsidR="00BE11A6" w:rsidRPr="00133202">
        <w:rPr>
          <w:rFonts w:ascii="Constantia" w:hAnsi="Constantia"/>
          <w:b/>
          <w:sz w:val="24"/>
          <w:szCs w:val="24"/>
        </w:rPr>
        <w:t xml:space="preserve"> </w:t>
      </w:r>
    </w:p>
    <w:p w:rsidR="003859BF" w:rsidRPr="00133202" w:rsidRDefault="00E25FE8" w:rsidP="0011049D">
      <w:pPr>
        <w:jc w:val="both"/>
        <w:rPr>
          <w:rFonts w:ascii="Constantia" w:hAnsi="Constantia"/>
          <w:sz w:val="24"/>
          <w:szCs w:val="24"/>
        </w:rPr>
      </w:pPr>
      <w:r w:rsidRPr="00133202">
        <w:rPr>
          <w:rFonts w:ascii="Constantia" w:hAnsi="Constantia"/>
          <w:sz w:val="24"/>
          <w:szCs w:val="24"/>
        </w:rPr>
        <w:t>In the case</w:t>
      </w:r>
      <w:r w:rsidR="008B583A" w:rsidRPr="00133202">
        <w:rPr>
          <w:rFonts w:ascii="Constantia" w:hAnsi="Constantia"/>
          <w:sz w:val="24"/>
          <w:szCs w:val="24"/>
        </w:rPr>
        <w:t xml:space="preserve"> </w:t>
      </w:r>
      <w:r w:rsidRPr="00133202">
        <w:rPr>
          <w:rFonts w:ascii="Constantia" w:hAnsi="Constantia"/>
          <w:sz w:val="24"/>
          <w:szCs w:val="24"/>
        </w:rPr>
        <w:t>before me, the decretal land entailed a 1.766256 hectare piece of land described as FRV 440 Folios 17 and 18 in Nsambya</w:t>
      </w:r>
      <w:r w:rsidR="00414A59" w:rsidRPr="00133202">
        <w:rPr>
          <w:rFonts w:ascii="Constantia" w:hAnsi="Constantia"/>
          <w:sz w:val="24"/>
          <w:szCs w:val="24"/>
        </w:rPr>
        <w:t xml:space="preserve"> to be leased to the applicant for 10 years.</w:t>
      </w:r>
      <w:r w:rsidRPr="00133202">
        <w:rPr>
          <w:rFonts w:ascii="Constantia" w:hAnsi="Constantia"/>
          <w:sz w:val="24"/>
          <w:szCs w:val="24"/>
        </w:rPr>
        <w:t xml:space="preserve">  </w:t>
      </w:r>
      <w:r w:rsidR="00414A59" w:rsidRPr="00133202">
        <w:rPr>
          <w:rFonts w:ascii="Constantia" w:hAnsi="Constantia"/>
          <w:sz w:val="24"/>
          <w:szCs w:val="24"/>
        </w:rPr>
        <w:t xml:space="preserve">What the respondent did, in fact, offer the applicant was a 5-year lease on </w:t>
      </w:r>
      <w:r w:rsidRPr="00133202">
        <w:rPr>
          <w:rFonts w:ascii="Constantia" w:hAnsi="Constantia"/>
          <w:sz w:val="24"/>
          <w:szCs w:val="24"/>
        </w:rPr>
        <w:t xml:space="preserve">an alternative piece of land measuring 1.479 hectares and comprised in LRV 4350 Folio 20 plot 20 Barracks Drive, Nsambya.  </w:t>
      </w:r>
      <w:r w:rsidR="00293DC1" w:rsidRPr="00133202">
        <w:rPr>
          <w:rFonts w:ascii="Constantia" w:hAnsi="Constantia"/>
          <w:sz w:val="24"/>
          <w:szCs w:val="24"/>
        </w:rPr>
        <w:t>No averment was made as to the circumstances under which the respondent took that decision so as to enable this court determine whether the said decision was arrived at irrationally</w:t>
      </w:r>
      <w:r w:rsidR="00581F80" w:rsidRPr="00133202">
        <w:rPr>
          <w:rFonts w:ascii="Constantia" w:hAnsi="Constantia"/>
          <w:sz w:val="24"/>
          <w:szCs w:val="24"/>
        </w:rPr>
        <w:t>, illegally or unfairly</w:t>
      </w:r>
      <w:r w:rsidR="00293DC1" w:rsidRPr="00133202">
        <w:rPr>
          <w:rFonts w:ascii="Constantia" w:hAnsi="Constantia"/>
          <w:sz w:val="24"/>
          <w:szCs w:val="24"/>
        </w:rPr>
        <w:t xml:space="preserve">.  </w:t>
      </w:r>
      <w:r w:rsidR="007949BD" w:rsidRPr="00133202">
        <w:rPr>
          <w:rFonts w:ascii="Constantia" w:hAnsi="Constantia"/>
          <w:sz w:val="24"/>
          <w:szCs w:val="24"/>
        </w:rPr>
        <w:t>I</w:t>
      </w:r>
      <w:r w:rsidR="00353C71" w:rsidRPr="00133202">
        <w:rPr>
          <w:rFonts w:ascii="Constantia" w:hAnsi="Constantia"/>
          <w:sz w:val="24"/>
          <w:szCs w:val="24"/>
        </w:rPr>
        <w:t xml:space="preserve">t does appear to me that </w:t>
      </w:r>
      <w:r w:rsidR="007949BD" w:rsidRPr="00133202">
        <w:rPr>
          <w:rFonts w:ascii="Constantia" w:hAnsi="Constantia"/>
          <w:sz w:val="24"/>
          <w:szCs w:val="24"/>
        </w:rPr>
        <w:t xml:space="preserve">the </w:t>
      </w:r>
      <w:r w:rsidR="003859BF" w:rsidRPr="00133202">
        <w:rPr>
          <w:rFonts w:ascii="Constantia" w:hAnsi="Constantia"/>
          <w:sz w:val="24"/>
          <w:szCs w:val="24"/>
        </w:rPr>
        <w:t>decision-making process</w:t>
      </w:r>
      <w:r w:rsidR="00353C71" w:rsidRPr="00133202">
        <w:rPr>
          <w:rFonts w:ascii="Constantia" w:hAnsi="Constantia"/>
          <w:sz w:val="24"/>
          <w:szCs w:val="24"/>
        </w:rPr>
        <w:t>es</w:t>
      </w:r>
      <w:r w:rsidR="003859BF" w:rsidRPr="00133202">
        <w:rPr>
          <w:rFonts w:ascii="Constantia" w:hAnsi="Constantia"/>
          <w:sz w:val="24"/>
          <w:szCs w:val="24"/>
        </w:rPr>
        <w:t xml:space="preserve"> </w:t>
      </w:r>
      <w:r w:rsidR="00353C71" w:rsidRPr="00133202">
        <w:rPr>
          <w:rFonts w:ascii="Constantia" w:hAnsi="Constantia"/>
          <w:sz w:val="24"/>
          <w:szCs w:val="24"/>
        </w:rPr>
        <w:t xml:space="preserve">that </w:t>
      </w:r>
      <w:r w:rsidR="00786762" w:rsidRPr="00133202">
        <w:rPr>
          <w:rFonts w:ascii="Constantia" w:hAnsi="Constantia"/>
          <w:sz w:val="24"/>
          <w:szCs w:val="24"/>
        </w:rPr>
        <w:t xml:space="preserve">informed </w:t>
      </w:r>
      <w:r w:rsidR="00353C71" w:rsidRPr="00133202">
        <w:rPr>
          <w:rFonts w:ascii="Constantia" w:hAnsi="Constantia"/>
          <w:sz w:val="24"/>
          <w:szCs w:val="24"/>
        </w:rPr>
        <w:t xml:space="preserve">the offer of this alternative </w:t>
      </w:r>
      <w:r w:rsidR="003859BF" w:rsidRPr="00133202">
        <w:rPr>
          <w:rFonts w:ascii="Constantia" w:hAnsi="Constantia"/>
          <w:sz w:val="24"/>
          <w:szCs w:val="24"/>
        </w:rPr>
        <w:t xml:space="preserve">piece of land </w:t>
      </w:r>
      <w:r w:rsidR="007949BD" w:rsidRPr="00133202">
        <w:rPr>
          <w:rFonts w:ascii="Constantia" w:hAnsi="Constantia"/>
          <w:sz w:val="24"/>
          <w:szCs w:val="24"/>
        </w:rPr>
        <w:t>w</w:t>
      </w:r>
      <w:r w:rsidR="00353C71" w:rsidRPr="00133202">
        <w:rPr>
          <w:rFonts w:ascii="Constantia" w:hAnsi="Constantia"/>
          <w:sz w:val="24"/>
          <w:szCs w:val="24"/>
        </w:rPr>
        <w:t>as</w:t>
      </w:r>
      <w:r w:rsidR="003859BF" w:rsidRPr="00133202">
        <w:rPr>
          <w:rFonts w:ascii="Constantia" w:hAnsi="Constantia"/>
          <w:sz w:val="24"/>
          <w:szCs w:val="24"/>
        </w:rPr>
        <w:t xml:space="preserve"> n</w:t>
      </w:r>
      <w:r w:rsidR="007949BD" w:rsidRPr="00133202">
        <w:rPr>
          <w:rFonts w:ascii="Constantia" w:hAnsi="Constantia"/>
          <w:sz w:val="24"/>
          <w:szCs w:val="24"/>
        </w:rPr>
        <w:t xml:space="preserve">ever </w:t>
      </w:r>
      <w:r w:rsidR="003859BF" w:rsidRPr="00133202">
        <w:rPr>
          <w:rFonts w:ascii="Constantia" w:hAnsi="Constantia"/>
          <w:sz w:val="24"/>
          <w:szCs w:val="24"/>
        </w:rPr>
        <w:t xml:space="preserve">in issue in this application.  </w:t>
      </w:r>
      <w:r w:rsidR="00FC2767" w:rsidRPr="00133202">
        <w:rPr>
          <w:rFonts w:ascii="Constantia" w:hAnsi="Constantia"/>
          <w:sz w:val="24"/>
          <w:szCs w:val="24"/>
        </w:rPr>
        <w:t xml:space="preserve">What </w:t>
      </w:r>
      <w:r w:rsidR="00353C71" w:rsidRPr="00133202">
        <w:rPr>
          <w:rFonts w:ascii="Constantia" w:hAnsi="Constantia"/>
          <w:sz w:val="24"/>
          <w:szCs w:val="24"/>
        </w:rPr>
        <w:t xml:space="preserve">appears to be </w:t>
      </w:r>
      <w:r w:rsidR="00FC2767" w:rsidRPr="00133202">
        <w:rPr>
          <w:rFonts w:ascii="Constantia" w:hAnsi="Constantia"/>
          <w:sz w:val="24"/>
          <w:szCs w:val="24"/>
        </w:rPr>
        <w:t xml:space="preserve">in issue presently is the omission </w:t>
      </w:r>
      <w:r w:rsidR="00353C71" w:rsidRPr="00133202">
        <w:rPr>
          <w:rFonts w:ascii="Constantia" w:hAnsi="Constantia"/>
          <w:sz w:val="24"/>
          <w:szCs w:val="24"/>
        </w:rPr>
        <w:t xml:space="preserve">or refusal </w:t>
      </w:r>
      <w:r w:rsidR="00FC2767" w:rsidRPr="00133202">
        <w:rPr>
          <w:rFonts w:ascii="Constantia" w:hAnsi="Constantia"/>
          <w:sz w:val="24"/>
          <w:szCs w:val="24"/>
        </w:rPr>
        <w:t xml:space="preserve">by the respondent body to enforce the terms of the consent judgment.  </w:t>
      </w:r>
    </w:p>
    <w:p w:rsidR="00FC2767" w:rsidRPr="00133202" w:rsidRDefault="00FC2767" w:rsidP="0011049D">
      <w:pPr>
        <w:jc w:val="both"/>
        <w:rPr>
          <w:rFonts w:ascii="Constantia" w:hAnsi="Constantia"/>
          <w:sz w:val="24"/>
          <w:szCs w:val="24"/>
        </w:rPr>
      </w:pPr>
      <w:r w:rsidRPr="00133202">
        <w:rPr>
          <w:rFonts w:ascii="Constantia" w:hAnsi="Constantia"/>
          <w:sz w:val="24"/>
          <w:szCs w:val="24"/>
        </w:rPr>
        <w:t xml:space="preserve">In </w:t>
      </w:r>
      <w:r w:rsidRPr="00133202">
        <w:rPr>
          <w:rFonts w:ascii="Constantia" w:hAnsi="Constantia"/>
          <w:b/>
          <w:sz w:val="24"/>
          <w:szCs w:val="24"/>
          <w:u w:val="single"/>
        </w:rPr>
        <w:t>Gooman Agencies Ltd &amp; 3 Others vs. Attorney General &amp; Another Misc. Cause 108 of 2012</w:t>
      </w:r>
      <w:r w:rsidRPr="00133202">
        <w:rPr>
          <w:rFonts w:ascii="Constantia" w:hAnsi="Constantia"/>
          <w:sz w:val="24"/>
          <w:szCs w:val="24"/>
        </w:rPr>
        <w:t xml:space="preserve"> the following text from </w:t>
      </w:r>
      <w:r w:rsidRPr="00133202">
        <w:rPr>
          <w:rFonts w:ascii="Constantia" w:hAnsi="Constantia"/>
          <w:b/>
          <w:sz w:val="24"/>
          <w:szCs w:val="24"/>
          <w:u w:val="single"/>
        </w:rPr>
        <w:t>Wade, H. W. R, Administrative Law, 5</w:t>
      </w:r>
      <w:r w:rsidRPr="00133202">
        <w:rPr>
          <w:rFonts w:ascii="Constantia" w:hAnsi="Constantia"/>
          <w:b/>
          <w:sz w:val="24"/>
          <w:szCs w:val="24"/>
          <w:u w:val="single"/>
          <w:vertAlign w:val="superscript"/>
        </w:rPr>
        <w:t>th</w:t>
      </w:r>
      <w:r w:rsidRPr="00133202">
        <w:rPr>
          <w:rFonts w:ascii="Constantia" w:hAnsi="Constantia"/>
          <w:b/>
          <w:sz w:val="24"/>
          <w:szCs w:val="24"/>
          <w:u w:val="single"/>
        </w:rPr>
        <w:t xml:space="preserve"> Ed., p.630</w:t>
      </w:r>
      <w:r w:rsidRPr="00133202">
        <w:rPr>
          <w:rFonts w:ascii="Constantia" w:hAnsi="Constantia"/>
          <w:sz w:val="24"/>
          <w:szCs w:val="24"/>
        </w:rPr>
        <w:t xml:space="preserve"> was cited with approval:</w:t>
      </w:r>
    </w:p>
    <w:p w:rsidR="00FC2767" w:rsidRPr="00133202" w:rsidRDefault="00FC2767" w:rsidP="00FC2767">
      <w:pPr>
        <w:ind w:left="720"/>
        <w:jc w:val="both"/>
        <w:rPr>
          <w:rFonts w:ascii="Constantia" w:hAnsi="Constantia"/>
          <w:b/>
          <w:sz w:val="24"/>
          <w:szCs w:val="24"/>
        </w:rPr>
      </w:pPr>
      <w:r w:rsidRPr="00133202">
        <w:rPr>
          <w:rFonts w:ascii="Constantia" w:hAnsi="Constantia"/>
          <w:b/>
          <w:sz w:val="24"/>
          <w:szCs w:val="24"/>
        </w:rPr>
        <w:t>“The commonest employment of mandamus is as a weapon in the hands of the ordinary citizen, when a public authority fails to do its duty by him. … It is a discretionary remedy, and the court has full discretion to withhold it in unsuitable cases.”</w:t>
      </w:r>
    </w:p>
    <w:p w:rsidR="00293DC1" w:rsidRPr="00133202" w:rsidRDefault="00FC2767" w:rsidP="0011049D">
      <w:pPr>
        <w:jc w:val="both"/>
        <w:rPr>
          <w:rFonts w:ascii="Constantia" w:hAnsi="Constantia"/>
          <w:sz w:val="24"/>
          <w:szCs w:val="24"/>
        </w:rPr>
      </w:pPr>
      <w:r w:rsidRPr="00133202">
        <w:rPr>
          <w:rFonts w:ascii="Constantia" w:hAnsi="Constantia"/>
          <w:sz w:val="24"/>
          <w:szCs w:val="24"/>
        </w:rPr>
        <w:t>I respectfully agree with that position.  In the case before me, q</w:t>
      </w:r>
      <w:r w:rsidR="003859BF" w:rsidRPr="00133202">
        <w:rPr>
          <w:rFonts w:ascii="Constantia" w:hAnsi="Constantia"/>
          <w:sz w:val="24"/>
          <w:szCs w:val="24"/>
        </w:rPr>
        <w:t>uite c</w:t>
      </w:r>
      <w:r w:rsidR="00293DC1" w:rsidRPr="00133202">
        <w:rPr>
          <w:rFonts w:ascii="Constantia" w:hAnsi="Constantia"/>
          <w:sz w:val="24"/>
          <w:szCs w:val="24"/>
        </w:rPr>
        <w:t xml:space="preserve">learly </w:t>
      </w:r>
      <w:r w:rsidR="003859BF" w:rsidRPr="00133202">
        <w:rPr>
          <w:rFonts w:ascii="Constantia" w:hAnsi="Constantia"/>
          <w:sz w:val="24"/>
          <w:szCs w:val="24"/>
        </w:rPr>
        <w:t xml:space="preserve">the land that was offered to the applicant </w:t>
      </w:r>
      <w:r w:rsidR="00293DC1" w:rsidRPr="00133202">
        <w:rPr>
          <w:rFonts w:ascii="Constantia" w:hAnsi="Constantia"/>
          <w:sz w:val="24"/>
          <w:szCs w:val="24"/>
        </w:rPr>
        <w:t>contravened the terms of the consent judgment under consideration</w:t>
      </w:r>
      <w:r w:rsidR="003859BF" w:rsidRPr="00133202">
        <w:rPr>
          <w:rFonts w:ascii="Constantia" w:hAnsi="Constantia"/>
          <w:sz w:val="24"/>
          <w:szCs w:val="24"/>
        </w:rPr>
        <w:t xml:space="preserve">.  </w:t>
      </w:r>
      <w:r w:rsidR="00293DC1" w:rsidRPr="00133202">
        <w:rPr>
          <w:rFonts w:ascii="Constantia" w:hAnsi="Constantia"/>
          <w:sz w:val="24"/>
          <w:szCs w:val="24"/>
        </w:rPr>
        <w:t xml:space="preserve">  Nevertheless, the applicant </w:t>
      </w:r>
      <w:r w:rsidR="00E25FE8" w:rsidRPr="00133202">
        <w:rPr>
          <w:rFonts w:ascii="Constantia" w:hAnsi="Constantia"/>
          <w:sz w:val="24"/>
          <w:szCs w:val="24"/>
        </w:rPr>
        <w:t>admittedly took possession of the said land</w:t>
      </w:r>
      <w:r w:rsidR="004756E0" w:rsidRPr="00133202">
        <w:rPr>
          <w:rFonts w:ascii="Constantia" w:hAnsi="Constantia"/>
          <w:sz w:val="24"/>
          <w:szCs w:val="24"/>
        </w:rPr>
        <w:t xml:space="preserve">.  </w:t>
      </w:r>
      <w:r w:rsidR="004756E0" w:rsidRPr="00133202">
        <w:rPr>
          <w:rFonts w:ascii="Constantia" w:hAnsi="Constantia"/>
          <w:sz w:val="24"/>
          <w:szCs w:val="24"/>
        </w:rPr>
        <w:lastRenderedPageBreak/>
        <w:t xml:space="preserve">She then </w:t>
      </w:r>
      <w:r w:rsidR="00E25FE8" w:rsidRPr="00133202">
        <w:rPr>
          <w:rFonts w:ascii="Constantia" w:hAnsi="Constantia"/>
          <w:sz w:val="24"/>
          <w:szCs w:val="24"/>
        </w:rPr>
        <w:t xml:space="preserve">proceeded to institute the present </w:t>
      </w:r>
      <w:r w:rsidR="00581F80" w:rsidRPr="00133202">
        <w:rPr>
          <w:rFonts w:ascii="Constantia" w:hAnsi="Constantia"/>
          <w:sz w:val="24"/>
          <w:szCs w:val="24"/>
        </w:rPr>
        <w:t>application</w:t>
      </w:r>
      <w:r w:rsidR="00E25FE8" w:rsidRPr="00133202">
        <w:rPr>
          <w:rFonts w:ascii="Constantia" w:hAnsi="Constantia"/>
          <w:sz w:val="24"/>
          <w:szCs w:val="24"/>
        </w:rPr>
        <w:t xml:space="preserve"> where she seeks</w:t>
      </w:r>
      <w:r w:rsidR="00414A59" w:rsidRPr="00133202">
        <w:rPr>
          <w:rFonts w:ascii="Constantia" w:hAnsi="Constantia"/>
          <w:sz w:val="24"/>
          <w:szCs w:val="24"/>
        </w:rPr>
        <w:t xml:space="preserve"> an order of mandamus compelling the respondent to issue her with a lease for </w:t>
      </w:r>
      <w:r w:rsidR="003859BF" w:rsidRPr="00133202">
        <w:rPr>
          <w:rFonts w:ascii="Constantia" w:hAnsi="Constantia"/>
          <w:sz w:val="24"/>
          <w:szCs w:val="24"/>
        </w:rPr>
        <w:t>the same piece of land in the consent judgment (FRV 440 Folios 17 and 18) that had been apparently substituted for the land that she took up – LRV 4350 Folio 20 plot 20 Barracks Drive, Nsambya.</w:t>
      </w:r>
      <w:r w:rsidR="00414A59" w:rsidRPr="00133202">
        <w:rPr>
          <w:rFonts w:ascii="Constantia" w:hAnsi="Constantia"/>
          <w:sz w:val="24"/>
          <w:szCs w:val="24"/>
        </w:rPr>
        <w:t xml:space="preserve">  </w:t>
      </w:r>
      <w:r w:rsidR="00DD76C0" w:rsidRPr="00133202">
        <w:rPr>
          <w:rFonts w:ascii="Constantia" w:hAnsi="Constantia"/>
          <w:sz w:val="24"/>
          <w:szCs w:val="24"/>
        </w:rPr>
        <w:t>Th</w:t>
      </w:r>
      <w:r w:rsidR="00B4034E" w:rsidRPr="00133202">
        <w:rPr>
          <w:rFonts w:ascii="Constantia" w:hAnsi="Constantia"/>
          <w:sz w:val="24"/>
          <w:szCs w:val="24"/>
        </w:rPr>
        <w:t>e</w:t>
      </w:r>
      <w:r w:rsidR="00DD76C0" w:rsidRPr="00133202">
        <w:rPr>
          <w:rFonts w:ascii="Constantia" w:hAnsi="Constantia"/>
          <w:sz w:val="24"/>
          <w:szCs w:val="24"/>
        </w:rPr>
        <w:t xml:space="preserve"> grant of an offer in respect of </w:t>
      </w:r>
      <w:r w:rsidR="003859BF" w:rsidRPr="00133202">
        <w:rPr>
          <w:rFonts w:ascii="Constantia" w:hAnsi="Constantia"/>
          <w:sz w:val="24"/>
          <w:szCs w:val="24"/>
        </w:rPr>
        <w:t xml:space="preserve">LRV 4350 Folio 20 plot 20, which measured </w:t>
      </w:r>
      <w:r w:rsidR="00DD76C0" w:rsidRPr="00133202">
        <w:rPr>
          <w:rFonts w:ascii="Constantia" w:hAnsi="Constantia"/>
          <w:sz w:val="24"/>
          <w:szCs w:val="24"/>
        </w:rPr>
        <w:t>1.479 hectares</w:t>
      </w:r>
      <w:r w:rsidR="003859BF" w:rsidRPr="00133202">
        <w:rPr>
          <w:rFonts w:ascii="Constantia" w:hAnsi="Constantia"/>
          <w:sz w:val="24"/>
          <w:szCs w:val="24"/>
        </w:rPr>
        <w:t>,</w:t>
      </w:r>
      <w:r w:rsidR="00DD76C0" w:rsidRPr="00133202">
        <w:rPr>
          <w:rFonts w:ascii="Constantia" w:hAnsi="Constantia"/>
          <w:sz w:val="24"/>
          <w:szCs w:val="24"/>
        </w:rPr>
        <w:t xml:space="preserve"> fell short of the decretal land </w:t>
      </w:r>
      <w:r w:rsidR="003859BF" w:rsidRPr="00133202">
        <w:rPr>
          <w:rFonts w:ascii="Constantia" w:hAnsi="Constantia"/>
          <w:sz w:val="24"/>
          <w:szCs w:val="24"/>
        </w:rPr>
        <w:t xml:space="preserve">stipulated in the consent judgment </w:t>
      </w:r>
      <w:r w:rsidR="00DD76C0" w:rsidRPr="00133202">
        <w:rPr>
          <w:rFonts w:ascii="Constantia" w:hAnsi="Constantia"/>
          <w:sz w:val="24"/>
          <w:szCs w:val="24"/>
        </w:rPr>
        <w:t xml:space="preserve">by 0.287256 hectares.  The land described in FRV 440 Folios 17 and 18 was stated to total up to 1.766256 hectares.  </w:t>
      </w:r>
      <w:r w:rsidR="003859BF" w:rsidRPr="00133202">
        <w:rPr>
          <w:rFonts w:ascii="Constantia" w:hAnsi="Constantia"/>
          <w:sz w:val="24"/>
          <w:szCs w:val="24"/>
        </w:rPr>
        <w:t>However, a</w:t>
      </w:r>
      <w:r w:rsidR="0022467E" w:rsidRPr="00133202">
        <w:rPr>
          <w:rFonts w:ascii="Constantia" w:hAnsi="Constantia"/>
          <w:sz w:val="24"/>
          <w:szCs w:val="24"/>
        </w:rPr>
        <w:t>n</w:t>
      </w:r>
      <w:r w:rsidR="00DD76C0" w:rsidRPr="00133202">
        <w:rPr>
          <w:rFonts w:ascii="Constantia" w:hAnsi="Constantia"/>
          <w:sz w:val="24"/>
          <w:szCs w:val="24"/>
        </w:rPr>
        <w:t xml:space="preserve"> order for the offer of that land</w:t>
      </w:r>
      <w:r w:rsidR="0022467E" w:rsidRPr="00133202">
        <w:rPr>
          <w:rFonts w:ascii="Constantia" w:hAnsi="Constantia"/>
          <w:sz w:val="24"/>
          <w:szCs w:val="24"/>
        </w:rPr>
        <w:t xml:space="preserve"> to the applicant,</w:t>
      </w:r>
      <w:r w:rsidR="00DD76C0" w:rsidRPr="00133202">
        <w:rPr>
          <w:rFonts w:ascii="Constantia" w:hAnsi="Constantia"/>
          <w:sz w:val="24"/>
          <w:szCs w:val="24"/>
        </w:rPr>
        <w:t xml:space="preserve"> in addition to the leasehold already granted to </w:t>
      </w:r>
      <w:r w:rsidR="00107025" w:rsidRPr="00133202">
        <w:rPr>
          <w:rFonts w:ascii="Constantia" w:hAnsi="Constantia"/>
          <w:sz w:val="24"/>
          <w:szCs w:val="24"/>
        </w:rPr>
        <w:t>the applicant</w:t>
      </w:r>
      <w:r w:rsidR="0022467E" w:rsidRPr="00133202">
        <w:rPr>
          <w:rFonts w:ascii="Constantia" w:hAnsi="Constantia"/>
          <w:sz w:val="24"/>
          <w:szCs w:val="24"/>
        </w:rPr>
        <w:t>,</w:t>
      </w:r>
      <w:r w:rsidR="00107025" w:rsidRPr="00133202">
        <w:rPr>
          <w:rFonts w:ascii="Constantia" w:hAnsi="Constantia"/>
          <w:sz w:val="24"/>
          <w:szCs w:val="24"/>
        </w:rPr>
        <w:t xml:space="preserve"> would be well over the agreed </w:t>
      </w:r>
      <w:r w:rsidRPr="00133202">
        <w:rPr>
          <w:rFonts w:ascii="Constantia" w:hAnsi="Constantia"/>
          <w:sz w:val="24"/>
          <w:szCs w:val="24"/>
        </w:rPr>
        <w:t xml:space="preserve">acreage of </w:t>
      </w:r>
      <w:r w:rsidR="00107025" w:rsidRPr="00133202">
        <w:rPr>
          <w:rFonts w:ascii="Constantia" w:hAnsi="Constantia"/>
          <w:sz w:val="24"/>
          <w:szCs w:val="24"/>
        </w:rPr>
        <w:t>land</w:t>
      </w:r>
      <w:r w:rsidRPr="00133202">
        <w:rPr>
          <w:rFonts w:ascii="Constantia" w:hAnsi="Constantia"/>
          <w:sz w:val="24"/>
          <w:szCs w:val="24"/>
        </w:rPr>
        <w:t xml:space="preserve"> as stated in the consent judgment</w:t>
      </w:r>
      <w:r w:rsidR="00107025" w:rsidRPr="00133202">
        <w:rPr>
          <w:rFonts w:ascii="Constantia" w:hAnsi="Constantia"/>
          <w:sz w:val="24"/>
          <w:szCs w:val="24"/>
        </w:rPr>
        <w:t>.  This court find</w:t>
      </w:r>
      <w:r w:rsidR="002421E0" w:rsidRPr="00133202">
        <w:rPr>
          <w:rFonts w:ascii="Constantia" w:hAnsi="Constantia"/>
          <w:sz w:val="24"/>
          <w:szCs w:val="24"/>
        </w:rPr>
        <w:t>s</w:t>
      </w:r>
      <w:r w:rsidR="00107025" w:rsidRPr="00133202">
        <w:rPr>
          <w:rFonts w:ascii="Constantia" w:hAnsi="Constantia"/>
          <w:sz w:val="24"/>
          <w:szCs w:val="24"/>
        </w:rPr>
        <w:t xml:space="preserve"> it </w:t>
      </w:r>
      <w:r w:rsidR="002421E0" w:rsidRPr="00133202">
        <w:rPr>
          <w:rFonts w:ascii="Constantia" w:hAnsi="Constantia"/>
          <w:sz w:val="24"/>
          <w:szCs w:val="24"/>
        </w:rPr>
        <w:t xml:space="preserve">neither </w:t>
      </w:r>
      <w:r w:rsidR="00107025" w:rsidRPr="00133202">
        <w:rPr>
          <w:rFonts w:ascii="Constantia" w:hAnsi="Constantia"/>
          <w:sz w:val="24"/>
          <w:szCs w:val="24"/>
        </w:rPr>
        <w:t xml:space="preserve">just </w:t>
      </w:r>
      <w:r w:rsidR="002421E0" w:rsidRPr="00133202">
        <w:rPr>
          <w:rFonts w:ascii="Constantia" w:hAnsi="Constantia"/>
          <w:sz w:val="24"/>
          <w:szCs w:val="24"/>
        </w:rPr>
        <w:t>n</w:t>
      </w:r>
      <w:r w:rsidR="00107025" w:rsidRPr="00133202">
        <w:rPr>
          <w:rFonts w:ascii="Constantia" w:hAnsi="Constantia"/>
          <w:sz w:val="24"/>
          <w:szCs w:val="24"/>
        </w:rPr>
        <w:t xml:space="preserve">or </w:t>
      </w:r>
      <w:r w:rsidR="00636A90" w:rsidRPr="00133202">
        <w:rPr>
          <w:rFonts w:ascii="Constantia" w:hAnsi="Constantia"/>
          <w:sz w:val="24"/>
          <w:szCs w:val="24"/>
        </w:rPr>
        <w:t>with</w:t>
      </w:r>
      <w:r w:rsidR="00107025" w:rsidRPr="00133202">
        <w:rPr>
          <w:rFonts w:ascii="Constantia" w:hAnsi="Constantia"/>
          <w:sz w:val="24"/>
          <w:szCs w:val="24"/>
        </w:rPr>
        <w:t xml:space="preserve">in the spirit </w:t>
      </w:r>
      <w:r w:rsidR="00636A90" w:rsidRPr="00133202">
        <w:rPr>
          <w:rFonts w:ascii="Constantia" w:hAnsi="Constantia"/>
          <w:sz w:val="24"/>
          <w:szCs w:val="24"/>
        </w:rPr>
        <w:t xml:space="preserve">and letter </w:t>
      </w:r>
      <w:r w:rsidR="00107025" w:rsidRPr="00133202">
        <w:rPr>
          <w:rFonts w:ascii="Constantia" w:hAnsi="Constantia"/>
          <w:sz w:val="24"/>
          <w:szCs w:val="24"/>
        </w:rPr>
        <w:t>of the consent judgment to make such an order.</w:t>
      </w:r>
      <w:r w:rsidRPr="00133202">
        <w:rPr>
          <w:rFonts w:ascii="Constantia" w:hAnsi="Constantia"/>
          <w:sz w:val="24"/>
          <w:szCs w:val="24"/>
        </w:rPr>
        <w:t xml:space="preserve">  Therefore, an order of mandamus in those terms would be un</w:t>
      </w:r>
      <w:r w:rsidR="00F75CBB" w:rsidRPr="00133202">
        <w:rPr>
          <w:rFonts w:ascii="Constantia" w:hAnsi="Constantia"/>
          <w:sz w:val="24"/>
          <w:szCs w:val="24"/>
        </w:rPr>
        <w:t>tenable.  I so hold.</w:t>
      </w:r>
      <w:r w:rsidR="00107025" w:rsidRPr="00133202">
        <w:rPr>
          <w:rFonts w:ascii="Constantia" w:hAnsi="Constantia"/>
          <w:sz w:val="24"/>
          <w:szCs w:val="24"/>
        </w:rPr>
        <w:t xml:space="preserve">  </w:t>
      </w:r>
    </w:p>
    <w:p w:rsidR="00414A59" w:rsidRPr="00133202" w:rsidRDefault="00293DC1" w:rsidP="0011049D">
      <w:pPr>
        <w:jc w:val="both"/>
        <w:rPr>
          <w:rFonts w:ascii="Constantia" w:hAnsi="Constantia"/>
          <w:sz w:val="24"/>
          <w:szCs w:val="24"/>
        </w:rPr>
      </w:pPr>
      <w:r w:rsidRPr="00133202">
        <w:rPr>
          <w:rFonts w:ascii="Constantia" w:hAnsi="Constantia"/>
          <w:sz w:val="24"/>
          <w:szCs w:val="24"/>
        </w:rPr>
        <w:t>Be that as it may, section</w:t>
      </w:r>
      <w:r w:rsidR="001A3D3B" w:rsidRPr="00133202">
        <w:rPr>
          <w:rFonts w:ascii="Constantia" w:hAnsi="Constantia"/>
          <w:sz w:val="24"/>
          <w:szCs w:val="24"/>
        </w:rPr>
        <w:t xml:space="preserve"> 37(2) of the Judicature Act</w:t>
      </w:r>
      <w:r w:rsidRPr="00133202">
        <w:rPr>
          <w:rFonts w:ascii="Constantia" w:hAnsi="Constantia"/>
          <w:sz w:val="24"/>
          <w:szCs w:val="24"/>
        </w:rPr>
        <w:t xml:space="preserve"> </w:t>
      </w:r>
      <w:r w:rsidR="00BE11A6" w:rsidRPr="00133202">
        <w:rPr>
          <w:rFonts w:ascii="Constantia" w:hAnsi="Constantia"/>
          <w:sz w:val="24"/>
          <w:szCs w:val="24"/>
        </w:rPr>
        <w:t xml:space="preserve">does </w:t>
      </w:r>
      <w:r w:rsidRPr="00133202">
        <w:rPr>
          <w:rFonts w:ascii="Constantia" w:hAnsi="Constantia"/>
          <w:sz w:val="24"/>
          <w:szCs w:val="24"/>
        </w:rPr>
        <w:t xml:space="preserve">mandate </w:t>
      </w:r>
      <w:r w:rsidR="001A3D3B" w:rsidRPr="00133202">
        <w:rPr>
          <w:rFonts w:ascii="Constantia" w:hAnsi="Constantia"/>
          <w:sz w:val="24"/>
          <w:szCs w:val="24"/>
        </w:rPr>
        <w:t>the High Court</w:t>
      </w:r>
      <w:r w:rsidR="00BE11A6" w:rsidRPr="00133202">
        <w:rPr>
          <w:rFonts w:ascii="Constantia" w:hAnsi="Constantia"/>
          <w:sz w:val="24"/>
          <w:szCs w:val="24"/>
        </w:rPr>
        <w:t>,</w:t>
      </w:r>
      <w:r w:rsidRPr="00133202">
        <w:rPr>
          <w:rFonts w:ascii="Constantia" w:hAnsi="Constantia"/>
          <w:sz w:val="24"/>
          <w:szCs w:val="24"/>
        </w:rPr>
        <w:t xml:space="preserve"> considering an application for judicial review</w:t>
      </w:r>
      <w:r w:rsidR="00BE11A6" w:rsidRPr="00133202">
        <w:rPr>
          <w:rFonts w:ascii="Constantia" w:hAnsi="Constantia"/>
          <w:sz w:val="24"/>
          <w:szCs w:val="24"/>
        </w:rPr>
        <w:t>,</w:t>
      </w:r>
      <w:r w:rsidRPr="00133202">
        <w:rPr>
          <w:rFonts w:ascii="Constantia" w:hAnsi="Constantia"/>
          <w:sz w:val="24"/>
          <w:szCs w:val="24"/>
        </w:rPr>
        <w:t xml:space="preserve"> to </w:t>
      </w:r>
      <w:r w:rsidR="001A3D3B" w:rsidRPr="00133202">
        <w:rPr>
          <w:rFonts w:ascii="Constantia" w:hAnsi="Constantia"/>
          <w:sz w:val="24"/>
          <w:szCs w:val="24"/>
        </w:rPr>
        <w:t xml:space="preserve">grant an order of mandamus on such terms and conditions as it </w:t>
      </w:r>
      <w:r w:rsidRPr="00133202">
        <w:rPr>
          <w:rFonts w:ascii="Constantia" w:hAnsi="Constantia"/>
          <w:sz w:val="24"/>
          <w:szCs w:val="24"/>
        </w:rPr>
        <w:t>deem</w:t>
      </w:r>
      <w:r w:rsidR="001A3D3B" w:rsidRPr="00133202">
        <w:rPr>
          <w:rFonts w:ascii="Constantia" w:hAnsi="Constantia"/>
          <w:sz w:val="24"/>
          <w:szCs w:val="24"/>
        </w:rPr>
        <w:t>s just</w:t>
      </w:r>
      <w:r w:rsidRPr="00133202">
        <w:rPr>
          <w:rFonts w:ascii="Constantia" w:hAnsi="Constantia"/>
          <w:sz w:val="24"/>
          <w:szCs w:val="24"/>
        </w:rPr>
        <w:t xml:space="preserve">.  The circumstances of the present case are that the </w:t>
      </w:r>
      <w:r w:rsidR="00107025" w:rsidRPr="00133202">
        <w:rPr>
          <w:rFonts w:ascii="Constantia" w:hAnsi="Constantia"/>
          <w:sz w:val="24"/>
          <w:szCs w:val="24"/>
        </w:rPr>
        <w:t xml:space="preserve">applicant </w:t>
      </w:r>
      <w:r w:rsidR="000D189F" w:rsidRPr="00133202">
        <w:rPr>
          <w:rFonts w:ascii="Constantia" w:hAnsi="Constantia"/>
          <w:sz w:val="24"/>
          <w:szCs w:val="24"/>
        </w:rPr>
        <w:t xml:space="preserve">has been the recipient of a 5 year lease in respect of the land comprised in </w:t>
      </w:r>
      <w:r w:rsidR="00F75CBB" w:rsidRPr="00133202">
        <w:rPr>
          <w:rFonts w:ascii="Constantia" w:hAnsi="Constantia"/>
          <w:sz w:val="24"/>
          <w:szCs w:val="24"/>
        </w:rPr>
        <w:t>LRV 4350 Folio 20 plot 20 Barracks Drive, Nsambya.</w:t>
      </w:r>
      <w:r w:rsidR="000D189F" w:rsidRPr="00133202">
        <w:rPr>
          <w:rFonts w:ascii="Constantia" w:hAnsi="Constantia"/>
          <w:sz w:val="24"/>
          <w:szCs w:val="24"/>
        </w:rPr>
        <w:t xml:space="preserve"> </w:t>
      </w:r>
      <w:r w:rsidR="00F75CBB" w:rsidRPr="00133202">
        <w:rPr>
          <w:rFonts w:ascii="Constantia" w:hAnsi="Constantia"/>
          <w:sz w:val="24"/>
          <w:szCs w:val="24"/>
        </w:rPr>
        <w:t xml:space="preserve"> There is nothing on the court record to suggest that she has since vacated occupation thereof.</w:t>
      </w:r>
      <w:r w:rsidR="000D189F" w:rsidRPr="00133202">
        <w:rPr>
          <w:rFonts w:ascii="Constantia" w:hAnsi="Constantia"/>
          <w:sz w:val="24"/>
          <w:szCs w:val="24"/>
        </w:rPr>
        <w:t xml:space="preserve">  Th</w:t>
      </w:r>
      <w:r w:rsidR="00F75CBB" w:rsidRPr="00133202">
        <w:rPr>
          <w:rFonts w:ascii="Constantia" w:hAnsi="Constantia"/>
          <w:sz w:val="24"/>
          <w:szCs w:val="24"/>
        </w:rPr>
        <w:t xml:space="preserve">at piece of </w:t>
      </w:r>
      <w:r w:rsidR="000D189F" w:rsidRPr="00133202">
        <w:rPr>
          <w:rFonts w:ascii="Constantia" w:hAnsi="Constantia"/>
          <w:sz w:val="24"/>
          <w:szCs w:val="24"/>
        </w:rPr>
        <w:t xml:space="preserve">land is situated in the same area – Nsambya – that the decretal land is located in.  In my humble judgment, it would be just and convenient to all parties for her to retain that piece of land albeit with the tenure of the lease extended to </w:t>
      </w:r>
      <w:r w:rsidR="00FD1E4F" w:rsidRPr="00133202">
        <w:rPr>
          <w:rFonts w:ascii="Constantia" w:hAnsi="Constantia"/>
          <w:sz w:val="24"/>
          <w:szCs w:val="24"/>
        </w:rPr>
        <w:t>a</w:t>
      </w:r>
      <w:r w:rsidR="000D189F" w:rsidRPr="00133202">
        <w:rPr>
          <w:rFonts w:ascii="Constantia" w:hAnsi="Constantia"/>
          <w:sz w:val="24"/>
          <w:szCs w:val="24"/>
        </w:rPr>
        <w:t xml:space="preserve"> 10 year lease period </w:t>
      </w:r>
      <w:r w:rsidR="00FD1E4F" w:rsidRPr="00133202">
        <w:rPr>
          <w:rFonts w:ascii="Constantia" w:hAnsi="Constantia"/>
          <w:sz w:val="24"/>
          <w:szCs w:val="24"/>
        </w:rPr>
        <w:t xml:space="preserve">as </w:t>
      </w:r>
      <w:r w:rsidR="000D189F" w:rsidRPr="00133202">
        <w:rPr>
          <w:rFonts w:ascii="Constantia" w:hAnsi="Constantia"/>
          <w:sz w:val="24"/>
          <w:szCs w:val="24"/>
        </w:rPr>
        <w:t xml:space="preserve">stipulated in the consent judgment.   Further, </w:t>
      </w:r>
      <w:r w:rsidR="00F75CBB" w:rsidRPr="00133202">
        <w:rPr>
          <w:rFonts w:ascii="Constantia" w:hAnsi="Constantia"/>
          <w:sz w:val="24"/>
          <w:szCs w:val="24"/>
        </w:rPr>
        <w:t xml:space="preserve">the applicant is entitled to </w:t>
      </w:r>
      <w:r w:rsidR="000D189F" w:rsidRPr="00133202">
        <w:rPr>
          <w:rFonts w:ascii="Constantia" w:hAnsi="Constantia"/>
          <w:sz w:val="24"/>
          <w:szCs w:val="24"/>
        </w:rPr>
        <w:t xml:space="preserve">an additional 0.287256 hectares of land </w:t>
      </w:r>
      <w:r w:rsidR="00F75CBB" w:rsidRPr="00133202">
        <w:rPr>
          <w:rFonts w:ascii="Constantia" w:hAnsi="Constantia"/>
          <w:sz w:val="24"/>
          <w:szCs w:val="24"/>
        </w:rPr>
        <w:t xml:space="preserve">as </w:t>
      </w:r>
      <w:r w:rsidR="000D189F" w:rsidRPr="00133202">
        <w:rPr>
          <w:rFonts w:ascii="Constantia" w:hAnsi="Constantia"/>
          <w:sz w:val="24"/>
          <w:szCs w:val="24"/>
        </w:rPr>
        <w:t xml:space="preserve">was adjudged to </w:t>
      </w:r>
      <w:r w:rsidR="00F75CBB" w:rsidRPr="00133202">
        <w:rPr>
          <w:rFonts w:ascii="Constantia" w:hAnsi="Constantia"/>
          <w:sz w:val="24"/>
          <w:szCs w:val="24"/>
        </w:rPr>
        <w:t>her</w:t>
      </w:r>
      <w:r w:rsidR="000D189F" w:rsidRPr="00133202">
        <w:rPr>
          <w:rFonts w:ascii="Constantia" w:hAnsi="Constantia"/>
          <w:sz w:val="24"/>
          <w:szCs w:val="24"/>
        </w:rPr>
        <w:t xml:space="preserve"> in the </w:t>
      </w:r>
      <w:r w:rsidR="00FD1E4F" w:rsidRPr="00133202">
        <w:rPr>
          <w:rFonts w:ascii="Constantia" w:hAnsi="Constantia"/>
          <w:sz w:val="24"/>
          <w:szCs w:val="24"/>
        </w:rPr>
        <w:t xml:space="preserve">same </w:t>
      </w:r>
      <w:r w:rsidR="000D189F" w:rsidRPr="00133202">
        <w:rPr>
          <w:rFonts w:ascii="Constantia" w:hAnsi="Constantia"/>
          <w:sz w:val="24"/>
          <w:szCs w:val="24"/>
        </w:rPr>
        <w:t xml:space="preserve">judgment.  Such piece of land would </w:t>
      </w:r>
      <w:r w:rsidR="00FD1E4F" w:rsidRPr="00133202">
        <w:rPr>
          <w:rFonts w:ascii="Constantia" w:hAnsi="Constantia"/>
          <w:sz w:val="24"/>
          <w:szCs w:val="24"/>
        </w:rPr>
        <w:t xml:space="preserve">also </w:t>
      </w:r>
      <w:r w:rsidR="000D189F" w:rsidRPr="00133202">
        <w:rPr>
          <w:rFonts w:ascii="Constantia" w:hAnsi="Constantia"/>
          <w:sz w:val="24"/>
          <w:szCs w:val="24"/>
        </w:rPr>
        <w:t xml:space="preserve">be subject to a 10-year lease.  </w:t>
      </w:r>
    </w:p>
    <w:p w:rsidR="00C00E33" w:rsidRPr="00133202" w:rsidRDefault="00C00E33" w:rsidP="009215FE">
      <w:pPr>
        <w:jc w:val="both"/>
        <w:rPr>
          <w:rFonts w:ascii="Constantia" w:hAnsi="Constantia"/>
          <w:sz w:val="24"/>
          <w:szCs w:val="24"/>
        </w:rPr>
      </w:pPr>
      <w:r w:rsidRPr="00133202">
        <w:rPr>
          <w:rFonts w:ascii="Constantia" w:hAnsi="Constantia"/>
          <w:sz w:val="24"/>
          <w:szCs w:val="24"/>
        </w:rPr>
        <w:t>In the result</w:t>
      </w:r>
      <w:r w:rsidR="00726D5E" w:rsidRPr="00133202">
        <w:rPr>
          <w:rFonts w:ascii="Constantia" w:hAnsi="Constantia"/>
          <w:sz w:val="24"/>
          <w:szCs w:val="24"/>
        </w:rPr>
        <w:t>,</w:t>
      </w:r>
      <w:r w:rsidRPr="00133202">
        <w:rPr>
          <w:rFonts w:ascii="Constantia" w:hAnsi="Constantia"/>
          <w:sz w:val="24"/>
          <w:szCs w:val="24"/>
        </w:rPr>
        <w:t xml:space="preserve"> I would </w:t>
      </w:r>
      <w:r w:rsidR="00636A90" w:rsidRPr="00133202">
        <w:rPr>
          <w:rFonts w:ascii="Constantia" w:hAnsi="Constantia"/>
          <w:sz w:val="24"/>
          <w:szCs w:val="24"/>
        </w:rPr>
        <w:t>grant an order of mandamus with the following orders:</w:t>
      </w:r>
    </w:p>
    <w:p w:rsidR="00636A90" w:rsidRPr="00133202" w:rsidRDefault="00636A90" w:rsidP="00636A90">
      <w:pPr>
        <w:pStyle w:val="ListParagraph"/>
        <w:numPr>
          <w:ilvl w:val="0"/>
          <w:numId w:val="5"/>
        </w:numPr>
        <w:jc w:val="both"/>
        <w:rPr>
          <w:rFonts w:ascii="Constantia" w:hAnsi="Constantia"/>
          <w:sz w:val="24"/>
          <w:szCs w:val="24"/>
        </w:rPr>
      </w:pPr>
      <w:r w:rsidRPr="00133202">
        <w:rPr>
          <w:rFonts w:ascii="Constantia" w:hAnsi="Constantia"/>
          <w:sz w:val="24"/>
          <w:szCs w:val="24"/>
        </w:rPr>
        <w:t xml:space="preserve">The respondent is ordered to extend the 5-year lease offered to the applicant in respect of the land described in </w:t>
      </w:r>
      <w:r w:rsidR="00B91EFA" w:rsidRPr="00133202">
        <w:rPr>
          <w:rFonts w:ascii="Constantia" w:hAnsi="Constantia"/>
          <w:sz w:val="24"/>
          <w:szCs w:val="24"/>
        </w:rPr>
        <w:t>LRV 4350 Folio 20 plot 20 Barracks Drive, Nsambya</w:t>
      </w:r>
      <w:r w:rsidRPr="00133202">
        <w:rPr>
          <w:rFonts w:ascii="Constantia" w:hAnsi="Constantia"/>
          <w:sz w:val="24"/>
          <w:szCs w:val="24"/>
        </w:rPr>
        <w:t xml:space="preserve"> to a 10 year lease</w:t>
      </w:r>
      <w:r w:rsidR="00A50894" w:rsidRPr="00133202">
        <w:rPr>
          <w:rFonts w:ascii="Constantia" w:hAnsi="Constantia"/>
          <w:sz w:val="24"/>
          <w:szCs w:val="24"/>
        </w:rPr>
        <w:t xml:space="preserve"> effective 1</w:t>
      </w:r>
      <w:r w:rsidR="00A50894" w:rsidRPr="00133202">
        <w:rPr>
          <w:rFonts w:ascii="Constantia" w:hAnsi="Constantia"/>
          <w:sz w:val="24"/>
          <w:szCs w:val="24"/>
          <w:vertAlign w:val="superscript"/>
        </w:rPr>
        <w:t>st</w:t>
      </w:r>
      <w:r w:rsidR="00A50894" w:rsidRPr="00133202">
        <w:rPr>
          <w:rFonts w:ascii="Constantia" w:hAnsi="Constantia"/>
          <w:sz w:val="24"/>
          <w:szCs w:val="24"/>
        </w:rPr>
        <w:t xml:space="preserve"> June 2011</w:t>
      </w:r>
      <w:r w:rsidRPr="00133202">
        <w:rPr>
          <w:rFonts w:ascii="Constantia" w:hAnsi="Constantia"/>
          <w:sz w:val="24"/>
          <w:szCs w:val="24"/>
        </w:rPr>
        <w:t>.</w:t>
      </w:r>
    </w:p>
    <w:p w:rsidR="00636A90" w:rsidRPr="00133202" w:rsidRDefault="00636A90" w:rsidP="00636A90">
      <w:pPr>
        <w:pStyle w:val="ListParagraph"/>
        <w:numPr>
          <w:ilvl w:val="0"/>
          <w:numId w:val="5"/>
        </w:numPr>
        <w:jc w:val="both"/>
        <w:rPr>
          <w:rFonts w:ascii="Constantia" w:hAnsi="Constantia"/>
          <w:sz w:val="24"/>
          <w:szCs w:val="24"/>
        </w:rPr>
      </w:pPr>
      <w:r w:rsidRPr="00133202">
        <w:rPr>
          <w:rFonts w:ascii="Constantia" w:hAnsi="Constantia"/>
          <w:sz w:val="24"/>
          <w:szCs w:val="24"/>
        </w:rPr>
        <w:t>The respondent is ordered to allocate to the applicant an additional 0.287256 hectares of land in Nsambya for a 10-year lease period.</w:t>
      </w:r>
    </w:p>
    <w:p w:rsidR="00636A90" w:rsidRPr="00133202" w:rsidRDefault="00636A90" w:rsidP="00636A90">
      <w:pPr>
        <w:jc w:val="both"/>
        <w:rPr>
          <w:rFonts w:ascii="Constantia" w:hAnsi="Constantia"/>
          <w:sz w:val="24"/>
          <w:szCs w:val="24"/>
        </w:rPr>
      </w:pPr>
      <w:r w:rsidRPr="00133202">
        <w:rPr>
          <w:rFonts w:ascii="Constantia" w:hAnsi="Constantia"/>
          <w:sz w:val="24"/>
          <w:szCs w:val="24"/>
        </w:rPr>
        <w:t xml:space="preserve">I so order. </w:t>
      </w:r>
    </w:p>
    <w:p w:rsidR="00C00E33" w:rsidRPr="00133202" w:rsidRDefault="00C00E33" w:rsidP="00C00E33">
      <w:pPr>
        <w:pStyle w:val="ListParagraph"/>
        <w:ind w:left="0"/>
        <w:jc w:val="both"/>
        <w:rPr>
          <w:rFonts w:ascii="Constantia" w:eastAsia="Calibri" w:hAnsi="Constantia" w:cs="Times New Roman"/>
          <w:b/>
          <w:bCs/>
          <w:sz w:val="24"/>
          <w:szCs w:val="24"/>
        </w:rPr>
      </w:pPr>
    </w:p>
    <w:p w:rsidR="00C00E33" w:rsidRPr="00133202" w:rsidRDefault="00C00E33" w:rsidP="00C00E33">
      <w:pPr>
        <w:pStyle w:val="ListParagraph"/>
        <w:ind w:left="0"/>
        <w:jc w:val="both"/>
        <w:rPr>
          <w:rFonts w:ascii="Constantia" w:eastAsia="Calibri" w:hAnsi="Constantia" w:cs="Times New Roman"/>
          <w:b/>
          <w:sz w:val="24"/>
          <w:szCs w:val="24"/>
        </w:rPr>
      </w:pPr>
      <w:r w:rsidRPr="00133202">
        <w:rPr>
          <w:rFonts w:ascii="Constantia" w:eastAsia="Calibri" w:hAnsi="Constantia" w:cs="Times New Roman"/>
          <w:b/>
          <w:bCs/>
          <w:sz w:val="24"/>
          <w:szCs w:val="24"/>
        </w:rPr>
        <w:t>Monica K. Mugenyi</w:t>
      </w:r>
      <w:r w:rsidRPr="00133202">
        <w:rPr>
          <w:rFonts w:ascii="Constantia" w:eastAsia="Calibri" w:hAnsi="Constantia" w:cs="Times New Roman"/>
          <w:b/>
          <w:sz w:val="24"/>
          <w:szCs w:val="24"/>
        </w:rPr>
        <w:t xml:space="preserve"> </w:t>
      </w:r>
    </w:p>
    <w:p w:rsidR="00C00E33" w:rsidRPr="00133202" w:rsidRDefault="00C00E33" w:rsidP="00C00E33">
      <w:pPr>
        <w:pStyle w:val="ListParagraph"/>
        <w:ind w:left="0"/>
        <w:jc w:val="both"/>
        <w:rPr>
          <w:rFonts w:ascii="Constantia" w:eastAsia="Calibri" w:hAnsi="Constantia" w:cs="Times New Roman"/>
          <w:b/>
          <w:sz w:val="24"/>
          <w:szCs w:val="24"/>
          <w:u w:val="single"/>
        </w:rPr>
      </w:pPr>
      <w:r w:rsidRPr="00133202">
        <w:rPr>
          <w:rFonts w:ascii="Constantia" w:eastAsia="Calibri" w:hAnsi="Constantia" w:cs="Times New Roman"/>
          <w:b/>
          <w:sz w:val="24"/>
          <w:szCs w:val="24"/>
          <w:u w:val="single"/>
        </w:rPr>
        <w:t>JUDGE</w:t>
      </w:r>
    </w:p>
    <w:p w:rsidR="00C00E33" w:rsidRPr="00133202" w:rsidRDefault="009215FE" w:rsidP="00133202">
      <w:pPr>
        <w:jc w:val="both"/>
        <w:rPr>
          <w:sz w:val="24"/>
          <w:szCs w:val="24"/>
        </w:rPr>
      </w:pPr>
      <w:r w:rsidRPr="00133202">
        <w:rPr>
          <w:rFonts w:ascii="Constantia" w:hAnsi="Constantia"/>
          <w:sz w:val="24"/>
          <w:szCs w:val="24"/>
        </w:rPr>
        <w:t>2</w:t>
      </w:r>
      <w:r w:rsidR="0031157D" w:rsidRPr="00133202">
        <w:rPr>
          <w:rFonts w:ascii="Constantia" w:hAnsi="Constantia"/>
          <w:sz w:val="24"/>
          <w:szCs w:val="24"/>
        </w:rPr>
        <w:t>7</w:t>
      </w:r>
      <w:r w:rsidR="00167ADC" w:rsidRPr="00133202">
        <w:rPr>
          <w:rFonts w:ascii="Constantia" w:hAnsi="Constantia"/>
          <w:sz w:val="24"/>
          <w:szCs w:val="24"/>
          <w:vertAlign w:val="superscript"/>
        </w:rPr>
        <w:t>th</w:t>
      </w:r>
      <w:r w:rsidR="00167ADC" w:rsidRPr="00133202">
        <w:rPr>
          <w:rFonts w:ascii="Constantia" w:hAnsi="Constantia"/>
          <w:sz w:val="24"/>
          <w:szCs w:val="24"/>
        </w:rPr>
        <w:t xml:space="preserve"> Novem</w:t>
      </w:r>
      <w:r w:rsidR="00C00E33" w:rsidRPr="00133202">
        <w:rPr>
          <w:rFonts w:ascii="Constantia" w:hAnsi="Constantia"/>
          <w:sz w:val="24"/>
          <w:szCs w:val="24"/>
        </w:rPr>
        <w:t>ber, 2013</w:t>
      </w:r>
    </w:p>
    <w:sectPr w:rsidR="00C00E33" w:rsidRPr="00133202" w:rsidSect="007C03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B1" w:rsidRDefault="00C154B1" w:rsidP="0056508A">
      <w:pPr>
        <w:spacing w:after="0" w:line="240" w:lineRule="auto"/>
      </w:pPr>
      <w:r>
        <w:separator/>
      </w:r>
    </w:p>
  </w:endnote>
  <w:endnote w:type="continuationSeparator" w:id="1">
    <w:p w:rsidR="00C154B1" w:rsidRDefault="00C154B1" w:rsidP="00565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3859BF" w:rsidRDefault="00D83C0F">
        <w:pPr>
          <w:pStyle w:val="Footer"/>
          <w:jc w:val="center"/>
        </w:pPr>
        <w:fldSimple w:instr=" PAGE   \* MERGEFORMAT ">
          <w:r w:rsidR="00326DA2">
            <w:rPr>
              <w:noProof/>
            </w:rPr>
            <w:t>1</w:t>
          </w:r>
        </w:fldSimple>
      </w:p>
    </w:sdtContent>
  </w:sdt>
  <w:p w:rsidR="003859BF" w:rsidRDefault="00385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B1" w:rsidRDefault="00C154B1" w:rsidP="0056508A">
      <w:pPr>
        <w:spacing w:after="0" w:line="240" w:lineRule="auto"/>
      </w:pPr>
      <w:r>
        <w:separator/>
      </w:r>
    </w:p>
  </w:footnote>
  <w:footnote w:type="continuationSeparator" w:id="1">
    <w:p w:rsidR="00C154B1" w:rsidRDefault="00C154B1" w:rsidP="00565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28CC"/>
    <w:multiLevelType w:val="hybridMultilevel"/>
    <w:tmpl w:val="793458C2"/>
    <w:lvl w:ilvl="0" w:tplc="4D343A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4D36752"/>
    <w:multiLevelType w:val="hybridMultilevel"/>
    <w:tmpl w:val="E5188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11045A"/>
    <w:multiLevelType w:val="hybridMultilevel"/>
    <w:tmpl w:val="3E6AB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8537FD"/>
    <w:multiLevelType w:val="hybridMultilevel"/>
    <w:tmpl w:val="4C3644C8"/>
    <w:lvl w:ilvl="0" w:tplc="27A8C9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00E33"/>
    <w:rsid w:val="00020250"/>
    <w:rsid w:val="00060585"/>
    <w:rsid w:val="000940AD"/>
    <w:rsid w:val="00094F07"/>
    <w:rsid w:val="000B52F0"/>
    <w:rsid w:val="000D189F"/>
    <w:rsid w:val="00107025"/>
    <w:rsid w:val="0011049D"/>
    <w:rsid w:val="00133202"/>
    <w:rsid w:val="00160601"/>
    <w:rsid w:val="0016122E"/>
    <w:rsid w:val="00167ADC"/>
    <w:rsid w:val="001825C7"/>
    <w:rsid w:val="00192763"/>
    <w:rsid w:val="001A3D3B"/>
    <w:rsid w:val="001D6ECC"/>
    <w:rsid w:val="001E0AF5"/>
    <w:rsid w:val="001F491B"/>
    <w:rsid w:val="002139B2"/>
    <w:rsid w:val="00217295"/>
    <w:rsid w:val="0022467E"/>
    <w:rsid w:val="002421E0"/>
    <w:rsid w:val="0025025C"/>
    <w:rsid w:val="002512A2"/>
    <w:rsid w:val="00285434"/>
    <w:rsid w:val="00293DC1"/>
    <w:rsid w:val="002A183B"/>
    <w:rsid w:val="002B0193"/>
    <w:rsid w:val="002C5BB8"/>
    <w:rsid w:val="002C73A4"/>
    <w:rsid w:val="0031157D"/>
    <w:rsid w:val="00312B53"/>
    <w:rsid w:val="00326DA2"/>
    <w:rsid w:val="0034726A"/>
    <w:rsid w:val="00353C71"/>
    <w:rsid w:val="003859BF"/>
    <w:rsid w:val="003B69AC"/>
    <w:rsid w:val="00414A59"/>
    <w:rsid w:val="004201BC"/>
    <w:rsid w:val="00423300"/>
    <w:rsid w:val="004756E0"/>
    <w:rsid w:val="004B4C93"/>
    <w:rsid w:val="00510830"/>
    <w:rsid w:val="00513FBA"/>
    <w:rsid w:val="005476D1"/>
    <w:rsid w:val="00561FD9"/>
    <w:rsid w:val="00564C74"/>
    <w:rsid w:val="0056508A"/>
    <w:rsid w:val="00581F80"/>
    <w:rsid w:val="00590335"/>
    <w:rsid w:val="005C42E3"/>
    <w:rsid w:val="005C7569"/>
    <w:rsid w:val="005D1329"/>
    <w:rsid w:val="005D2552"/>
    <w:rsid w:val="005F7C4B"/>
    <w:rsid w:val="0062092F"/>
    <w:rsid w:val="00636A90"/>
    <w:rsid w:val="00663B34"/>
    <w:rsid w:val="00684B12"/>
    <w:rsid w:val="00690304"/>
    <w:rsid w:val="00693C89"/>
    <w:rsid w:val="006F21DF"/>
    <w:rsid w:val="00726D5E"/>
    <w:rsid w:val="007570A1"/>
    <w:rsid w:val="00763810"/>
    <w:rsid w:val="00786762"/>
    <w:rsid w:val="00790D16"/>
    <w:rsid w:val="007949BD"/>
    <w:rsid w:val="007A2B43"/>
    <w:rsid w:val="007A74C5"/>
    <w:rsid w:val="007B0C04"/>
    <w:rsid w:val="007C0312"/>
    <w:rsid w:val="007D33C1"/>
    <w:rsid w:val="007F0B02"/>
    <w:rsid w:val="00827D5F"/>
    <w:rsid w:val="00860C66"/>
    <w:rsid w:val="00863E6E"/>
    <w:rsid w:val="008920A4"/>
    <w:rsid w:val="00892DD3"/>
    <w:rsid w:val="008A17B6"/>
    <w:rsid w:val="008A5E39"/>
    <w:rsid w:val="008B0657"/>
    <w:rsid w:val="008B5163"/>
    <w:rsid w:val="008B583A"/>
    <w:rsid w:val="008C726F"/>
    <w:rsid w:val="00904ADE"/>
    <w:rsid w:val="009215FE"/>
    <w:rsid w:val="00945FF2"/>
    <w:rsid w:val="009472A0"/>
    <w:rsid w:val="009A21F5"/>
    <w:rsid w:val="009C61CD"/>
    <w:rsid w:val="009F06E3"/>
    <w:rsid w:val="009F4CC3"/>
    <w:rsid w:val="00A0732D"/>
    <w:rsid w:val="00A50894"/>
    <w:rsid w:val="00A52BF8"/>
    <w:rsid w:val="00A5665A"/>
    <w:rsid w:val="00A641C7"/>
    <w:rsid w:val="00A879BE"/>
    <w:rsid w:val="00B15ADB"/>
    <w:rsid w:val="00B4034E"/>
    <w:rsid w:val="00B72D6A"/>
    <w:rsid w:val="00B91EFA"/>
    <w:rsid w:val="00BC01B4"/>
    <w:rsid w:val="00BC2A0F"/>
    <w:rsid w:val="00BE11A6"/>
    <w:rsid w:val="00C00E33"/>
    <w:rsid w:val="00C154B1"/>
    <w:rsid w:val="00C26915"/>
    <w:rsid w:val="00C55E03"/>
    <w:rsid w:val="00C65A7D"/>
    <w:rsid w:val="00C83907"/>
    <w:rsid w:val="00C94F58"/>
    <w:rsid w:val="00CB3CD4"/>
    <w:rsid w:val="00CF7234"/>
    <w:rsid w:val="00D557F9"/>
    <w:rsid w:val="00D83C0F"/>
    <w:rsid w:val="00D8548A"/>
    <w:rsid w:val="00DB30C9"/>
    <w:rsid w:val="00DB7BC7"/>
    <w:rsid w:val="00DD76C0"/>
    <w:rsid w:val="00DF61F0"/>
    <w:rsid w:val="00E02457"/>
    <w:rsid w:val="00E06F32"/>
    <w:rsid w:val="00E25FE8"/>
    <w:rsid w:val="00EB3330"/>
    <w:rsid w:val="00EC66C1"/>
    <w:rsid w:val="00EE7A60"/>
    <w:rsid w:val="00F02AB4"/>
    <w:rsid w:val="00F159F1"/>
    <w:rsid w:val="00F4608C"/>
    <w:rsid w:val="00F75CBB"/>
    <w:rsid w:val="00FC177D"/>
    <w:rsid w:val="00FC2767"/>
    <w:rsid w:val="00FD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E33"/>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00E33"/>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C0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2013-11-27T05:42:00Z</cp:lastPrinted>
  <dcterms:created xsi:type="dcterms:W3CDTF">2013-11-29T13:28:00Z</dcterms:created>
  <dcterms:modified xsi:type="dcterms:W3CDTF">2013-11-29T13:28:00Z</dcterms:modified>
</cp:coreProperties>
</file>