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B5" w:rsidRPr="00971159" w:rsidRDefault="00056DB5" w:rsidP="00971159">
      <w:pPr>
        <w:spacing w:line="276" w:lineRule="auto"/>
        <w:jc w:val="center"/>
        <w:rPr>
          <w:rFonts w:eastAsia="Arial Unicode MS"/>
          <w:b/>
          <w:sz w:val="24"/>
          <w:szCs w:val="24"/>
        </w:rPr>
      </w:pPr>
      <w:r w:rsidRPr="00971159">
        <w:rPr>
          <w:rFonts w:eastAsia="Arial Unicode MS"/>
          <w:b/>
          <w:sz w:val="24"/>
          <w:szCs w:val="24"/>
        </w:rPr>
        <w:t>THE REPUBLIC OF UGANDA</w:t>
      </w:r>
    </w:p>
    <w:p w:rsidR="00056DB5" w:rsidRPr="00971159" w:rsidRDefault="00056DB5" w:rsidP="00971159">
      <w:pPr>
        <w:spacing w:line="276" w:lineRule="auto"/>
        <w:jc w:val="center"/>
        <w:rPr>
          <w:rFonts w:eastAsia="Arial Unicode MS"/>
          <w:b/>
          <w:sz w:val="24"/>
          <w:szCs w:val="24"/>
        </w:rPr>
      </w:pPr>
      <w:r w:rsidRPr="00971159">
        <w:rPr>
          <w:rFonts w:eastAsia="Arial Unicode MS"/>
          <w:b/>
          <w:sz w:val="24"/>
          <w:szCs w:val="24"/>
        </w:rPr>
        <w:t>IN THE HIGH COURT OF UGANDA AT KAMPALA</w:t>
      </w:r>
    </w:p>
    <w:p w:rsidR="00056DB5" w:rsidRPr="00971159" w:rsidRDefault="00056DB5" w:rsidP="00971159">
      <w:pPr>
        <w:spacing w:line="276" w:lineRule="auto"/>
        <w:jc w:val="center"/>
        <w:rPr>
          <w:rFonts w:eastAsia="Arial Unicode MS"/>
          <w:b/>
          <w:sz w:val="24"/>
          <w:szCs w:val="24"/>
        </w:rPr>
      </w:pPr>
      <w:r w:rsidRPr="00971159">
        <w:rPr>
          <w:rFonts w:eastAsia="Arial Unicode MS"/>
          <w:b/>
          <w:sz w:val="24"/>
          <w:szCs w:val="24"/>
        </w:rPr>
        <w:t>(LAND DIVISION)</w:t>
      </w:r>
    </w:p>
    <w:p w:rsidR="00056DB5" w:rsidRPr="00971159" w:rsidRDefault="00056DB5" w:rsidP="00971159">
      <w:pPr>
        <w:spacing w:line="276" w:lineRule="auto"/>
        <w:jc w:val="center"/>
        <w:rPr>
          <w:rFonts w:eastAsia="Arial Unicode MS"/>
          <w:b/>
          <w:sz w:val="24"/>
          <w:szCs w:val="24"/>
        </w:rPr>
      </w:pPr>
    </w:p>
    <w:p w:rsidR="00056DB5" w:rsidRPr="00971159" w:rsidRDefault="00056DB5" w:rsidP="00971159">
      <w:pPr>
        <w:spacing w:line="276" w:lineRule="auto"/>
        <w:jc w:val="center"/>
        <w:rPr>
          <w:rFonts w:eastAsia="Arial Unicode MS"/>
          <w:b/>
          <w:sz w:val="24"/>
          <w:szCs w:val="24"/>
        </w:rPr>
      </w:pPr>
      <w:r w:rsidRPr="00971159">
        <w:rPr>
          <w:rFonts w:eastAsia="Arial Unicode MS"/>
          <w:b/>
          <w:sz w:val="24"/>
          <w:szCs w:val="24"/>
        </w:rPr>
        <w:t>MISCELLANEOUS APPLICATION NO. 77 OF 2012</w:t>
      </w:r>
    </w:p>
    <w:p w:rsidR="00056DB5" w:rsidRPr="00971159" w:rsidRDefault="00056DB5" w:rsidP="00971159">
      <w:pPr>
        <w:spacing w:line="276" w:lineRule="auto"/>
        <w:jc w:val="center"/>
        <w:rPr>
          <w:rFonts w:eastAsia="Arial Unicode MS"/>
          <w:b/>
          <w:sz w:val="24"/>
          <w:szCs w:val="24"/>
        </w:rPr>
      </w:pPr>
      <w:r w:rsidRPr="00971159">
        <w:rPr>
          <w:rFonts w:eastAsia="Arial Unicode MS"/>
          <w:b/>
          <w:sz w:val="24"/>
          <w:szCs w:val="24"/>
        </w:rPr>
        <w:t>(Arising from Civil Suit No.196 of 2010)</w:t>
      </w:r>
    </w:p>
    <w:p w:rsidR="00056DB5" w:rsidRPr="00971159" w:rsidRDefault="00056DB5" w:rsidP="00056DB5">
      <w:pPr>
        <w:spacing w:line="276" w:lineRule="auto"/>
        <w:rPr>
          <w:rFonts w:eastAsia="Arial Unicode MS"/>
          <w:b/>
          <w:sz w:val="24"/>
          <w:szCs w:val="24"/>
        </w:rPr>
      </w:pPr>
    </w:p>
    <w:p w:rsidR="00056DB5" w:rsidRPr="00971159" w:rsidRDefault="00056DB5" w:rsidP="00056DB5">
      <w:pPr>
        <w:rPr>
          <w:rFonts w:eastAsia="Arial Unicode MS"/>
          <w:b/>
          <w:sz w:val="24"/>
          <w:szCs w:val="24"/>
        </w:rPr>
      </w:pPr>
      <w:r w:rsidRPr="00971159">
        <w:rPr>
          <w:rFonts w:eastAsia="Arial Unicode MS"/>
          <w:b/>
          <w:sz w:val="24"/>
          <w:szCs w:val="24"/>
        </w:rPr>
        <w:t>FLORENCE NAKI</w:t>
      </w:r>
      <w:r w:rsidR="009861DB" w:rsidRPr="00971159">
        <w:rPr>
          <w:rFonts w:eastAsia="Arial Unicode MS"/>
          <w:b/>
          <w:sz w:val="24"/>
          <w:szCs w:val="24"/>
        </w:rPr>
        <w:t>W</w:t>
      </w:r>
      <w:r w:rsidRPr="00971159">
        <w:rPr>
          <w:rFonts w:eastAsia="Arial Unicode MS"/>
          <w:b/>
          <w:sz w:val="24"/>
          <w:szCs w:val="24"/>
        </w:rPr>
        <w:t>ALA</w:t>
      </w:r>
      <w:r w:rsidRPr="00971159">
        <w:rPr>
          <w:rFonts w:eastAsia="Arial Unicode MS"/>
          <w:b/>
          <w:sz w:val="24"/>
          <w:szCs w:val="24"/>
        </w:rPr>
        <w:tab/>
      </w:r>
      <w:r w:rsidRPr="00971159">
        <w:rPr>
          <w:rFonts w:eastAsia="Arial Unicode MS"/>
          <w:b/>
          <w:sz w:val="24"/>
          <w:szCs w:val="24"/>
        </w:rPr>
        <w:tab/>
      </w:r>
      <w:r w:rsidRPr="00971159">
        <w:rPr>
          <w:rFonts w:eastAsia="Arial Unicode MS"/>
          <w:b/>
          <w:sz w:val="24"/>
          <w:szCs w:val="24"/>
        </w:rPr>
        <w:tab/>
        <w:t xml:space="preserve"> ::::::::</w:t>
      </w:r>
      <w:r w:rsidRPr="00971159">
        <w:rPr>
          <w:rFonts w:eastAsia="Arial Unicode MS"/>
          <w:b/>
          <w:sz w:val="24"/>
          <w:szCs w:val="24"/>
        </w:rPr>
        <w:tab/>
      </w:r>
      <w:r w:rsidRPr="00971159">
        <w:rPr>
          <w:rFonts w:eastAsia="Arial Unicode MS"/>
          <w:b/>
          <w:sz w:val="24"/>
          <w:szCs w:val="24"/>
        </w:rPr>
        <w:tab/>
        <w:t>APPLICANT/DEFENDANT</w:t>
      </w:r>
    </w:p>
    <w:p w:rsidR="00056DB5" w:rsidRPr="00971159" w:rsidRDefault="00056DB5" w:rsidP="00056DB5">
      <w:pPr>
        <w:spacing w:line="360" w:lineRule="auto"/>
        <w:rPr>
          <w:rFonts w:eastAsia="Arial Unicode MS"/>
          <w:b/>
          <w:sz w:val="24"/>
          <w:szCs w:val="24"/>
        </w:rPr>
      </w:pPr>
    </w:p>
    <w:p w:rsidR="00056DB5" w:rsidRPr="00971159" w:rsidRDefault="00056DB5" w:rsidP="00056DB5">
      <w:pPr>
        <w:spacing w:line="360" w:lineRule="auto"/>
        <w:ind w:left="2160" w:firstLine="720"/>
        <w:rPr>
          <w:rFonts w:eastAsia="Arial Unicode MS"/>
          <w:b/>
          <w:sz w:val="24"/>
          <w:szCs w:val="24"/>
        </w:rPr>
      </w:pPr>
      <w:r w:rsidRPr="00971159">
        <w:rPr>
          <w:rFonts w:eastAsia="Arial Unicode MS"/>
          <w:b/>
          <w:sz w:val="24"/>
          <w:szCs w:val="24"/>
        </w:rPr>
        <w:t>VERSUS</w:t>
      </w:r>
    </w:p>
    <w:p w:rsidR="00056DB5" w:rsidRPr="00971159" w:rsidRDefault="00056DB5" w:rsidP="00056DB5">
      <w:pPr>
        <w:pStyle w:val="ListParagraph"/>
        <w:spacing w:line="276" w:lineRule="auto"/>
        <w:ind w:left="0"/>
        <w:rPr>
          <w:rFonts w:eastAsia="Arial Unicode MS"/>
          <w:b/>
          <w:sz w:val="24"/>
          <w:szCs w:val="24"/>
        </w:rPr>
      </w:pPr>
      <w:r w:rsidRPr="00971159">
        <w:rPr>
          <w:rFonts w:eastAsia="Arial Unicode MS"/>
          <w:b/>
          <w:sz w:val="24"/>
          <w:szCs w:val="24"/>
        </w:rPr>
        <w:t>CAROLYN BWIZA</w:t>
      </w:r>
      <w:r w:rsidRPr="00971159">
        <w:rPr>
          <w:rFonts w:eastAsia="Arial Unicode MS"/>
          <w:b/>
          <w:sz w:val="24"/>
          <w:szCs w:val="24"/>
        </w:rPr>
        <w:tab/>
      </w:r>
      <w:r w:rsidRPr="00971159">
        <w:rPr>
          <w:rFonts w:eastAsia="Arial Unicode MS"/>
          <w:b/>
          <w:sz w:val="24"/>
          <w:szCs w:val="24"/>
        </w:rPr>
        <w:tab/>
      </w:r>
      <w:r w:rsidRPr="00971159">
        <w:rPr>
          <w:rFonts w:eastAsia="Arial Unicode MS"/>
          <w:b/>
          <w:sz w:val="24"/>
          <w:szCs w:val="24"/>
        </w:rPr>
        <w:tab/>
      </w:r>
      <w:r w:rsidRPr="00971159">
        <w:rPr>
          <w:rFonts w:eastAsia="Arial Unicode MS"/>
          <w:b/>
          <w:sz w:val="24"/>
          <w:szCs w:val="24"/>
        </w:rPr>
        <w:tab/>
        <w:t xml:space="preserve"> ::::::::</w:t>
      </w:r>
      <w:r w:rsidRPr="00971159">
        <w:rPr>
          <w:rFonts w:eastAsia="Arial Unicode MS"/>
          <w:b/>
          <w:sz w:val="24"/>
          <w:szCs w:val="24"/>
        </w:rPr>
        <w:tab/>
      </w:r>
      <w:r w:rsidRPr="00971159">
        <w:rPr>
          <w:rFonts w:eastAsia="Arial Unicode MS"/>
          <w:b/>
          <w:sz w:val="24"/>
          <w:szCs w:val="24"/>
        </w:rPr>
        <w:tab/>
        <w:t xml:space="preserve"> RESPONDENT/PLAINTIFF</w:t>
      </w:r>
    </w:p>
    <w:p w:rsidR="00056DB5" w:rsidRPr="00971159" w:rsidRDefault="00056DB5" w:rsidP="00056DB5">
      <w:pPr>
        <w:pStyle w:val="ListParagraph"/>
        <w:spacing w:line="276" w:lineRule="auto"/>
        <w:ind w:left="0"/>
        <w:rPr>
          <w:rFonts w:eastAsia="Arial Unicode MS"/>
          <w:b/>
          <w:sz w:val="24"/>
          <w:szCs w:val="24"/>
        </w:rPr>
      </w:pPr>
    </w:p>
    <w:p w:rsidR="00056DB5" w:rsidRPr="00971159" w:rsidRDefault="00056DB5" w:rsidP="00056DB5">
      <w:pPr>
        <w:spacing w:line="360" w:lineRule="auto"/>
        <w:ind w:left="360"/>
        <w:jc w:val="center"/>
        <w:rPr>
          <w:rFonts w:eastAsia="Arial Unicode MS"/>
          <w:b/>
          <w:sz w:val="24"/>
          <w:szCs w:val="24"/>
          <w:u w:val="single"/>
        </w:rPr>
      </w:pPr>
    </w:p>
    <w:p w:rsidR="00056DB5" w:rsidRPr="00971159" w:rsidRDefault="00056DB5" w:rsidP="00056DB5">
      <w:pPr>
        <w:spacing w:line="360" w:lineRule="auto"/>
        <w:rPr>
          <w:rFonts w:eastAsia="Arial Unicode MS"/>
          <w:b/>
          <w:sz w:val="24"/>
          <w:szCs w:val="24"/>
          <w:u w:val="single"/>
        </w:rPr>
      </w:pPr>
      <w:r w:rsidRPr="00971159">
        <w:rPr>
          <w:rFonts w:eastAsia="Arial Unicode MS"/>
          <w:b/>
          <w:sz w:val="24"/>
          <w:szCs w:val="24"/>
          <w:u w:val="single"/>
        </w:rPr>
        <w:t>RULING BY HON. MR. JUSTICE JOSEPH MURANGIRA</w:t>
      </w:r>
    </w:p>
    <w:p w:rsidR="00056DB5" w:rsidRPr="00971159" w:rsidRDefault="00056DB5" w:rsidP="00056DB5">
      <w:pPr>
        <w:spacing w:line="360" w:lineRule="auto"/>
        <w:rPr>
          <w:rFonts w:eastAsia="Arial Unicode MS"/>
          <w:b/>
          <w:sz w:val="24"/>
          <w:szCs w:val="24"/>
          <w:u w:val="single"/>
        </w:rPr>
      </w:pPr>
    </w:p>
    <w:p w:rsidR="00056DB5" w:rsidRPr="00971159" w:rsidRDefault="00971159" w:rsidP="00056DB5">
      <w:pPr>
        <w:pStyle w:val="ListParagraph"/>
        <w:numPr>
          <w:ilvl w:val="0"/>
          <w:numId w:val="3"/>
        </w:numPr>
        <w:spacing w:line="360" w:lineRule="auto"/>
        <w:jc w:val="center"/>
        <w:rPr>
          <w:rFonts w:eastAsia="Arial Unicode MS"/>
          <w:b/>
          <w:sz w:val="24"/>
          <w:szCs w:val="24"/>
          <w:u w:val="single"/>
        </w:rPr>
      </w:pPr>
      <w:r>
        <w:rPr>
          <w:rFonts w:eastAsia="Arial Unicode MS"/>
          <w:b/>
          <w:sz w:val="24"/>
          <w:szCs w:val="24"/>
          <w:u w:val="single"/>
        </w:rPr>
        <w:t>I</w:t>
      </w:r>
      <w:r w:rsidR="00056DB5" w:rsidRPr="00971159">
        <w:rPr>
          <w:rFonts w:eastAsia="Arial Unicode MS"/>
          <w:b/>
          <w:sz w:val="24"/>
          <w:szCs w:val="24"/>
          <w:u w:val="single"/>
        </w:rPr>
        <w:t>ntroduction</w:t>
      </w:r>
    </w:p>
    <w:p w:rsidR="00056DB5" w:rsidRPr="00971159" w:rsidRDefault="00056DB5" w:rsidP="00056DB5">
      <w:pPr>
        <w:spacing w:line="360" w:lineRule="auto"/>
        <w:rPr>
          <w:rFonts w:eastAsia="Arial Unicode MS"/>
          <w:b/>
          <w:sz w:val="24"/>
          <w:szCs w:val="24"/>
          <w:u w:val="single"/>
        </w:rPr>
      </w:pPr>
    </w:p>
    <w:p w:rsidR="00056DB5" w:rsidRPr="00971159" w:rsidRDefault="00056DB5" w:rsidP="00056DB5">
      <w:pPr>
        <w:pStyle w:val="ListParagraph"/>
        <w:numPr>
          <w:ilvl w:val="1"/>
          <w:numId w:val="3"/>
        </w:numPr>
        <w:spacing w:line="360" w:lineRule="auto"/>
        <w:jc w:val="both"/>
        <w:rPr>
          <w:rFonts w:eastAsia="Arial Unicode MS"/>
          <w:sz w:val="24"/>
          <w:szCs w:val="24"/>
        </w:rPr>
      </w:pPr>
      <w:r w:rsidRPr="00971159">
        <w:rPr>
          <w:rFonts w:eastAsia="Arial Unicode MS"/>
          <w:sz w:val="24"/>
          <w:szCs w:val="24"/>
        </w:rPr>
        <w:t xml:space="preserve">The applicant through her lawyers Luzige-Kamya, Kavuma &amp; Co. Advocates and Zawedde Lubwama &amp; Co. Advocates brought this application against the respondent under Order 9 rule 12 of the Civil </w:t>
      </w:r>
      <w:r w:rsidR="00171497" w:rsidRPr="00971159">
        <w:rPr>
          <w:rFonts w:eastAsia="Arial Unicode MS"/>
          <w:sz w:val="24"/>
          <w:szCs w:val="24"/>
        </w:rPr>
        <w:t>Procedure Rules</w:t>
      </w:r>
      <w:r w:rsidRPr="00971159">
        <w:rPr>
          <w:rFonts w:eastAsia="Arial Unicode MS"/>
          <w:sz w:val="24"/>
          <w:szCs w:val="24"/>
        </w:rPr>
        <w:t>. This application is supported by the affidavit of the applicant. The applicant also filed on Court record an affidavit in rejoinder.</w:t>
      </w:r>
    </w:p>
    <w:p w:rsidR="00056DB5" w:rsidRPr="00971159" w:rsidRDefault="00056DB5" w:rsidP="00056DB5">
      <w:pPr>
        <w:pStyle w:val="ListParagraph"/>
        <w:spacing w:line="360" w:lineRule="auto"/>
        <w:ind w:left="1080"/>
        <w:jc w:val="both"/>
        <w:rPr>
          <w:rFonts w:eastAsia="Arial Unicode MS"/>
          <w:sz w:val="24"/>
          <w:szCs w:val="24"/>
        </w:rPr>
      </w:pPr>
    </w:p>
    <w:p w:rsidR="00056DB5" w:rsidRPr="00971159" w:rsidRDefault="00056DB5" w:rsidP="00056DB5">
      <w:pPr>
        <w:pStyle w:val="ListParagraph"/>
        <w:numPr>
          <w:ilvl w:val="1"/>
          <w:numId w:val="3"/>
        </w:numPr>
        <w:spacing w:line="360" w:lineRule="auto"/>
        <w:jc w:val="both"/>
        <w:rPr>
          <w:rFonts w:eastAsia="Arial Unicode MS"/>
          <w:sz w:val="24"/>
          <w:szCs w:val="24"/>
        </w:rPr>
      </w:pPr>
      <w:r w:rsidRPr="00971159">
        <w:rPr>
          <w:rFonts w:eastAsia="Arial Unicode MS"/>
          <w:sz w:val="24"/>
          <w:szCs w:val="24"/>
        </w:rPr>
        <w:t>The respondent through her lawyers M/s Ayigihugu &amp; Co. Adv</w:t>
      </w:r>
      <w:r w:rsidR="009861DB" w:rsidRPr="00971159">
        <w:rPr>
          <w:rFonts w:eastAsia="Arial Unicode MS"/>
          <w:sz w:val="24"/>
          <w:szCs w:val="24"/>
        </w:rPr>
        <w:t>oc</w:t>
      </w:r>
      <w:r w:rsidRPr="00971159">
        <w:rPr>
          <w:rFonts w:eastAsia="Arial Unicode MS"/>
          <w:sz w:val="24"/>
          <w:szCs w:val="24"/>
        </w:rPr>
        <w:t xml:space="preserve">ates filed a thirty –six (36) paragraphs affidavit in reply to this application. In essence, the respondent vehemently opposes this application. The applicant  filed an affidavit in rejoinder, and in reply to the  </w:t>
      </w:r>
      <w:r w:rsidR="00171497" w:rsidRPr="00971159">
        <w:rPr>
          <w:rFonts w:eastAsia="Arial Unicode MS"/>
          <w:sz w:val="24"/>
          <w:szCs w:val="24"/>
        </w:rPr>
        <w:t>respondents</w:t>
      </w:r>
      <w:r w:rsidRPr="00971159">
        <w:rPr>
          <w:rFonts w:eastAsia="Arial Unicode MS"/>
          <w:sz w:val="24"/>
          <w:szCs w:val="24"/>
        </w:rPr>
        <w:t xml:space="preserve"> said affidavit in reply.</w:t>
      </w:r>
    </w:p>
    <w:p w:rsidR="00056DB5" w:rsidRPr="00971159" w:rsidRDefault="00056DB5" w:rsidP="00056DB5">
      <w:pPr>
        <w:pStyle w:val="ListParagraph"/>
        <w:rPr>
          <w:rFonts w:eastAsia="Arial Unicode MS"/>
          <w:sz w:val="24"/>
          <w:szCs w:val="24"/>
        </w:rPr>
      </w:pPr>
    </w:p>
    <w:p w:rsidR="00056DB5" w:rsidRPr="00971159" w:rsidRDefault="00056DB5" w:rsidP="00056DB5">
      <w:pPr>
        <w:pStyle w:val="ListParagraph"/>
        <w:spacing w:line="360" w:lineRule="auto"/>
        <w:ind w:left="1080"/>
        <w:jc w:val="both"/>
        <w:rPr>
          <w:rFonts w:eastAsia="Arial Unicode MS"/>
          <w:sz w:val="24"/>
          <w:szCs w:val="24"/>
        </w:rPr>
      </w:pPr>
    </w:p>
    <w:p w:rsidR="00056DB5" w:rsidRPr="00971159" w:rsidRDefault="00BF3163" w:rsidP="00056DB5">
      <w:pPr>
        <w:spacing w:line="360" w:lineRule="auto"/>
        <w:jc w:val="center"/>
        <w:rPr>
          <w:rFonts w:eastAsia="Arial Unicode MS"/>
          <w:b/>
          <w:sz w:val="24"/>
          <w:szCs w:val="24"/>
        </w:rPr>
      </w:pPr>
      <w:r w:rsidRPr="00971159">
        <w:rPr>
          <w:rFonts w:eastAsia="Arial Unicode MS"/>
          <w:b/>
          <w:sz w:val="24"/>
          <w:szCs w:val="24"/>
        </w:rPr>
        <w:t xml:space="preserve">2. </w:t>
      </w:r>
      <w:r w:rsidR="00056DB5" w:rsidRPr="00971159">
        <w:rPr>
          <w:rFonts w:eastAsia="Arial Unicode MS"/>
          <w:b/>
          <w:sz w:val="24"/>
          <w:szCs w:val="24"/>
        </w:rPr>
        <w:t>This application</w:t>
      </w:r>
    </w:p>
    <w:p w:rsidR="00056DB5" w:rsidRPr="00971159" w:rsidRDefault="00056DB5" w:rsidP="00056DB5">
      <w:pPr>
        <w:spacing w:line="360" w:lineRule="auto"/>
        <w:jc w:val="both"/>
        <w:rPr>
          <w:rFonts w:eastAsia="Arial Unicode MS"/>
          <w:sz w:val="24"/>
          <w:szCs w:val="24"/>
        </w:rPr>
      </w:pPr>
      <w:r w:rsidRPr="00971159">
        <w:rPr>
          <w:rFonts w:eastAsia="Arial Unicode MS"/>
          <w:sz w:val="24"/>
          <w:szCs w:val="24"/>
        </w:rPr>
        <w:t>2.1 This application is seeking the following orders, that:-</w:t>
      </w:r>
    </w:p>
    <w:p w:rsidR="00056DB5" w:rsidRPr="00971159" w:rsidRDefault="00056DB5" w:rsidP="00056DB5">
      <w:pPr>
        <w:pStyle w:val="ListParagraph"/>
        <w:numPr>
          <w:ilvl w:val="0"/>
          <w:numId w:val="4"/>
        </w:numPr>
        <w:spacing w:line="360" w:lineRule="auto"/>
        <w:jc w:val="both"/>
        <w:rPr>
          <w:rFonts w:eastAsia="Arial Unicode MS"/>
          <w:b/>
          <w:sz w:val="24"/>
          <w:szCs w:val="24"/>
        </w:rPr>
      </w:pPr>
      <w:r w:rsidRPr="00971159">
        <w:rPr>
          <w:rFonts w:eastAsia="Arial Unicode MS"/>
          <w:b/>
          <w:sz w:val="24"/>
          <w:szCs w:val="24"/>
        </w:rPr>
        <w:t>The exparte judgment and de</w:t>
      </w:r>
      <w:r w:rsidR="00BF3163" w:rsidRPr="00971159">
        <w:rPr>
          <w:rFonts w:eastAsia="Arial Unicode MS"/>
          <w:b/>
          <w:sz w:val="24"/>
          <w:szCs w:val="24"/>
        </w:rPr>
        <w:t>cree and orders in Civil Suit No</w:t>
      </w:r>
      <w:r w:rsidRPr="00971159">
        <w:rPr>
          <w:rFonts w:eastAsia="Arial Unicode MS"/>
          <w:b/>
          <w:sz w:val="24"/>
          <w:szCs w:val="24"/>
        </w:rPr>
        <w:t xml:space="preserve">. 196 </w:t>
      </w:r>
      <w:r w:rsidR="000B7A70" w:rsidRPr="00971159">
        <w:rPr>
          <w:rFonts w:eastAsia="Arial Unicode MS"/>
          <w:b/>
          <w:sz w:val="24"/>
          <w:szCs w:val="24"/>
        </w:rPr>
        <w:t xml:space="preserve">of </w:t>
      </w:r>
      <w:r w:rsidRPr="00971159">
        <w:rPr>
          <w:rFonts w:eastAsia="Arial Unicode MS"/>
          <w:b/>
          <w:sz w:val="24"/>
          <w:szCs w:val="24"/>
        </w:rPr>
        <w:t>2010 be set aside and the suit heard interparte.</w:t>
      </w:r>
    </w:p>
    <w:p w:rsidR="00BF3163" w:rsidRPr="00971159" w:rsidRDefault="00BF3163" w:rsidP="00056DB5">
      <w:pPr>
        <w:pStyle w:val="ListParagraph"/>
        <w:numPr>
          <w:ilvl w:val="0"/>
          <w:numId w:val="4"/>
        </w:numPr>
        <w:spacing w:line="360" w:lineRule="auto"/>
        <w:jc w:val="both"/>
        <w:rPr>
          <w:rFonts w:eastAsia="Arial Unicode MS"/>
          <w:b/>
          <w:sz w:val="24"/>
          <w:szCs w:val="24"/>
        </w:rPr>
      </w:pPr>
      <w:r w:rsidRPr="00971159">
        <w:rPr>
          <w:rFonts w:eastAsia="Arial Unicode MS"/>
          <w:b/>
          <w:sz w:val="24"/>
          <w:szCs w:val="24"/>
        </w:rPr>
        <w:t>The applicant’s time within which to file the written statement of defence be unconditionally extended.</w:t>
      </w:r>
    </w:p>
    <w:p w:rsidR="00BF3163" w:rsidRPr="00971159" w:rsidRDefault="00BF3163" w:rsidP="00056DB5">
      <w:pPr>
        <w:pStyle w:val="ListParagraph"/>
        <w:numPr>
          <w:ilvl w:val="0"/>
          <w:numId w:val="4"/>
        </w:numPr>
        <w:spacing w:line="360" w:lineRule="auto"/>
        <w:jc w:val="both"/>
        <w:rPr>
          <w:rFonts w:eastAsia="Arial Unicode MS"/>
          <w:b/>
          <w:sz w:val="24"/>
          <w:szCs w:val="24"/>
        </w:rPr>
      </w:pPr>
      <w:r w:rsidRPr="00971159">
        <w:rPr>
          <w:rFonts w:eastAsia="Arial Unicode MS"/>
          <w:b/>
          <w:sz w:val="24"/>
          <w:szCs w:val="24"/>
        </w:rPr>
        <w:t>Costs of this application be provided.</w:t>
      </w:r>
    </w:p>
    <w:p w:rsidR="00BF3163" w:rsidRPr="00971159" w:rsidRDefault="00BF3163" w:rsidP="00BF3163">
      <w:pPr>
        <w:spacing w:line="360" w:lineRule="auto"/>
        <w:jc w:val="both"/>
        <w:rPr>
          <w:rFonts w:eastAsia="Arial Unicode MS"/>
          <w:sz w:val="24"/>
          <w:szCs w:val="24"/>
        </w:rPr>
      </w:pPr>
    </w:p>
    <w:p w:rsidR="00BF3163" w:rsidRPr="00971159" w:rsidRDefault="00BF3163" w:rsidP="00BF3163">
      <w:pPr>
        <w:spacing w:line="360" w:lineRule="auto"/>
        <w:jc w:val="both"/>
        <w:rPr>
          <w:rFonts w:eastAsia="Arial Unicode MS"/>
          <w:sz w:val="24"/>
          <w:szCs w:val="24"/>
        </w:rPr>
      </w:pPr>
      <w:r w:rsidRPr="00971159">
        <w:rPr>
          <w:rFonts w:eastAsia="Arial Unicode MS"/>
          <w:sz w:val="24"/>
          <w:szCs w:val="24"/>
        </w:rPr>
        <w:t>2.2 This application is based on the following grounds; that:-</w:t>
      </w:r>
    </w:p>
    <w:p w:rsidR="00BF3163" w:rsidRPr="00971159" w:rsidRDefault="00BF3163" w:rsidP="00BF3163">
      <w:pPr>
        <w:pStyle w:val="ListParagraph"/>
        <w:numPr>
          <w:ilvl w:val="0"/>
          <w:numId w:val="5"/>
        </w:numPr>
        <w:spacing w:line="360" w:lineRule="auto"/>
        <w:jc w:val="both"/>
        <w:rPr>
          <w:rFonts w:eastAsia="Arial Unicode MS"/>
          <w:b/>
          <w:sz w:val="24"/>
          <w:szCs w:val="24"/>
        </w:rPr>
      </w:pPr>
      <w:r w:rsidRPr="00971159">
        <w:rPr>
          <w:rFonts w:eastAsia="Arial Unicode MS"/>
          <w:b/>
          <w:sz w:val="24"/>
          <w:szCs w:val="24"/>
        </w:rPr>
        <w:t>The applicant was never served with summons to file a defence.</w:t>
      </w:r>
    </w:p>
    <w:p w:rsidR="00BF3163" w:rsidRPr="00971159" w:rsidRDefault="00BF3163" w:rsidP="00BF3163">
      <w:pPr>
        <w:pStyle w:val="ListParagraph"/>
        <w:numPr>
          <w:ilvl w:val="0"/>
          <w:numId w:val="5"/>
        </w:numPr>
        <w:spacing w:line="360" w:lineRule="auto"/>
        <w:jc w:val="both"/>
        <w:rPr>
          <w:rFonts w:eastAsia="Arial Unicode MS"/>
          <w:b/>
          <w:sz w:val="24"/>
          <w:szCs w:val="24"/>
        </w:rPr>
      </w:pPr>
      <w:r w:rsidRPr="00971159">
        <w:rPr>
          <w:rFonts w:eastAsia="Arial Unicode MS"/>
          <w:b/>
          <w:sz w:val="24"/>
          <w:szCs w:val="24"/>
        </w:rPr>
        <w:t xml:space="preserve">That the applicant’s interest in plot 568 and 569 (now 3602 and </w:t>
      </w:r>
      <w:r w:rsidR="003E4A34" w:rsidRPr="00971159">
        <w:rPr>
          <w:rFonts w:eastAsia="Arial Unicode MS"/>
          <w:b/>
          <w:sz w:val="24"/>
          <w:szCs w:val="24"/>
        </w:rPr>
        <w:t xml:space="preserve"> </w:t>
      </w:r>
      <w:r w:rsidRPr="00971159">
        <w:rPr>
          <w:rFonts w:eastAsia="Arial Unicode MS"/>
          <w:b/>
          <w:sz w:val="24"/>
          <w:szCs w:val="24"/>
        </w:rPr>
        <w:t xml:space="preserve">3603) is still existent and is </w:t>
      </w:r>
      <w:r w:rsidR="003E4A34" w:rsidRPr="00971159">
        <w:rPr>
          <w:rFonts w:eastAsia="Arial Unicode MS"/>
          <w:b/>
          <w:sz w:val="24"/>
          <w:szCs w:val="24"/>
        </w:rPr>
        <w:t xml:space="preserve">a subject of Civil Suit No. 110 of </w:t>
      </w:r>
      <w:r w:rsidRPr="00971159">
        <w:rPr>
          <w:rFonts w:eastAsia="Arial Unicode MS"/>
          <w:b/>
          <w:sz w:val="24"/>
          <w:szCs w:val="24"/>
        </w:rPr>
        <w:t xml:space="preserve">2010 at the </w:t>
      </w:r>
      <w:r w:rsidR="00171497" w:rsidRPr="00971159">
        <w:rPr>
          <w:rFonts w:eastAsia="Arial Unicode MS"/>
          <w:b/>
          <w:sz w:val="24"/>
          <w:szCs w:val="24"/>
        </w:rPr>
        <w:t>High Court of Uganda , K</w:t>
      </w:r>
      <w:r w:rsidR="000B7A70" w:rsidRPr="00971159">
        <w:rPr>
          <w:rFonts w:eastAsia="Arial Unicode MS"/>
          <w:b/>
          <w:sz w:val="24"/>
          <w:szCs w:val="24"/>
        </w:rPr>
        <w:t>ampala (F</w:t>
      </w:r>
      <w:r w:rsidRPr="00971159">
        <w:rPr>
          <w:rFonts w:eastAsia="Arial Unicode MS"/>
          <w:b/>
          <w:sz w:val="24"/>
          <w:szCs w:val="24"/>
        </w:rPr>
        <w:t xml:space="preserve">amily </w:t>
      </w:r>
      <w:r w:rsidR="000B7A70" w:rsidRPr="00971159">
        <w:rPr>
          <w:rFonts w:eastAsia="Arial Unicode MS"/>
          <w:b/>
          <w:sz w:val="24"/>
          <w:szCs w:val="24"/>
        </w:rPr>
        <w:t>D</w:t>
      </w:r>
      <w:r w:rsidRPr="00971159">
        <w:rPr>
          <w:rFonts w:eastAsia="Arial Unicode MS"/>
          <w:b/>
          <w:sz w:val="24"/>
          <w:szCs w:val="24"/>
        </w:rPr>
        <w:t xml:space="preserve">ivision) and Criminal Case at no. GEF/1243/2009 still under investigations </w:t>
      </w:r>
      <w:r w:rsidR="00171497" w:rsidRPr="00971159">
        <w:rPr>
          <w:rFonts w:eastAsia="Arial Unicode MS"/>
          <w:b/>
          <w:sz w:val="24"/>
          <w:szCs w:val="24"/>
        </w:rPr>
        <w:t>of fraud</w:t>
      </w:r>
      <w:r w:rsidRPr="00971159">
        <w:rPr>
          <w:rFonts w:eastAsia="Arial Unicode MS"/>
          <w:b/>
          <w:sz w:val="24"/>
          <w:szCs w:val="24"/>
        </w:rPr>
        <w:t xml:space="preserve"> at CID Headquarters.</w:t>
      </w:r>
    </w:p>
    <w:p w:rsidR="00BF3163" w:rsidRPr="00971159" w:rsidRDefault="00BF3163" w:rsidP="00BF3163">
      <w:pPr>
        <w:pStyle w:val="ListParagraph"/>
        <w:numPr>
          <w:ilvl w:val="0"/>
          <w:numId w:val="5"/>
        </w:numPr>
        <w:spacing w:line="360" w:lineRule="auto"/>
        <w:jc w:val="both"/>
        <w:rPr>
          <w:rFonts w:eastAsia="Arial Unicode MS"/>
          <w:b/>
          <w:sz w:val="24"/>
          <w:szCs w:val="24"/>
        </w:rPr>
      </w:pPr>
      <w:r w:rsidRPr="00971159">
        <w:rPr>
          <w:rFonts w:eastAsia="Arial Unicode MS"/>
          <w:b/>
          <w:sz w:val="24"/>
          <w:szCs w:val="24"/>
        </w:rPr>
        <w:t>That the applicant was never served with a Notice of show cause by execution (removal of caveats) should not be effected.</w:t>
      </w:r>
    </w:p>
    <w:p w:rsidR="00BF3163" w:rsidRPr="00971159" w:rsidRDefault="00BF3163" w:rsidP="00BF3163">
      <w:pPr>
        <w:pStyle w:val="ListParagraph"/>
        <w:numPr>
          <w:ilvl w:val="0"/>
          <w:numId w:val="5"/>
        </w:numPr>
        <w:spacing w:line="360" w:lineRule="auto"/>
        <w:jc w:val="both"/>
        <w:rPr>
          <w:rFonts w:eastAsia="Arial Unicode MS"/>
          <w:b/>
          <w:sz w:val="24"/>
          <w:szCs w:val="24"/>
        </w:rPr>
      </w:pPr>
      <w:r w:rsidRPr="00971159">
        <w:rPr>
          <w:rFonts w:eastAsia="Arial Unicode MS"/>
          <w:b/>
          <w:sz w:val="24"/>
          <w:szCs w:val="24"/>
        </w:rPr>
        <w:t>That it is in interest of justice that the judgment /decree and execution of the same be set aside.</w:t>
      </w:r>
    </w:p>
    <w:p w:rsidR="00BF3163" w:rsidRPr="00971159" w:rsidRDefault="00BF3163" w:rsidP="00BF3163">
      <w:pPr>
        <w:pStyle w:val="ListParagraph"/>
        <w:numPr>
          <w:ilvl w:val="0"/>
          <w:numId w:val="5"/>
        </w:numPr>
        <w:spacing w:line="360" w:lineRule="auto"/>
        <w:jc w:val="both"/>
        <w:rPr>
          <w:rFonts w:eastAsia="Arial Unicode MS"/>
          <w:b/>
          <w:sz w:val="24"/>
          <w:szCs w:val="24"/>
        </w:rPr>
      </w:pPr>
      <w:r w:rsidRPr="00971159">
        <w:rPr>
          <w:rFonts w:eastAsia="Arial Unicode MS"/>
          <w:b/>
          <w:sz w:val="24"/>
          <w:szCs w:val="24"/>
        </w:rPr>
        <w:t>That the applicant has a good defence to the claim with high chances of success.</w:t>
      </w:r>
    </w:p>
    <w:p w:rsidR="00BF3163" w:rsidRPr="00971159" w:rsidRDefault="00BF3163" w:rsidP="00BF3163">
      <w:pPr>
        <w:pStyle w:val="ListParagraph"/>
        <w:numPr>
          <w:ilvl w:val="0"/>
          <w:numId w:val="5"/>
        </w:numPr>
        <w:spacing w:line="360" w:lineRule="auto"/>
        <w:jc w:val="both"/>
        <w:rPr>
          <w:rFonts w:eastAsia="Arial Unicode MS"/>
          <w:b/>
          <w:sz w:val="24"/>
          <w:szCs w:val="24"/>
        </w:rPr>
      </w:pPr>
      <w:r w:rsidRPr="00971159">
        <w:rPr>
          <w:rFonts w:eastAsia="Arial Unicode MS"/>
          <w:b/>
          <w:sz w:val="24"/>
          <w:szCs w:val="24"/>
        </w:rPr>
        <w:t>It is in the interest of natural justice that the case is heard interparte and decided on merit.</w:t>
      </w:r>
    </w:p>
    <w:p w:rsidR="00BF3163" w:rsidRPr="00971159" w:rsidRDefault="00BF3163" w:rsidP="00BF3163">
      <w:pPr>
        <w:spacing w:line="360" w:lineRule="auto"/>
        <w:jc w:val="both"/>
        <w:rPr>
          <w:rFonts w:eastAsia="Arial Unicode MS"/>
          <w:sz w:val="24"/>
          <w:szCs w:val="24"/>
        </w:rPr>
      </w:pPr>
    </w:p>
    <w:p w:rsidR="00BF3163" w:rsidRPr="00971159" w:rsidRDefault="00BF3163" w:rsidP="00E60AD7">
      <w:pPr>
        <w:pStyle w:val="ListParagraph"/>
        <w:numPr>
          <w:ilvl w:val="0"/>
          <w:numId w:val="6"/>
        </w:numPr>
        <w:spacing w:line="360" w:lineRule="auto"/>
        <w:jc w:val="center"/>
        <w:rPr>
          <w:rFonts w:eastAsia="Arial Unicode MS"/>
          <w:b/>
          <w:sz w:val="24"/>
          <w:szCs w:val="24"/>
        </w:rPr>
      </w:pPr>
      <w:r w:rsidRPr="00971159">
        <w:rPr>
          <w:rFonts w:eastAsia="Arial Unicode MS"/>
          <w:b/>
          <w:sz w:val="24"/>
          <w:szCs w:val="24"/>
        </w:rPr>
        <w:t>Resolution of this application by Court</w:t>
      </w:r>
    </w:p>
    <w:p w:rsidR="000B7A70" w:rsidRPr="00971159" w:rsidRDefault="00BF3163" w:rsidP="00BF3163">
      <w:pPr>
        <w:pStyle w:val="ListParagraph"/>
        <w:numPr>
          <w:ilvl w:val="1"/>
          <w:numId w:val="6"/>
        </w:numPr>
        <w:spacing w:line="360" w:lineRule="auto"/>
        <w:jc w:val="both"/>
        <w:rPr>
          <w:rFonts w:eastAsia="Arial Unicode MS"/>
          <w:sz w:val="24"/>
          <w:szCs w:val="24"/>
        </w:rPr>
      </w:pPr>
      <w:r w:rsidRPr="00971159">
        <w:rPr>
          <w:rFonts w:eastAsia="Arial Unicode MS"/>
          <w:sz w:val="24"/>
          <w:szCs w:val="24"/>
        </w:rPr>
        <w:t>The parties were directed to file written submission</w:t>
      </w:r>
      <w:r w:rsidR="003E4A34" w:rsidRPr="00971159">
        <w:rPr>
          <w:rFonts w:eastAsia="Arial Unicode MS"/>
          <w:sz w:val="24"/>
          <w:szCs w:val="24"/>
        </w:rPr>
        <w:t>s</w:t>
      </w:r>
      <w:r w:rsidRPr="00971159">
        <w:rPr>
          <w:rFonts w:eastAsia="Arial Unicode MS"/>
          <w:sz w:val="24"/>
          <w:szCs w:val="24"/>
        </w:rPr>
        <w:t>, which they gracefully did.  Both parties relied on a number of au</w:t>
      </w:r>
      <w:r w:rsidR="000B7A70" w:rsidRPr="00971159">
        <w:rPr>
          <w:rFonts w:eastAsia="Arial Unicode MS"/>
          <w:sz w:val="24"/>
          <w:szCs w:val="24"/>
        </w:rPr>
        <w:t>thorities to justify each party’</w:t>
      </w:r>
      <w:r w:rsidRPr="00971159">
        <w:rPr>
          <w:rFonts w:eastAsia="Arial Unicode MS"/>
          <w:sz w:val="24"/>
          <w:szCs w:val="24"/>
        </w:rPr>
        <w:t>s case.</w:t>
      </w:r>
    </w:p>
    <w:p w:rsidR="000B7A70" w:rsidRPr="00971159" w:rsidRDefault="000B7A70" w:rsidP="000B7A70">
      <w:pPr>
        <w:pStyle w:val="ListParagraph"/>
        <w:spacing w:line="360" w:lineRule="auto"/>
        <w:ind w:left="1080"/>
        <w:jc w:val="both"/>
        <w:rPr>
          <w:rFonts w:eastAsia="Arial Unicode MS"/>
          <w:sz w:val="24"/>
          <w:szCs w:val="24"/>
        </w:rPr>
      </w:pPr>
    </w:p>
    <w:p w:rsidR="00BF3163" w:rsidRPr="00971159" w:rsidRDefault="00BF3163" w:rsidP="00BF3163">
      <w:pPr>
        <w:pStyle w:val="ListParagraph"/>
        <w:numPr>
          <w:ilvl w:val="1"/>
          <w:numId w:val="6"/>
        </w:numPr>
        <w:spacing w:line="360" w:lineRule="auto"/>
        <w:jc w:val="both"/>
        <w:rPr>
          <w:rFonts w:eastAsia="Arial Unicode MS"/>
          <w:sz w:val="24"/>
          <w:szCs w:val="24"/>
        </w:rPr>
      </w:pPr>
      <w:r w:rsidRPr="00971159">
        <w:rPr>
          <w:rFonts w:eastAsia="Arial Unicode MS"/>
          <w:sz w:val="24"/>
          <w:szCs w:val="24"/>
        </w:rPr>
        <w:t>In his submission</w:t>
      </w:r>
      <w:r w:rsidR="000B7A70" w:rsidRPr="00971159">
        <w:rPr>
          <w:rFonts w:eastAsia="Arial Unicode MS"/>
          <w:sz w:val="24"/>
          <w:szCs w:val="24"/>
        </w:rPr>
        <w:t>s, Counsel for the applica</w:t>
      </w:r>
      <w:r w:rsidRPr="00971159">
        <w:rPr>
          <w:rFonts w:eastAsia="Arial Unicode MS"/>
          <w:sz w:val="24"/>
          <w:szCs w:val="24"/>
        </w:rPr>
        <w:t>n</w:t>
      </w:r>
      <w:r w:rsidR="000B7A70" w:rsidRPr="00971159">
        <w:rPr>
          <w:rFonts w:eastAsia="Arial Unicode MS"/>
          <w:sz w:val="24"/>
          <w:szCs w:val="24"/>
        </w:rPr>
        <w:t>t</w:t>
      </w:r>
      <w:r w:rsidRPr="00971159">
        <w:rPr>
          <w:rFonts w:eastAsia="Arial Unicode MS"/>
          <w:sz w:val="24"/>
          <w:szCs w:val="24"/>
        </w:rPr>
        <w:t xml:space="preserve"> argued </w:t>
      </w:r>
      <w:r w:rsidR="00171497" w:rsidRPr="00971159">
        <w:rPr>
          <w:rFonts w:eastAsia="Arial Unicode MS"/>
          <w:sz w:val="24"/>
          <w:szCs w:val="24"/>
        </w:rPr>
        <w:t>that the</w:t>
      </w:r>
      <w:r w:rsidR="00FD12F8" w:rsidRPr="00971159">
        <w:rPr>
          <w:rFonts w:eastAsia="Arial Unicode MS"/>
          <w:sz w:val="24"/>
          <w:szCs w:val="24"/>
        </w:rPr>
        <w:t xml:space="preserve"> applicant was never duly served with summons to file a defence. That a person alleged served with the summons to file a defence is a stranger to her. That all the time during that period, that she was resident in the United Kingdom (UK). That on the grounds of none service of Court summons on her the expert judgment ought to be set aside with costs. And that she be allowed to file a defence with a counterclaim.</w:t>
      </w:r>
    </w:p>
    <w:p w:rsidR="00FD12F8" w:rsidRPr="00971159" w:rsidRDefault="00FD12F8" w:rsidP="00FD12F8">
      <w:pPr>
        <w:pStyle w:val="ListParagraph"/>
        <w:spacing w:line="360" w:lineRule="auto"/>
        <w:ind w:left="1080"/>
        <w:jc w:val="both"/>
        <w:rPr>
          <w:rFonts w:eastAsia="Arial Unicode MS"/>
          <w:sz w:val="24"/>
          <w:szCs w:val="24"/>
        </w:rPr>
      </w:pPr>
    </w:p>
    <w:p w:rsidR="00FD12F8" w:rsidRPr="00971159" w:rsidRDefault="00FD12F8" w:rsidP="000B7A70">
      <w:pPr>
        <w:spacing w:line="360" w:lineRule="auto"/>
        <w:ind w:left="360"/>
        <w:jc w:val="both"/>
        <w:rPr>
          <w:rFonts w:eastAsia="Arial Unicode MS"/>
          <w:sz w:val="24"/>
          <w:szCs w:val="24"/>
        </w:rPr>
      </w:pPr>
      <w:r w:rsidRPr="00971159">
        <w:rPr>
          <w:rFonts w:eastAsia="Arial Unicode MS"/>
          <w:sz w:val="24"/>
          <w:szCs w:val="24"/>
        </w:rPr>
        <w:t>In reply, counsel for the respondent submitted that the applicant was duly served through the senior and adult member of her family who was residing in the house of the applicant opposite, the other side of the road of the suit land. And that for the hearing of the suit, the defendants therein were duly served with the hearing notices.</w:t>
      </w:r>
    </w:p>
    <w:p w:rsidR="00243E1C" w:rsidRPr="00971159" w:rsidRDefault="00243E1C" w:rsidP="00FD12F8">
      <w:pPr>
        <w:spacing w:line="360" w:lineRule="auto"/>
        <w:jc w:val="both"/>
        <w:rPr>
          <w:rFonts w:eastAsia="Arial Unicode MS"/>
          <w:sz w:val="24"/>
          <w:szCs w:val="24"/>
        </w:rPr>
      </w:pPr>
    </w:p>
    <w:p w:rsidR="00243E1C" w:rsidRPr="00971159" w:rsidRDefault="000B7A70" w:rsidP="000B7A70">
      <w:pPr>
        <w:spacing w:line="360" w:lineRule="auto"/>
        <w:ind w:left="360"/>
        <w:jc w:val="both"/>
        <w:rPr>
          <w:rFonts w:eastAsia="Arial Unicode MS"/>
          <w:sz w:val="24"/>
          <w:szCs w:val="24"/>
        </w:rPr>
      </w:pPr>
      <w:r w:rsidRPr="00971159">
        <w:rPr>
          <w:rFonts w:eastAsia="Arial Unicode MS"/>
          <w:sz w:val="24"/>
          <w:szCs w:val="24"/>
        </w:rPr>
        <w:t xml:space="preserve">That the </w:t>
      </w:r>
      <w:r w:rsidR="00243E1C" w:rsidRPr="00971159">
        <w:rPr>
          <w:rFonts w:eastAsia="Arial Unicode MS"/>
          <w:sz w:val="24"/>
          <w:szCs w:val="24"/>
        </w:rPr>
        <w:t xml:space="preserve"> applicant was served with summons and plain</w:t>
      </w:r>
      <w:r w:rsidR="003E4A34" w:rsidRPr="00971159">
        <w:rPr>
          <w:rFonts w:eastAsia="Arial Unicode MS"/>
          <w:sz w:val="24"/>
          <w:szCs w:val="24"/>
        </w:rPr>
        <w:t>t</w:t>
      </w:r>
      <w:r w:rsidR="00243E1C" w:rsidRPr="00971159">
        <w:rPr>
          <w:rFonts w:eastAsia="Arial Unicode MS"/>
          <w:sz w:val="24"/>
          <w:szCs w:val="24"/>
        </w:rPr>
        <w:t xml:space="preserve"> through an adult member of her family Ronald Lule after several fruitless attempts to serve </w:t>
      </w:r>
      <w:r w:rsidRPr="00971159">
        <w:rPr>
          <w:rFonts w:eastAsia="Arial Unicode MS"/>
          <w:sz w:val="24"/>
          <w:szCs w:val="24"/>
        </w:rPr>
        <w:t xml:space="preserve">her </w:t>
      </w:r>
      <w:r w:rsidR="00243E1C" w:rsidRPr="00971159">
        <w:rPr>
          <w:rFonts w:eastAsia="Arial Unicode MS"/>
          <w:sz w:val="24"/>
          <w:szCs w:val="24"/>
        </w:rPr>
        <w:t xml:space="preserve">personally. </w:t>
      </w:r>
      <w:r w:rsidRPr="00971159">
        <w:rPr>
          <w:rFonts w:eastAsia="Arial Unicode MS"/>
          <w:sz w:val="24"/>
          <w:szCs w:val="24"/>
        </w:rPr>
        <w:t>The service</w:t>
      </w:r>
      <w:r w:rsidR="00243E1C" w:rsidRPr="00971159">
        <w:rPr>
          <w:rFonts w:eastAsia="Arial Unicode MS"/>
          <w:sz w:val="24"/>
          <w:szCs w:val="24"/>
        </w:rPr>
        <w:t xml:space="preserve"> was done at her father’s former home occupied by her and her other siblings and </w:t>
      </w:r>
      <w:r w:rsidRPr="00971159">
        <w:rPr>
          <w:rFonts w:eastAsia="Arial Unicode MS"/>
          <w:sz w:val="24"/>
          <w:szCs w:val="24"/>
        </w:rPr>
        <w:t xml:space="preserve">that </w:t>
      </w:r>
      <w:r w:rsidR="00243E1C" w:rsidRPr="00971159">
        <w:rPr>
          <w:rFonts w:eastAsia="Arial Unicode MS"/>
          <w:sz w:val="24"/>
          <w:szCs w:val="24"/>
        </w:rPr>
        <w:t>which</w:t>
      </w:r>
      <w:r w:rsidRPr="00971159">
        <w:rPr>
          <w:rFonts w:eastAsia="Arial Unicode MS"/>
          <w:sz w:val="24"/>
          <w:szCs w:val="24"/>
        </w:rPr>
        <w:t xml:space="preserve"> is just opposite the suit land. That the </w:t>
      </w:r>
      <w:r w:rsidR="00243E1C" w:rsidRPr="00971159">
        <w:rPr>
          <w:rFonts w:eastAsia="Arial Unicode MS"/>
          <w:sz w:val="24"/>
          <w:szCs w:val="24"/>
        </w:rPr>
        <w:t xml:space="preserve"> hearing notice for hearing of the suit was served on Nyanzi, Kiboneka Mbabazi advocates indicated on the caveat as the address of service but there was no response. No defence was </w:t>
      </w:r>
      <w:r w:rsidRPr="00971159">
        <w:rPr>
          <w:rFonts w:eastAsia="Arial Unicode MS"/>
          <w:sz w:val="24"/>
          <w:szCs w:val="24"/>
        </w:rPr>
        <w:t>filed and neither the applica</w:t>
      </w:r>
      <w:r w:rsidR="00243E1C" w:rsidRPr="00971159">
        <w:rPr>
          <w:rFonts w:eastAsia="Arial Unicode MS"/>
          <w:sz w:val="24"/>
          <w:szCs w:val="24"/>
        </w:rPr>
        <w:t>n</w:t>
      </w:r>
      <w:r w:rsidRPr="00971159">
        <w:rPr>
          <w:rFonts w:eastAsia="Arial Unicode MS"/>
          <w:sz w:val="24"/>
          <w:szCs w:val="24"/>
        </w:rPr>
        <w:t>t</w:t>
      </w:r>
      <w:r w:rsidR="00243E1C" w:rsidRPr="00971159">
        <w:rPr>
          <w:rFonts w:eastAsia="Arial Unicode MS"/>
          <w:sz w:val="24"/>
          <w:szCs w:val="24"/>
        </w:rPr>
        <w:t xml:space="preserve"> nor </w:t>
      </w:r>
      <w:r w:rsidRPr="00971159">
        <w:rPr>
          <w:rFonts w:eastAsia="Arial Unicode MS"/>
          <w:sz w:val="24"/>
          <w:szCs w:val="24"/>
        </w:rPr>
        <w:t>her then advocates turned up in C</w:t>
      </w:r>
      <w:r w:rsidR="00243E1C" w:rsidRPr="00971159">
        <w:rPr>
          <w:rFonts w:eastAsia="Arial Unicode MS"/>
          <w:sz w:val="24"/>
          <w:szCs w:val="24"/>
        </w:rPr>
        <w:t>ourt. Hearing proceeded exparte.</w:t>
      </w:r>
      <w:r w:rsidRPr="00971159">
        <w:rPr>
          <w:rFonts w:eastAsia="Arial Unicode MS"/>
          <w:sz w:val="24"/>
          <w:szCs w:val="24"/>
        </w:rPr>
        <w:t xml:space="preserve"> The suit was set down for hearing on the formal proof.</w:t>
      </w:r>
      <w:r w:rsidR="003E4A34" w:rsidRPr="00971159">
        <w:rPr>
          <w:rFonts w:eastAsia="Arial Unicode MS"/>
          <w:sz w:val="24"/>
          <w:szCs w:val="24"/>
        </w:rPr>
        <w:t xml:space="preserve"> Evidence was adduced by the respondent and this Court found her evidence credible.</w:t>
      </w:r>
    </w:p>
    <w:p w:rsidR="00243E1C" w:rsidRPr="00971159" w:rsidRDefault="00243E1C" w:rsidP="00FD12F8">
      <w:pPr>
        <w:spacing w:line="360" w:lineRule="auto"/>
        <w:jc w:val="both"/>
        <w:rPr>
          <w:rFonts w:eastAsia="Arial Unicode MS"/>
          <w:sz w:val="24"/>
          <w:szCs w:val="24"/>
        </w:rPr>
      </w:pPr>
    </w:p>
    <w:p w:rsidR="00243E1C" w:rsidRPr="00971159" w:rsidRDefault="00243E1C" w:rsidP="003E4A34">
      <w:pPr>
        <w:spacing w:line="360" w:lineRule="auto"/>
        <w:ind w:left="360"/>
        <w:rPr>
          <w:rFonts w:eastAsia="Arial Unicode MS"/>
          <w:sz w:val="24"/>
          <w:szCs w:val="24"/>
        </w:rPr>
      </w:pPr>
      <w:r w:rsidRPr="00971159">
        <w:rPr>
          <w:rFonts w:eastAsia="Arial Unicode MS"/>
          <w:sz w:val="24"/>
          <w:szCs w:val="24"/>
        </w:rPr>
        <w:t>A</w:t>
      </w:r>
      <w:r w:rsidR="000B7A70" w:rsidRPr="00971159">
        <w:rPr>
          <w:rFonts w:eastAsia="Arial Unicode MS"/>
          <w:sz w:val="24"/>
          <w:szCs w:val="24"/>
        </w:rPr>
        <w:t>fter considering the evidence adduced by the respondent (plaintiff) C</w:t>
      </w:r>
      <w:r w:rsidRPr="00971159">
        <w:rPr>
          <w:rFonts w:eastAsia="Arial Unicode MS"/>
          <w:sz w:val="24"/>
          <w:szCs w:val="24"/>
        </w:rPr>
        <w:t>ourt found that the applicant occupied 0.849 acres from the land on certificate of title known as Kyadondo Block 228 plot 568 &amp; 569 and 0.36 acres also from the Certificate of title known as Kyadondo Block 228 plot 464.</w:t>
      </w:r>
    </w:p>
    <w:p w:rsidR="00243E1C" w:rsidRPr="00971159" w:rsidRDefault="00243E1C" w:rsidP="00FD12F8">
      <w:pPr>
        <w:spacing w:line="360" w:lineRule="auto"/>
        <w:jc w:val="both"/>
        <w:rPr>
          <w:rFonts w:eastAsia="Arial Unicode MS"/>
          <w:sz w:val="24"/>
          <w:szCs w:val="24"/>
        </w:rPr>
      </w:pPr>
    </w:p>
    <w:p w:rsidR="005E5830" w:rsidRPr="00971159" w:rsidRDefault="00243E1C" w:rsidP="003E4A34">
      <w:pPr>
        <w:spacing w:line="360" w:lineRule="auto"/>
        <w:ind w:left="360"/>
        <w:jc w:val="both"/>
        <w:rPr>
          <w:rFonts w:eastAsia="Arial Unicode MS"/>
          <w:sz w:val="24"/>
          <w:szCs w:val="24"/>
        </w:rPr>
      </w:pPr>
      <w:r w:rsidRPr="00971159">
        <w:rPr>
          <w:rFonts w:eastAsia="Arial Unicode MS"/>
          <w:sz w:val="24"/>
          <w:szCs w:val="24"/>
        </w:rPr>
        <w:t>Court</w:t>
      </w:r>
      <w:r w:rsidR="000B7A70" w:rsidRPr="00971159">
        <w:rPr>
          <w:rFonts w:eastAsia="Arial Unicode MS"/>
          <w:sz w:val="24"/>
          <w:szCs w:val="24"/>
        </w:rPr>
        <w:t xml:space="preserve"> further</w:t>
      </w:r>
      <w:r w:rsidRPr="00971159">
        <w:rPr>
          <w:rFonts w:eastAsia="Arial Unicode MS"/>
          <w:sz w:val="24"/>
          <w:szCs w:val="24"/>
        </w:rPr>
        <w:t xml:space="preserve"> found that the rest of the land </w:t>
      </w:r>
      <w:r w:rsidR="000B7A70" w:rsidRPr="00971159">
        <w:rPr>
          <w:rFonts w:eastAsia="Arial Unicode MS"/>
          <w:sz w:val="24"/>
          <w:szCs w:val="24"/>
        </w:rPr>
        <w:t xml:space="preserve">described hereinabove in this ruling </w:t>
      </w:r>
      <w:r w:rsidRPr="00971159">
        <w:rPr>
          <w:rFonts w:eastAsia="Arial Unicode MS"/>
          <w:sz w:val="24"/>
          <w:szCs w:val="24"/>
        </w:rPr>
        <w:t xml:space="preserve">on the certificates of title that is 0.65 acres on the certificate of title of plot 568 &amp;569 and 0.33 acres of plot 469 is for the respondent. </w:t>
      </w:r>
      <w:r w:rsidR="000B7A70" w:rsidRPr="00971159">
        <w:rPr>
          <w:rFonts w:eastAsia="Arial Unicode MS"/>
          <w:sz w:val="24"/>
          <w:szCs w:val="24"/>
        </w:rPr>
        <w:t xml:space="preserve"> </w:t>
      </w:r>
      <w:r w:rsidRPr="00971159">
        <w:rPr>
          <w:rFonts w:eastAsia="Arial Unicode MS"/>
          <w:sz w:val="24"/>
          <w:szCs w:val="24"/>
        </w:rPr>
        <w:t xml:space="preserve">Court </w:t>
      </w:r>
      <w:r w:rsidR="000B7A70" w:rsidRPr="00971159">
        <w:rPr>
          <w:rFonts w:eastAsia="Arial Unicode MS"/>
          <w:sz w:val="24"/>
          <w:szCs w:val="24"/>
        </w:rPr>
        <w:t>held</w:t>
      </w:r>
      <w:r w:rsidRPr="00971159">
        <w:rPr>
          <w:rFonts w:eastAsia="Arial Unicode MS"/>
          <w:sz w:val="24"/>
          <w:szCs w:val="24"/>
        </w:rPr>
        <w:t xml:space="preserve"> that the applicant’s interest </w:t>
      </w:r>
      <w:r w:rsidR="00182FD8" w:rsidRPr="00971159">
        <w:rPr>
          <w:rFonts w:eastAsia="Arial Unicode MS"/>
          <w:sz w:val="24"/>
          <w:szCs w:val="24"/>
        </w:rPr>
        <w:t xml:space="preserve">is only in portions of the land on the certificate of title. Court held that the applicant’s caveats which </w:t>
      </w:r>
      <w:r w:rsidR="005E5830" w:rsidRPr="00971159">
        <w:rPr>
          <w:rFonts w:eastAsia="Arial Unicode MS"/>
          <w:sz w:val="24"/>
          <w:szCs w:val="24"/>
        </w:rPr>
        <w:t xml:space="preserve">   </w:t>
      </w:r>
      <w:r w:rsidR="00182FD8" w:rsidRPr="00971159">
        <w:rPr>
          <w:rFonts w:eastAsia="Arial Unicode MS"/>
          <w:sz w:val="24"/>
          <w:szCs w:val="24"/>
        </w:rPr>
        <w:t>affected all the</w:t>
      </w:r>
      <w:r w:rsidR="005E5830" w:rsidRPr="00971159">
        <w:rPr>
          <w:rFonts w:eastAsia="Arial Unicode MS"/>
          <w:sz w:val="24"/>
          <w:szCs w:val="24"/>
        </w:rPr>
        <w:t xml:space="preserve">  </w:t>
      </w:r>
      <w:r w:rsidR="00182FD8" w:rsidRPr="00971159">
        <w:rPr>
          <w:rFonts w:eastAsia="Arial Unicode MS"/>
          <w:sz w:val="24"/>
          <w:szCs w:val="24"/>
        </w:rPr>
        <w:t xml:space="preserve"> land on the titles including the land where</w:t>
      </w:r>
      <w:r w:rsidR="005E5830" w:rsidRPr="00971159">
        <w:rPr>
          <w:rFonts w:eastAsia="Arial Unicode MS"/>
          <w:sz w:val="24"/>
          <w:szCs w:val="24"/>
        </w:rPr>
        <w:t xml:space="preserve"> </w:t>
      </w:r>
      <w:r w:rsidR="00182FD8" w:rsidRPr="00971159">
        <w:rPr>
          <w:rFonts w:eastAsia="Arial Unicode MS"/>
          <w:sz w:val="24"/>
          <w:szCs w:val="24"/>
        </w:rPr>
        <w:t xml:space="preserve"> she</w:t>
      </w:r>
      <w:r w:rsidR="005E5830" w:rsidRPr="00971159">
        <w:rPr>
          <w:rFonts w:eastAsia="Arial Unicode MS"/>
          <w:sz w:val="24"/>
          <w:szCs w:val="24"/>
        </w:rPr>
        <w:t xml:space="preserve"> </w:t>
      </w:r>
      <w:r w:rsidR="00182FD8" w:rsidRPr="00971159">
        <w:rPr>
          <w:rFonts w:eastAsia="Arial Unicode MS"/>
          <w:sz w:val="24"/>
          <w:szCs w:val="24"/>
        </w:rPr>
        <w:t xml:space="preserve"> did</w:t>
      </w:r>
      <w:r w:rsidR="005E5830" w:rsidRPr="00971159">
        <w:rPr>
          <w:rFonts w:eastAsia="Arial Unicode MS"/>
          <w:sz w:val="24"/>
          <w:szCs w:val="24"/>
        </w:rPr>
        <w:t xml:space="preserve"> </w:t>
      </w:r>
      <w:r w:rsidR="00182FD8" w:rsidRPr="00971159">
        <w:rPr>
          <w:rFonts w:eastAsia="Arial Unicode MS"/>
          <w:sz w:val="24"/>
          <w:szCs w:val="24"/>
        </w:rPr>
        <w:t xml:space="preserve"> not</w:t>
      </w:r>
      <w:r w:rsidR="005E5830" w:rsidRPr="00971159">
        <w:rPr>
          <w:rFonts w:eastAsia="Arial Unicode MS"/>
          <w:sz w:val="24"/>
          <w:szCs w:val="24"/>
        </w:rPr>
        <w:t xml:space="preserve"> </w:t>
      </w:r>
      <w:r w:rsidR="00182FD8" w:rsidRPr="00971159">
        <w:rPr>
          <w:rFonts w:eastAsia="Arial Unicode MS"/>
          <w:sz w:val="24"/>
          <w:szCs w:val="24"/>
        </w:rPr>
        <w:t xml:space="preserve"> have </w:t>
      </w:r>
      <w:r w:rsidR="005E5830" w:rsidRPr="00971159">
        <w:rPr>
          <w:rFonts w:eastAsia="Arial Unicode MS"/>
          <w:sz w:val="24"/>
          <w:szCs w:val="24"/>
        </w:rPr>
        <w:t xml:space="preserve"> </w:t>
      </w:r>
      <w:r w:rsidR="00182FD8" w:rsidRPr="00971159">
        <w:rPr>
          <w:rFonts w:eastAsia="Arial Unicode MS"/>
          <w:sz w:val="24"/>
          <w:szCs w:val="24"/>
        </w:rPr>
        <w:t>an</w:t>
      </w:r>
      <w:r w:rsidR="005E5830" w:rsidRPr="00971159">
        <w:rPr>
          <w:rFonts w:eastAsia="Arial Unicode MS"/>
          <w:sz w:val="24"/>
          <w:szCs w:val="24"/>
        </w:rPr>
        <w:t xml:space="preserve"> </w:t>
      </w:r>
      <w:r w:rsidR="00182FD8" w:rsidRPr="00971159">
        <w:rPr>
          <w:rFonts w:eastAsia="Arial Unicode MS"/>
          <w:sz w:val="24"/>
          <w:szCs w:val="24"/>
        </w:rPr>
        <w:t xml:space="preserve"> interest</w:t>
      </w:r>
      <w:r w:rsidR="005E5830" w:rsidRPr="00971159">
        <w:rPr>
          <w:rFonts w:eastAsia="Arial Unicode MS"/>
          <w:sz w:val="24"/>
          <w:szCs w:val="24"/>
        </w:rPr>
        <w:t xml:space="preserve">  </w:t>
      </w:r>
      <w:r w:rsidR="00182FD8" w:rsidRPr="00971159">
        <w:rPr>
          <w:rFonts w:eastAsia="Arial Unicode MS"/>
          <w:sz w:val="24"/>
          <w:szCs w:val="24"/>
        </w:rPr>
        <w:t xml:space="preserve"> to be </w:t>
      </w:r>
      <w:r w:rsidR="005E5830" w:rsidRPr="00971159">
        <w:rPr>
          <w:rFonts w:eastAsia="Arial Unicode MS"/>
          <w:sz w:val="24"/>
          <w:szCs w:val="24"/>
        </w:rPr>
        <w:t xml:space="preserve"> </w:t>
      </w:r>
      <w:r w:rsidR="00182FD8" w:rsidRPr="00971159">
        <w:rPr>
          <w:rFonts w:eastAsia="Arial Unicode MS"/>
          <w:sz w:val="24"/>
          <w:szCs w:val="24"/>
        </w:rPr>
        <w:t xml:space="preserve">defective. Court </w:t>
      </w:r>
    </w:p>
    <w:p w:rsidR="005E5830" w:rsidRPr="00971159" w:rsidRDefault="005E5830" w:rsidP="003E4A34">
      <w:pPr>
        <w:spacing w:line="360" w:lineRule="auto"/>
        <w:ind w:left="360"/>
        <w:jc w:val="both"/>
        <w:rPr>
          <w:rFonts w:eastAsia="Arial Unicode MS"/>
          <w:sz w:val="24"/>
          <w:szCs w:val="24"/>
        </w:rPr>
      </w:pPr>
    </w:p>
    <w:p w:rsidR="00243E1C" w:rsidRPr="00971159" w:rsidRDefault="00182FD8" w:rsidP="003E4A34">
      <w:pPr>
        <w:spacing w:line="360" w:lineRule="auto"/>
        <w:ind w:left="360"/>
        <w:jc w:val="both"/>
        <w:rPr>
          <w:rFonts w:eastAsia="Arial Unicode MS"/>
          <w:sz w:val="24"/>
          <w:szCs w:val="24"/>
        </w:rPr>
      </w:pPr>
      <w:r w:rsidRPr="00971159">
        <w:rPr>
          <w:rFonts w:eastAsia="Arial Unicode MS"/>
          <w:sz w:val="24"/>
          <w:szCs w:val="24"/>
        </w:rPr>
        <w:t xml:space="preserve">ordered the removal of the </w:t>
      </w:r>
      <w:r w:rsidR="003E4A34" w:rsidRPr="00971159">
        <w:rPr>
          <w:rFonts w:eastAsia="Arial Unicode MS"/>
          <w:sz w:val="24"/>
          <w:szCs w:val="24"/>
        </w:rPr>
        <w:t xml:space="preserve">applicant’s </w:t>
      </w:r>
      <w:r w:rsidRPr="00971159">
        <w:rPr>
          <w:rFonts w:eastAsia="Arial Unicode MS"/>
          <w:sz w:val="24"/>
          <w:szCs w:val="24"/>
        </w:rPr>
        <w:t>caveats to enable the respondent survey</w:t>
      </w:r>
      <w:r w:rsidR="003E4A34" w:rsidRPr="00971159">
        <w:rPr>
          <w:rFonts w:eastAsia="Arial Unicode MS"/>
          <w:sz w:val="24"/>
          <w:szCs w:val="24"/>
        </w:rPr>
        <w:t>ed</w:t>
      </w:r>
      <w:r w:rsidRPr="00971159">
        <w:rPr>
          <w:rFonts w:eastAsia="Arial Unicode MS"/>
          <w:sz w:val="24"/>
          <w:szCs w:val="24"/>
        </w:rPr>
        <w:t xml:space="preserve"> off and transfer the land into her name</w:t>
      </w:r>
      <w:r w:rsidR="000B7A70" w:rsidRPr="00971159">
        <w:rPr>
          <w:rFonts w:eastAsia="Arial Unicode MS"/>
          <w:sz w:val="24"/>
          <w:szCs w:val="24"/>
        </w:rPr>
        <w:t>s</w:t>
      </w:r>
      <w:r w:rsidRPr="00971159">
        <w:rPr>
          <w:rFonts w:eastAsia="Arial Unicode MS"/>
          <w:sz w:val="24"/>
          <w:szCs w:val="24"/>
        </w:rPr>
        <w:t>.</w:t>
      </w:r>
    </w:p>
    <w:p w:rsidR="00182FD8" w:rsidRPr="00971159" w:rsidRDefault="00182FD8" w:rsidP="00FD12F8">
      <w:pPr>
        <w:spacing w:line="360" w:lineRule="auto"/>
        <w:jc w:val="both"/>
        <w:rPr>
          <w:rFonts w:eastAsia="Arial Unicode MS"/>
          <w:sz w:val="24"/>
          <w:szCs w:val="24"/>
        </w:rPr>
      </w:pPr>
    </w:p>
    <w:p w:rsidR="00182FD8" w:rsidRPr="00971159" w:rsidRDefault="00182FD8" w:rsidP="003E4A34">
      <w:pPr>
        <w:spacing w:line="360" w:lineRule="auto"/>
        <w:ind w:left="360"/>
        <w:jc w:val="both"/>
        <w:rPr>
          <w:rFonts w:eastAsia="Arial Unicode MS"/>
          <w:sz w:val="24"/>
          <w:szCs w:val="24"/>
        </w:rPr>
      </w:pPr>
      <w:r w:rsidRPr="00971159">
        <w:rPr>
          <w:rFonts w:eastAsia="Arial Unicode MS"/>
          <w:sz w:val="24"/>
          <w:szCs w:val="24"/>
        </w:rPr>
        <w:t>Court further order</w:t>
      </w:r>
      <w:r w:rsidR="000B7A70" w:rsidRPr="00971159">
        <w:rPr>
          <w:rFonts w:eastAsia="Arial Unicode MS"/>
          <w:sz w:val="24"/>
          <w:szCs w:val="24"/>
        </w:rPr>
        <w:t>ed</w:t>
      </w:r>
      <w:r w:rsidRPr="00971159">
        <w:rPr>
          <w:rFonts w:eastAsia="Arial Unicode MS"/>
          <w:sz w:val="24"/>
          <w:szCs w:val="24"/>
        </w:rPr>
        <w:t xml:space="preserve"> that the </w:t>
      </w:r>
      <w:r w:rsidR="00171497" w:rsidRPr="00971159">
        <w:rPr>
          <w:rFonts w:eastAsia="Arial Unicode MS"/>
          <w:sz w:val="24"/>
          <w:szCs w:val="24"/>
        </w:rPr>
        <w:t>caveat</w:t>
      </w:r>
      <w:r w:rsidR="00E71216" w:rsidRPr="00971159">
        <w:rPr>
          <w:rFonts w:eastAsia="Arial Unicode MS"/>
          <w:sz w:val="24"/>
          <w:szCs w:val="24"/>
        </w:rPr>
        <w:t>s</w:t>
      </w:r>
      <w:r w:rsidR="00171497" w:rsidRPr="00971159">
        <w:rPr>
          <w:rFonts w:eastAsia="Arial Unicode MS"/>
          <w:sz w:val="24"/>
          <w:szCs w:val="24"/>
        </w:rPr>
        <w:t xml:space="preserve"> </w:t>
      </w:r>
      <w:r w:rsidRPr="00971159">
        <w:rPr>
          <w:rFonts w:eastAsia="Arial Unicode MS"/>
          <w:sz w:val="24"/>
          <w:szCs w:val="24"/>
        </w:rPr>
        <w:t xml:space="preserve">be re-instated after the respondent </w:t>
      </w:r>
      <w:r w:rsidR="003E4A34" w:rsidRPr="00971159">
        <w:rPr>
          <w:rFonts w:eastAsia="Arial Unicode MS"/>
          <w:sz w:val="24"/>
          <w:szCs w:val="24"/>
        </w:rPr>
        <w:t xml:space="preserve">had </w:t>
      </w:r>
      <w:r w:rsidRPr="00971159">
        <w:rPr>
          <w:rFonts w:eastAsia="Arial Unicode MS"/>
          <w:sz w:val="24"/>
          <w:szCs w:val="24"/>
        </w:rPr>
        <w:t>survey</w:t>
      </w:r>
      <w:r w:rsidR="003E4A34" w:rsidRPr="00971159">
        <w:rPr>
          <w:rFonts w:eastAsia="Arial Unicode MS"/>
          <w:sz w:val="24"/>
          <w:szCs w:val="24"/>
        </w:rPr>
        <w:t>ed</w:t>
      </w:r>
      <w:r w:rsidRPr="00971159">
        <w:rPr>
          <w:rFonts w:eastAsia="Arial Unicode MS"/>
          <w:sz w:val="24"/>
          <w:szCs w:val="24"/>
        </w:rPr>
        <w:t xml:space="preserve"> off her said </w:t>
      </w:r>
      <w:r w:rsidR="00171497" w:rsidRPr="00971159">
        <w:rPr>
          <w:rFonts w:eastAsia="Arial Unicode MS"/>
          <w:sz w:val="24"/>
          <w:szCs w:val="24"/>
        </w:rPr>
        <w:t>portion of</w:t>
      </w:r>
      <w:r w:rsidRPr="00971159">
        <w:rPr>
          <w:rFonts w:eastAsia="Arial Unicode MS"/>
          <w:sz w:val="24"/>
          <w:szCs w:val="24"/>
        </w:rPr>
        <w:t xml:space="preserve"> </w:t>
      </w:r>
      <w:r w:rsidR="000B7A70" w:rsidRPr="00971159">
        <w:rPr>
          <w:rFonts w:eastAsia="Arial Unicode MS"/>
          <w:sz w:val="24"/>
          <w:szCs w:val="24"/>
        </w:rPr>
        <w:t xml:space="preserve">the suit </w:t>
      </w:r>
      <w:r w:rsidRPr="00971159">
        <w:rPr>
          <w:rFonts w:eastAsia="Arial Unicode MS"/>
          <w:sz w:val="24"/>
          <w:szCs w:val="24"/>
        </w:rPr>
        <w:t>land so as to protect the applicant’s interest in the residue plots.</w:t>
      </w:r>
    </w:p>
    <w:p w:rsidR="00182FD8" w:rsidRPr="00971159" w:rsidRDefault="00182FD8" w:rsidP="00FD12F8">
      <w:pPr>
        <w:spacing w:line="360" w:lineRule="auto"/>
        <w:jc w:val="both"/>
        <w:rPr>
          <w:rFonts w:eastAsia="Arial Unicode MS"/>
          <w:sz w:val="24"/>
          <w:szCs w:val="24"/>
        </w:rPr>
      </w:pPr>
    </w:p>
    <w:p w:rsidR="00182FD8" w:rsidRPr="00971159" w:rsidRDefault="00182FD8" w:rsidP="003E4A34">
      <w:pPr>
        <w:spacing w:line="360" w:lineRule="auto"/>
        <w:ind w:left="360"/>
        <w:jc w:val="both"/>
        <w:rPr>
          <w:rFonts w:eastAsia="Arial Unicode MS"/>
          <w:sz w:val="24"/>
          <w:szCs w:val="24"/>
        </w:rPr>
      </w:pPr>
      <w:r w:rsidRPr="00971159">
        <w:rPr>
          <w:rFonts w:eastAsia="Arial Unicode MS"/>
          <w:sz w:val="24"/>
          <w:szCs w:val="24"/>
        </w:rPr>
        <w:t>Accordingly, the respondent surveyed off her land in accordance with the decree of the Court and the caveats were re-instated on the residue plots namely plots 3608 and 3603 which are for the applicant.</w:t>
      </w:r>
    </w:p>
    <w:p w:rsidR="00182FD8" w:rsidRPr="00971159" w:rsidRDefault="00182FD8" w:rsidP="00FD12F8">
      <w:pPr>
        <w:spacing w:line="360" w:lineRule="auto"/>
        <w:jc w:val="both"/>
        <w:rPr>
          <w:rFonts w:eastAsia="Arial Unicode MS"/>
          <w:sz w:val="24"/>
          <w:szCs w:val="24"/>
        </w:rPr>
      </w:pPr>
    </w:p>
    <w:p w:rsidR="00182FD8" w:rsidRPr="00971159" w:rsidRDefault="00182FD8" w:rsidP="003E4A34">
      <w:pPr>
        <w:spacing w:line="360" w:lineRule="auto"/>
        <w:ind w:left="360"/>
        <w:jc w:val="both"/>
        <w:rPr>
          <w:rFonts w:eastAsia="Arial Unicode MS"/>
          <w:sz w:val="24"/>
          <w:szCs w:val="24"/>
        </w:rPr>
      </w:pPr>
      <w:r w:rsidRPr="00971159">
        <w:rPr>
          <w:rFonts w:eastAsia="Arial Unicode MS"/>
          <w:sz w:val="24"/>
          <w:szCs w:val="24"/>
        </w:rPr>
        <w:t>The applicant further deponed in her affidavit that her ad</w:t>
      </w:r>
      <w:r w:rsidR="000B7A70" w:rsidRPr="00971159">
        <w:rPr>
          <w:rFonts w:eastAsia="Arial Unicode MS"/>
          <w:sz w:val="24"/>
          <w:szCs w:val="24"/>
        </w:rPr>
        <w:t>dres</w:t>
      </w:r>
      <w:r w:rsidRPr="00971159">
        <w:rPr>
          <w:rFonts w:eastAsia="Arial Unicode MS"/>
          <w:sz w:val="24"/>
          <w:szCs w:val="24"/>
        </w:rPr>
        <w:t>s of serv</w:t>
      </w:r>
      <w:r w:rsidR="000B7A70" w:rsidRPr="00971159">
        <w:rPr>
          <w:rFonts w:eastAsia="Arial Unicode MS"/>
          <w:sz w:val="24"/>
          <w:szCs w:val="24"/>
        </w:rPr>
        <w:t>ice</w:t>
      </w:r>
      <w:r w:rsidRPr="00971159">
        <w:rPr>
          <w:rFonts w:eastAsia="Arial Unicode MS"/>
          <w:sz w:val="24"/>
          <w:szCs w:val="24"/>
        </w:rPr>
        <w:t xml:space="preserve"> on the caveat were M/s </w:t>
      </w:r>
      <w:r w:rsidR="000B7A70" w:rsidRPr="00971159">
        <w:rPr>
          <w:rFonts w:eastAsia="Arial Unicode MS"/>
          <w:sz w:val="24"/>
          <w:szCs w:val="24"/>
        </w:rPr>
        <w:t>Nyanzi</w:t>
      </w:r>
      <w:r w:rsidRPr="00971159">
        <w:rPr>
          <w:rFonts w:eastAsia="Arial Unicode MS"/>
          <w:sz w:val="24"/>
          <w:szCs w:val="24"/>
        </w:rPr>
        <w:t xml:space="preserve">, Kiboneka &amp; </w:t>
      </w:r>
      <w:r w:rsidR="000B7A70" w:rsidRPr="00971159">
        <w:rPr>
          <w:rFonts w:eastAsia="Arial Unicode MS"/>
          <w:sz w:val="24"/>
          <w:szCs w:val="24"/>
        </w:rPr>
        <w:t>Mbabazi</w:t>
      </w:r>
      <w:r w:rsidRPr="00971159">
        <w:rPr>
          <w:rFonts w:eastAsia="Arial Unicode MS"/>
          <w:sz w:val="24"/>
          <w:szCs w:val="24"/>
        </w:rPr>
        <w:t xml:space="preserve"> Advocates and further that she had to be served on that address instead of being serv</w:t>
      </w:r>
      <w:r w:rsidR="000B7A70" w:rsidRPr="00971159">
        <w:rPr>
          <w:rFonts w:eastAsia="Arial Unicode MS"/>
          <w:sz w:val="24"/>
          <w:szCs w:val="24"/>
        </w:rPr>
        <w:t>ed</w:t>
      </w:r>
      <w:r w:rsidRPr="00971159">
        <w:rPr>
          <w:rFonts w:eastAsia="Arial Unicode MS"/>
          <w:sz w:val="24"/>
          <w:szCs w:val="24"/>
        </w:rPr>
        <w:t xml:space="preserve"> personally.</w:t>
      </w:r>
    </w:p>
    <w:p w:rsidR="00182FD8" w:rsidRPr="00971159" w:rsidRDefault="00182FD8" w:rsidP="00FD12F8">
      <w:pPr>
        <w:spacing w:line="360" w:lineRule="auto"/>
        <w:jc w:val="both"/>
        <w:rPr>
          <w:rFonts w:eastAsia="Arial Unicode MS"/>
          <w:sz w:val="24"/>
          <w:szCs w:val="24"/>
        </w:rPr>
      </w:pPr>
    </w:p>
    <w:p w:rsidR="00182FD8" w:rsidRPr="00971159" w:rsidRDefault="00182FD8" w:rsidP="003E4A34">
      <w:pPr>
        <w:spacing w:line="360" w:lineRule="auto"/>
        <w:ind w:left="360"/>
        <w:jc w:val="both"/>
        <w:rPr>
          <w:rFonts w:eastAsia="Arial Unicode MS"/>
          <w:sz w:val="24"/>
          <w:szCs w:val="24"/>
        </w:rPr>
      </w:pPr>
      <w:r w:rsidRPr="00971159">
        <w:rPr>
          <w:rFonts w:eastAsia="Arial Unicode MS"/>
          <w:sz w:val="24"/>
          <w:szCs w:val="24"/>
        </w:rPr>
        <w:t>In paragraph 9</w:t>
      </w:r>
      <w:r w:rsidR="003E4A34" w:rsidRPr="00971159">
        <w:rPr>
          <w:rFonts w:eastAsia="Arial Unicode MS"/>
          <w:sz w:val="24"/>
          <w:szCs w:val="24"/>
        </w:rPr>
        <w:t xml:space="preserve"> of her affidavit in support </w:t>
      </w:r>
      <w:r w:rsidR="005E5830" w:rsidRPr="00971159">
        <w:rPr>
          <w:rFonts w:eastAsia="Arial Unicode MS"/>
          <w:sz w:val="24"/>
          <w:szCs w:val="24"/>
        </w:rPr>
        <w:t>of</w:t>
      </w:r>
      <w:r w:rsidR="003E4A34" w:rsidRPr="00971159">
        <w:rPr>
          <w:rFonts w:eastAsia="Arial Unicode MS"/>
          <w:sz w:val="24"/>
          <w:szCs w:val="24"/>
        </w:rPr>
        <w:t>this</w:t>
      </w:r>
      <w:r w:rsidRPr="00971159">
        <w:rPr>
          <w:rFonts w:eastAsia="Arial Unicode MS"/>
          <w:sz w:val="24"/>
          <w:szCs w:val="24"/>
        </w:rPr>
        <w:t xml:space="preserve"> applica</w:t>
      </w:r>
      <w:r w:rsidR="003E4A34" w:rsidRPr="00971159">
        <w:rPr>
          <w:rFonts w:eastAsia="Arial Unicode MS"/>
          <w:sz w:val="24"/>
          <w:szCs w:val="24"/>
        </w:rPr>
        <w:t>tion</w:t>
      </w:r>
      <w:r w:rsidR="000B7A70" w:rsidRPr="00971159">
        <w:rPr>
          <w:rFonts w:eastAsia="Arial Unicode MS"/>
          <w:sz w:val="24"/>
          <w:szCs w:val="24"/>
        </w:rPr>
        <w:t xml:space="preserve"> she</w:t>
      </w:r>
      <w:r w:rsidRPr="00971159">
        <w:rPr>
          <w:rFonts w:eastAsia="Arial Unicode MS"/>
          <w:sz w:val="24"/>
          <w:szCs w:val="24"/>
        </w:rPr>
        <w:t xml:space="preserve"> stated that the service was insufficient. The respondent filed a response in which she deponed that </w:t>
      </w:r>
      <w:r w:rsidR="000B7A70" w:rsidRPr="00971159">
        <w:rPr>
          <w:rFonts w:eastAsia="Arial Unicode MS"/>
          <w:sz w:val="24"/>
          <w:szCs w:val="24"/>
        </w:rPr>
        <w:t>the</w:t>
      </w:r>
      <w:r w:rsidRPr="00971159">
        <w:rPr>
          <w:rFonts w:eastAsia="Arial Unicode MS"/>
          <w:sz w:val="24"/>
          <w:szCs w:val="24"/>
        </w:rPr>
        <w:t xml:space="preserve"> applicant was served through one Ronald Lule as an adult member of her family when </w:t>
      </w:r>
      <w:r w:rsidR="000B7A70" w:rsidRPr="00971159">
        <w:rPr>
          <w:rFonts w:eastAsia="Arial Unicode MS"/>
          <w:sz w:val="24"/>
          <w:szCs w:val="24"/>
        </w:rPr>
        <w:t>the applicant</w:t>
      </w:r>
      <w:r w:rsidRPr="00971159">
        <w:rPr>
          <w:rFonts w:eastAsia="Arial Unicode MS"/>
          <w:sz w:val="24"/>
          <w:szCs w:val="24"/>
        </w:rPr>
        <w:t xml:space="preserve"> could not be found after several attempts. The respondent further stated that the applicant was further served with hearing notice though the advocates indicated on the caveat as the address on which notices and proceedings relating to the caveat</w:t>
      </w:r>
      <w:r w:rsidR="000B7A70" w:rsidRPr="00971159">
        <w:rPr>
          <w:rFonts w:eastAsia="Arial Unicode MS"/>
          <w:sz w:val="24"/>
          <w:szCs w:val="24"/>
        </w:rPr>
        <w:t>s</w:t>
      </w:r>
      <w:r w:rsidRPr="00971159">
        <w:rPr>
          <w:rFonts w:eastAsia="Arial Unicode MS"/>
          <w:sz w:val="24"/>
          <w:szCs w:val="24"/>
        </w:rPr>
        <w:t xml:space="preserve"> may be served </w:t>
      </w:r>
      <w:r w:rsidR="003E4A34" w:rsidRPr="00971159">
        <w:rPr>
          <w:rFonts w:eastAsia="Arial Unicode MS"/>
          <w:sz w:val="24"/>
          <w:szCs w:val="24"/>
        </w:rPr>
        <w:t xml:space="preserve">as </w:t>
      </w:r>
      <w:r w:rsidR="000B7A70" w:rsidRPr="00971159">
        <w:rPr>
          <w:rFonts w:eastAsia="Arial Unicode MS"/>
          <w:sz w:val="24"/>
          <w:szCs w:val="24"/>
        </w:rPr>
        <w:t xml:space="preserve">M/s Nyanzi, Kiboneka &amp; Mbabazi &amp; </w:t>
      </w:r>
      <w:r w:rsidRPr="00971159">
        <w:rPr>
          <w:rFonts w:eastAsia="Arial Unicode MS"/>
          <w:sz w:val="24"/>
          <w:szCs w:val="24"/>
        </w:rPr>
        <w:t>Advocates.</w:t>
      </w:r>
    </w:p>
    <w:p w:rsidR="00182FD8" w:rsidRPr="00971159" w:rsidRDefault="00182FD8" w:rsidP="00FD12F8">
      <w:pPr>
        <w:spacing w:line="360" w:lineRule="auto"/>
        <w:jc w:val="both"/>
        <w:rPr>
          <w:rFonts w:eastAsia="Arial Unicode MS"/>
          <w:sz w:val="24"/>
          <w:szCs w:val="24"/>
        </w:rPr>
      </w:pPr>
    </w:p>
    <w:p w:rsidR="00182FD8" w:rsidRPr="00971159" w:rsidRDefault="00182FD8" w:rsidP="003E4A34">
      <w:pPr>
        <w:spacing w:line="360" w:lineRule="auto"/>
        <w:ind w:left="360"/>
        <w:jc w:val="both"/>
        <w:rPr>
          <w:rFonts w:eastAsia="Arial Unicode MS"/>
          <w:sz w:val="24"/>
          <w:szCs w:val="24"/>
        </w:rPr>
      </w:pPr>
      <w:r w:rsidRPr="00971159">
        <w:rPr>
          <w:rFonts w:eastAsia="Arial Unicode MS"/>
          <w:sz w:val="24"/>
          <w:szCs w:val="24"/>
        </w:rPr>
        <w:t>The respondent further</w:t>
      </w:r>
      <w:r w:rsidR="000B7A70" w:rsidRPr="00971159">
        <w:rPr>
          <w:rFonts w:eastAsia="Arial Unicode MS"/>
          <w:sz w:val="24"/>
          <w:szCs w:val="24"/>
        </w:rPr>
        <w:t xml:space="preserve"> stated that M</w:t>
      </w:r>
      <w:r w:rsidR="003E4A34" w:rsidRPr="00971159">
        <w:rPr>
          <w:rFonts w:eastAsia="Arial Unicode MS"/>
          <w:sz w:val="24"/>
          <w:szCs w:val="24"/>
        </w:rPr>
        <w:t>/</w:t>
      </w:r>
      <w:r w:rsidR="000B7A70" w:rsidRPr="00971159">
        <w:rPr>
          <w:rFonts w:eastAsia="Arial Unicode MS"/>
          <w:sz w:val="24"/>
          <w:szCs w:val="24"/>
        </w:rPr>
        <w:t>s Nyanzi, Kiboneka &amp;</w:t>
      </w:r>
      <w:r w:rsidRPr="00971159">
        <w:rPr>
          <w:rFonts w:eastAsia="Arial Unicode MS"/>
          <w:sz w:val="24"/>
          <w:szCs w:val="24"/>
        </w:rPr>
        <w:t xml:space="preserve"> Mbabazi </w:t>
      </w:r>
      <w:r w:rsidR="000B7A70" w:rsidRPr="00971159">
        <w:rPr>
          <w:rFonts w:eastAsia="Arial Unicode MS"/>
          <w:sz w:val="24"/>
          <w:szCs w:val="24"/>
        </w:rPr>
        <w:t>Advocates were</w:t>
      </w:r>
      <w:r w:rsidRPr="00971159">
        <w:rPr>
          <w:rFonts w:eastAsia="Arial Unicode MS"/>
          <w:sz w:val="24"/>
          <w:szCs w:val="24"/>
        </w:rPr>
        <w:t xml:space="preserve"> served with the application by notice of motion under which the respondent first commenced the matter for removal of the caveats. M/s Nya</w:t>
      </w:r>
      <w:r w:rsidR="000B7A70" w:rsidRPr="00971159">
        <w:rPr>
          <w:rFonts w:eastAsia="Arial Unicode MS"/>
          <w:sz w:val="24"/>
          <w:szCs w:val="24"/>
        </w:rPr>
        <w:t>n</w:t>
      </w:r>
      <w:r w:rsidRPr="00971159">
        <w:rPr>
          <w:rFonts w:eastAsia="Arial Unicode MS"/>
          <w:sz w:val="24"/>
          <w:szCs w:val="24"/>
        </w:rPr>
        <w:t xml:space="preserve">zi Kiboneka &amp; Mbabazi </w:t>
      </w:r>
      <w:r w:rsidR="003E4A34" w:rsidRPr="00971159">
        <w:rPr>
          <w:rFonts w:eastAsia="Arial Unicode MS"/>
          <w:sz w:val="24"/>
          <w:szCs w:val="24"/>
        </w:rPr>
        <w:t xml:space="preserve">Advocates </w:t>
      </w:r>
      <w:r w:rsidRPr="00971159">
        <w:rPr>
          <w:rFonts w:eastAsia="Arial Unicode MS"/>
          <w:sz w:val="24"/>
          <w:szCs w:val="24"/>
        </w:rPr>
        <w:t>acce</w:t>
      </w:r>
      <w:r w:rsidR="000B7A70" w:rsidRPr="00971159">
        <w:rPr>
          <w:rFonts w:eastAsia="Arial Unicode MS"/>
          <w:sz w:val="24"/>
          <w:szCs w:val="24"/>
        </w:rPr>
        <w:t>pted</w:t>
      </w:r>
      <w:r w:rsidR="005E5830" w:rsidRPr="00971159">
        <w:rPr>
          <w:rFonts w:eastAsia="Arial Unicode MS"/>
          <w:sz w:val="24"/>
          <w:szCs w:val="24"/>
        </w:rPr>
        <w:t xml:space="preserve">, </w:t>
      </w:r>
      <w:r w:rsidR="000B7A70" w:rsidRPr="00971159">
        <w:rPr>
          <w:rFonts w:eastAsia="Arial Unicode MS"/>
          <w:sz w:val="24"/>
          <w:szCs w:val="24"/>
        </w:rPr>
        <w:t>received</w:t>
      </w:r>
      <w:r w:rsidR="003E4A34" w:rsidRPr="00971159">
        <w:rPr>
          <w:rFonts w:eastAsia="Arial Unicode MS"/>
          <w:sz w:val="24"/>
          <w:szCs w:val="24"/>
        </w:rPr>
        <w:t xml:space="preserve">, </w:t>
      </w:r>
      <w:r w:rsidR="000B7A70" w:rsidRPr="00971159">
        <w:rPr>
          <w:rFonts w:eastAsia="Arial Unicode MS"/>
          <w:sz w:val="24"/>
          <w:szCs w:val="24"/>
        </w:rPr>
        <w:t>and acknowledged C</w:t>
      </w:r>
      <w:r w:rsidRPr="00971159">
        <w:rPr>
          <w:rFonts w:eastAsia="Arial Unicode MS"/>
          <w:sz w:val="24"/>
          <w:szCs w:val="24"/>
        </w:rPr>
        <w:t xml:space="preserve">ourt </w:t>
      </w:r>
      <w:r w:rsidR="000B7A70" w:rsidRPr="00971159">
        <w:rPr>
          <w:rFonts w:eastAsia="Arial Unicode MS"/>
          <w:sz w:val="24"/>
          <w:szCs w:val="24"/>
        </w:rPr>
        <w:t>process but did not turn up in C</w:t>
      </w:r>
      <w:r w:rsidRPr="00971159">
        <w:rPr>
          <w:rFonts w:eastAsia="Arial Unicode MS"/>
          <w:sz w:val="24"/>
          <w:szCs w:val="24"/>
        </w:rPr>
        <w:t>ourt for the hearing of the suit</w:t>
      </w:r>
      <w:r w:rsidR="000B7A70" w:rsidRPr="00971159">
        <w:rPr>
          <w:rFonts w:eastAsia="Arial Unicode MS"/>
          <w:sz w:val="24"/>
          <w:szCs w:val="24"/>
        </w:rPr>
        <w:t>/application</w:t>
      </w:r>
      <w:r w:rsidRPr="00971159">
        <w:rPr>
          <w:rFonts w:eastAsia="Arial Unicode MS"/>
          <w:sz w:val="24"/>
          <w:szCs w:val="24"/>
        </w:rPr>
        <w:t>.</w:t>
      </w:r>
    </w:p>
    <w:p w:rsidR="00182FD8" w:rsidRPr="00971159" w:rsidRDefault="00182FD8" w:rsidP="00FD12F8">
      <w:pPr>
        <w:spacing w:line="360" w:lineRule="auto"/>
        <w:jc w:val="both"/>
        <w:rPr>
          <w:rFonts w:eastAsia="Arial Unicode MS"/>
          <w:sz w:val="24"/>
          <w:szCs w:val="24"/>
        </w:rPr>
      </w:pPr>
    </w:p>
    <w:p w:rsidR="00182FD8" w:rsidRPr="00971159" w:rsidRDefault="00182FD8" w:rsidP="003E4A34">
      <w:pPr>
        <w:spacing w:line="360" w:lineRule="auto"/>
        <w:ind w:left="360"/>
        <w:jc w:val="both"/>
        <w:rPr>
          <w:rFonts w:eastAsia="Arial Unicode MS"/>
          <w:sz w:val="24"/>
          <w:szCs w:val="24"/>
        </w:rPr>
      </w:pPr>
      <w:r w:rsidRPr="00971159">
        <w:rPr>
          <w:rFonts w:eastAsia="Arial Unicode MS"/>
          <w:sz w:val="24"/>
          <w:szCs w:val="24"/>
        </w:rPr>
        <w:t>In her rather lengthy affidavit in rejoinder, the applicant denies knowing Ronald Lule (despite the fact that he bears her late father’s name). She claims she has never taken up residence at her father’s home in Mbalwa and res</w:t>
      </w:r>
      <w:r w:rsidR="00781AFD" w:rsidRPr="00971159">
        <w:rPr>
          <w:rFonts w:eastAsia="Arial Unicode MS"/>
          <w:sz w:val="24"/>
          <w:szCs w:val="24"/>
        </w:rPr>
        <w:t>ides in United Kingdom and when</w:t>
      </w:r>
      <w:r w:rsidRPr="00971159">
        <w:rPr>
          <w:rFonts w:eastAsia="Arial Unicode MS"/>
          <w:sz w:val="24"/>
          <w:szCs w:val="24"/>
        </w:rPr>
        <w:t xml:space="preserve"> in Uganda she resides in Hotels</w:t>
      </w:r>
      <w:r w:rsidR="005F229A" w:rsidRPr="00971159">
        <w:rPr>
          <w:rFonts w:eastAsia="Arial Unicode MS"/>
          <w:sz w:val="24"/>
          <w:szCs w:val="24"/>
        </w:rPr>
        <w:t xml:space="preserve"> after the properties left by her deceased father </w:t>
      </w:r>
      <w:r w:rsidR="000B7A70" w:rsidRPr="00971159">
        <w:rPr>
          <w:rFonts w:eastAsia="Arial Unicode MS"/>
          <w:sz w:val="24"/>
          <w:szCs w:val="24"/>
        </w:rPr>
        <w:t xml:space="preserve">were </w:t>
      </w:r>
      <w:r w:rsidR="005F229A" w:rsidRPr="00971159">
        <w:rPr>
          <w:rFonts w:eastAsia="Arial Unicode MS"/>
          <w:sz w:val="24"/>
          <w:szCs w:val="24"/>
        </w:rPr>
        <w:t>sold off.</w:t>
      </w:r>
    </w:p>
    <w:p w:rsidR="005F229A" w:rsidRPr="00971159" w:rsidRDefault="005F229A" w:rsidP="00FD12F8">
      <w:pPr>
        <w:spacing w:line="360" w:lineRule="auto"/>
        <w:jc w:val="both"/>
        <w:rPr>
          <w:rFonts w:eastAsia="Arial Unicode MS"/>
          <w:sz w:val="24"/>
          <w:szCs w:val="24"/>
        </w:rPr>
      </w:pPr>
    </w:p>
    <w:p w:rsidR="005F229A" w:rsidRPr="00971159" w:rsidRDefault="000B7A70" w:rsidP="003E4A34">
      <w:pPr>
        <w:spacing w:line="360" w:lineRule="auto"/>
        <w:ind w:left="360"/>
        <w:jc w:val="both"/>
        <w:rPr>
          <w:rFonts w:eastAsia="Arial Unicode MS"/>
          <w:sz w:val="24"/>
          <w:szCs w:val="24"/>
        </w:rPr>
      </w:pPr>
      <w:r w:rsidRPr="00971159">
        <w:rPr>
          <w:rFonts w:eastAsia="Arial Unicode MS"/>
          <w:sz w:val="24"/>
          <w:szCs w:val="24"/>
        </w:rPr>
        <w:t>In</w:t>
      </w:r>
      <w:r w:rsidR="005F229A" w:rsidRPr="00971159">
        <w:rPr>
          <w:rFonts w:eastAsia="Arial Unicode MS"/>
          <w:sz w:val="24"/>
          <w:szCs w:val="24"/>
        </w:rPr>
        <w:t xml:space="preserve">sufficient service is a ground in support the application in the affidavit in support of the application see paragraph 9 of the affidavit. However, in the same affidavit paragraph 15 </w:t>
      </w:r>
      <w:r w:rsidRPr="00971159">
        <w:rPr>
          <w:rFonts w:eastAsia="Arial Unicode MS"/>
          <w:sz w:val="24"/>
          <w:szCs w:val="24"/>
        </w:rPr>
        <w:t>the applicant</w:t>
      </w:r>
      <w:r w:rsidR="005F229A" w:rsidRPr="00971159">
        <w:rPr>
          <w:rFonts w:eastAsia="Arial Unicode MS"/>
          <w:sz w:val="24"/>
          <w:szCs w:val="24"/>
        </w:rPr>
        <w:t xml:space="preserve"> alleges non service. In </w:t>
      </w:r>
      <w:r w:rsidRPr="00971159">
        <w:rPr>
          <w:rFonts w:eastAsia="Arial Unicode MS"/>
          <w:sz w:val="24"/>
          <w:szCs w:val="24"/>
        </w:rPr>
        <w:t>my considered</w:t>
      </w:r>
      <w:r w:rsidR="005F229A" w:rsidRPr="00971159">
        <w:rPr>
          <w:rFonts w:eastAsia="Arial Unicode MS"/>
          <w:sz w:val="24"/>
          <w:szCs w:val="24"/>
        </w:rPr>
        <w:t xml:space="preserve"> opinion the</w:t>
      </w:r>
      <w:r w:rsidRPr="00971159">
        <w:rPr>
          <w:rFonts w:eastAsia="Arial Unicode MS"/>
          <w:sz w:val="24"/>
          <w:szCs w:val="24"/>
        </w:rPr>
        <w:t>se are two different things. In</w:t>
      </w:r>
      <w:r w:rsidR="005F229A" w:rsidRPr="00971159">
        <w:rPr>
          <w:rFonts w:eastAsia="Arial Unicode MS"/>
          <w:sz w:val="24"/>
          <w:szCs w:val="24"/>
        </w:rPr>
        <w:t>sufficient service means that serve was effected</w:t>
      </w:r>
      <w:r w:rsidR="000543FD" w:rsidRPr="00971159">
        <w:rPr>
          <w:rFonts w:eastAsia="Arial Unicode MS"/>
          <w:sz w:val="24"/>
          <w:szCs w:val="24"/>
        </w:rPr>
        <w:t xml:space="preserve"> but was not effective in a way that service was not brought to her attention. N</w:t>
      </w:r>
      <w:r w:rsidRPr="00971159">
        <w:rPr>
          <w:rFonts w:eastAsia="Arial Unicode MS"/>
          <w:sz w:val="24"/>
          <w:szCs w:val="24"/>
        </w:rPr>
        <w:t>one</w:t>
      </w:r>
      <w:r w:rsidR="000543FD" w:rsidRPr="00971159">
        <w:rPr>
          <w:rFonts w:eastAsia="Arial Unicode MS"/>
          <w:sz w:val="24"/>
          <w:szCs w:val="24"/>
        </w:rPr>
        <w:t xml:space="preserve"> service means that she </w:t>
      </w:r>
      <w:r w:rsidR="00E60AD7" w:rsidRPr="00971159">
        <w:rPr>
          <w:rFonts w:eastAsia="Arial Unicode MS"/>
          <w:sz w:val="24"/>
          <w:szCs w:val="24"/>
        </w:rPr>
        <w:t>was not</w:t>
      </w:r>
      <w:r w:rsidRPr="00971159">
        <w:rPr>
          <w:rFonts w:eastAsia="Arial Unicode MS"/>
          <w:sz w:val="24"/>
          <w:szCs w:val="24"/>
        </w:rPr>
        <w:t xml:space="preserve"> served, at all.</w:t>
      </w:r>
    </w:p>
    <w:p w:rsidR="000543FD" w:rsidRPr="00971159" w:rsidRDefault="000543FD" w:rsidP="00FD12F8">
      <w:pPr>
        <w:spacing w:line="360" w:lineRule="auto"/>
        <w:jc w:val="both"/>
        <w:rPr>
          <w:rFonts w:eastAsia="Arial Unicode MS"/>
          <w:sz w:val="24"/>
          <w:szCs w:val="24"/>
        </w:rPr>
      </w:pPr>
    </w:p>
    <w:p w:rsidR="000543FD" w:rsidRPr="00971159" w:rsidRDefault="000543FD" w:rsidP="003E4A34">
      <w:pPr>
        <w:spacing w:line="360" w:lineRule="auto"/>
        <w:ind w:left="360"/>
        <w:jc w:val="both"/>
        <w:rPr>
          <w:rFonts w:eastAsia="Arial Unicode MS"/>
          <w:sz w:val="24"/>
          <w:szCs w:val="24"/>
        </w:rPr>
      </w:pPr>
      <w:r w:rsidRPr="00971159">
        <w:rPr>
          <w:rFonts w:eastAsia="Arial Unicode MS"/>
          <w:sz w:val="24"/>
          <w:szCs w:val="24"/>
        </w:rPr>
        <w:t xml:space="preserve">The applicant denies knowing Ronald Lule who was served. In paragraph 8 </w:t>
      </w:r>
      <w:r w:rsidR="000B7A70" w:rsidRPr="00971159">
        <w:rPr>
          <w:rFonts w:eastAsia="Arial Unicode MS"/>
          <w:sz w:val="24"/>
          <w:szCs w:val="24"/>
        </w:rPr>
        <w:t xml:space="preserve"> of her affidavit in support of this application </w:t>
      </w:r>
      <w:r w:rsidRPr="00971159">
        <w:rPr>
          <w:rFonts w:eastAsia="Arial Unicode MS"/>
          <w:sz w:val="24"/>
          <w:szCs w:val="24"/>
        </w:rPr>
        <w:t xml:space="preserve">she states that she was supposed to be served through Mbabazi Kiboneka &amp; Co. Advocates (she probably meant </w:t>
      </w:r>
      <w:r w:rsidR="003E4A34" w:rsidRPr="00971159">
        <w:rPr>
          <w:rFonts w:eastAsia="Arial Unicode MS"/>
          <w:sz w:val="24"/>
          <w:szCs w:val="24"/>
        </w:rPr>
        <w:t xml:space="preserve">M/s </w:t>
      </w:r>
      <w:r w:rsidRPr="00971159">
        <w:rPr>
          <w:rFonts w:eastAsia="Arial Unicode MS"/>
          <w:sz w:val="24"/>
          <w:szCs w:val="24"/>
        </w:rPr>
        <w:t xml:space="preserve">Nyanzi, </w:t>
      </w:r>
      <w:r w:rsidR="00736CD3" w:rsidRPr="00971159">
        <w:rPr>
          <w:rFonts w:eastAsia="Arial Unicode MS"/>
          <w:sz w:val="24"/>
          <w:szCs w:val="24"/>
        </w:rPr>
        <w:t>Kiboneka, Mbabazi &amp; Co. Advocates). In her affidavit in rejoinder she states that the advocates did not bring to her attention the existence of the suit.</w:t>
      </w:r>
    </w:p>
    <w:p w:rsidR="00736CD3" w:rsidRPr="00971159" w:rsidRDefault="00736CD3" w:rsidP="00FD12F8">
      <w:pPr>
        <w:spacing w:line="360" w:lineRule="auto"/>
        <w:jc w:val="both"/>
        <w:rPr>
          <w:rFonts w:eastAsia="Arial Unicode MS"/>
          <w:sz w:val="24"/>
          <w:szCs w:val="24"/>
        </w:rPr>
      </w:pPr>
    </w:p>
    <w:p w:rsidR="00736CD3" w:rsidRPr="00971159" w:rsidRDefault="000B7A70" w:rsidP="003E4A34">
      <w:pPr>
        <w:spacing w:line="360" w:lineRule="auto"/>
        <w:ind w:left="360"/>
        <w:jc w:val="both"/>
        <w:rPr>
          <w:rFonts w:eastAsia="Arial Unicode MS"/>
          <w:sz w:val="24"/>
          <w:szCs w:val="24"/>
        </w:rPr>
      </w:pPr>
      <w:r w:rsidRPr="00971159">
        <w:rPr>
          <w:rFonts w:eastAsia="Arial Unicode MS"/>
          <w:sz w:val="24"/>
          <w:szCs w:val="24"/>
        </w:rPr>
        <w:t>The applicant</w:t>
      </w:r>
      <w:r w:rsidR="00736CD3" w:rsidRPr="00971159">
        <w:rPr>
          <w:rFonts w:eastAsia="Arial Unicode MS"/>
          <w:sz w:val="24"/>
          <w:szCs w:val="24"/>
        </w:rPr>
        <w:t xml:space="preserve"> claims that she was in United Kingdom. From the practical </w:t>
      </w:r>
      <w:r w:rsidRPr="00971159">
        <w:rPr>
          <w:rFonts w:eastAsia="Arial Unicode MS"/>
          <w:sz w:val="24"/>
          <w:szCs w:val="24"/>
        </w:rPr>
        <w:t>experience it is crucial for C</w:t>
      </w:r>
      <w:r w:rsidR="001D152A" w:rsidRPr="00971159">
        <w:rPr>
          <w:rFonts w:eastAsia="Arial Unicode MS"/>
          <w:sz w:val="24"/>
          <w:szCs w:val="24"/>
        </w:rPr>
        <w:t xml:space="preserve">ourt to </w:t>
      </w:r>
      <w:r w:rsidR="005E5830" w:rsidRPr="00971159">
        <w:rPr>
          <w:rFonts w:eastAsia="Arial Unicode MS"/>
          <w:sz w:val="24"/>
          <w:szCs w:val="24"/>
        </w:rPr>
        <w:t>note and remember that</w:t>
      </w:r>
      <w:r w:rsidRPr="00971159">
        <w:rPr>
          <w:rFonts w:eastAsia="Arial Unicode MS"/>
          <w:sz w:val="24"/>
          <w:szCs w:val="24"/>
        </w:rPr>
        <w:t xml:space="preserve"> </w:t>
      </w:r>
      <w:r w:rsidR="001D152A" w:rsidRPr="00971159">
        <w:rPr>
          <w:rFonts w:eastAsia="Arial Unicode MS"/>
          <w:sz w:val="24"/>
          <w:szCs w:val="24"/>
        </w:rPr>
        <w:t xml:space="preserve">applicants in applications of this nature almost always deny service to excuse their dilatory </w:t>
      </w:r>
      <w:r w:rsidR="00E60AD7" w:rsidRPr="00971159">
        <w:rPr>
          <w:rFonts w:eastAsia="Arial Unicode MS"/>
          <w:sz w:val="24"/>
          <w:szCs w:val="24"/>
        </w:rPr>
        <w:t>conduct or</w:t>
      </w:r>
      <w:r w:rsidR="001D152A" w:rsidRPr="00971159">
        <w:rPr>
          <w:rFonts w:eastAsia="Arial Unicode MS"/>
          <w:sz w:val="24"/>
          <w:szCs w:val="24"/>
        </w:rPr>
        <w:t xml:space="preserve"> failure to act within the stipulated time to file a defence and to deny judgment creditors the fruits of their judgments. </w:t>
      </w:r>
      <w:r w:rsidR="00AB3FEF" w:rsidRPr="00971159">
        <w:rPr>
          <w:rFonts w:eastAsia="Arial Unicode MS"/>
          <w:sz w:val="24"/>
          <w:szCs w:val="24"/>
        </w:rPr>
        <w:t xml:space="preserve"> I</w:t>
      </w:r>
      <w:r w:rsidR="001D152A" w:rsidRPr="00971159">
        <w:rPr>
          <w:rFonts w:eastAsia="Arial Unicode MS"/>
          <w:sz w:val="24"/>
          <w:szCs w:val="24"/>
        </w:rPr>
        <w:t xml:space="preserve">t is important for the court to examine all the facts of the case as it related to service of the summons. Court should not just take the applicant’s words that she was not served. </w:t>
      </w:r>
      <w:r w:rsidR="00AB3FEF" w:rsidRPr="00971159">
        <w:rPr>
          <w:rFonts w:eastAsia="Arial Unicode MS"/>
          <w:sz w:val="24"/>
          <w:szCs w:val="24"/>
        </w:rPr>
        <w:t xml:space="preserve">The applicant must prove her case </w:t>
      </w:r>
      <w:r w:rsidR="003E4A34" w:rsidRPr="00971159">
        <w:rPr>
          <w:rFonts w:eastAsia="Arial Unicode MS"/>
          <w:sz w:val="24"/>
          <w:szCs w:val="24"/>
        </w:rPr>
        <w:t>on the balance of probabilities, that she was not served with the Court summons.</w:t>
      </w:r>
    </w:p>
    <w:p w:rsidR="001D152A" w:rsidRPr="00971159" w:rsidRDefault="001D152A" w:rsidP="00FD12F8">
      <w:pPr>
        <w:spacing w:line="360" w:lineRule="auto"/>
        <w:jc w:val="both"/>
        <w:rPr>
          <w:rFonts w:eastAsia="Arial Unicode MS"/>
          <w:sz w:val="24"/>
          <w:szCs w:val="24"/>
        </w:rPr>
      </w:pPr>
    </w:p>
    <w:p w:rsidR="001D152A" w:rsidRPr="00971159" w:rsidRDefault="001D152A" w:rsidP="003E4A34">
      <w:pPr>
        <w:spacing w:line="360" w:lineRule="auto"/>
        <w:ind w:left="360"/>
        <w:jc w:val="both"/>
        <w:rPr>
          <w:rFonts w:eastAsia="Arial Unicode MS"/>
          <w:sz w:val="24"/>
          <w:szCs w:val="24"/>
        </w:rPr>
      </w:pPr>
      <w:r w:rsidRPr="00971159">
        <w:rPr>
          <w:rFonts w:eastAsia="Arial Unicode MS"/>
          <w:sz w:val="24"/>
          <w:szCs w:val="24"/>
        </w:rPr>
        <w:t xml:space="preserve">Service on </w:t>
      </w:r>
      <w:r w:rsidR="003E4A34" w:rsidRPr="00971159">
        <w:rPr>
          <w:rFonts w:eastAsia="Arial Unicode MS"/>
          <w:sz w:val="24"/>
          <w:szCs w:val="24"/>
        </w:rPr>
        <w:t xml:space="preserve">an </w:t>
      </w:r>
      <w:r w:rsidRPr="00971159">
        <w:rPr>
          <w:rFonts w:eastAsia="Arial Unicode MS"/>
          <w:sz w:val="24"/>
          <w:szCs w:val="24"/>
        </w:rPr>
        <w:t>adult member of the defendant’s family is accept</w:t>
      </w:r>
      <w:r w:rsidR="00AB3FEF" w:rsidRPr="00971159">
        <w:rPr>
          <w:rFonts w:eastAsia="Arial Unicode MS"/>
          <w:sz w:val="24"/>
          <w:szCs w:val="24"/>
        </w:rPr>
        <w:t xml:space="preserve">able </w:t>
      </w:r>
      <w:r w:rsidRPr="00971159">
        <w:rPr>
          <w:rFonts w:eastAsia="Arial Unicode MS"/>
          <w:sz w:val="24"/>
          <w:szCs w:val="24"/>
        </w:rPr>
        <w:t xml:space="preserve">under </w:t>
      </w:r>
      <w:r w:rsidR="00AB3FEF" w:rsidRPr="00971159">
        <w:rPr>
          <w:rFonts w:eastAsia="Arial Unicode MS"/>
          <w:sz w:val="24"/>
          <w:szCs w:val="24"/>
        </w:rPr>
        <w:t xml:space="preserve">the </w:t>
      </w:r>
      <w:r w:rsidRPr="00971159">
        <w:rPr>
          <w:rFonts w:eastAsia="Arial Unicode MS"/>
          <w:sz w:val="24"/>
          <w:szCs w:val="24"/>
        </w:rPr>
        <w:t xml:space="preserve">provisions of Order </w:t>
      </w:r>
      <w:r w:rsidR="00AB3FEF" w:rsidRPr="00971159">
        <w:rPr>
          <w:rFonts w:eastAsia="Arial Unicode MS"/>
          <w:sz w:val="24"/>
          <w:szCs w:val="24"/>
        </w:rPr>
        <w:t>5</w:t>
      </w:r>
      <w:r w:rsidRPr="00971159">
        <w:rPr>
          <w:rFonts w:eastAsia="Arial Unicode MS"/>
          <w:sz w:val="24"/>
          <w:szCs w:val="24"/>
        </w:rPr>
        <w:t xml:space="preserve"> of Rule 13 Civil Procedure Rules</w:t>
      </w:r>
      <w:r w:rsidR="003E4A34" w:rsidRPr="00971159">
        <w:rPr>
          <w:rFonts w:eastAsia="Arial Unicode MS"/>
          <w:sz w:val="24"/>
          <w:szCs w:val="24"/>
        </w:rPr>
        <w:t>. I</w:t>
      </w:r>
      <w:r w:rsidRPr="00971159">
        <w:rPr>
          <w:rFonts w:eastAsia="Arial Unicode MS"/>
          <w:sz w:val="24"/>
          <w:szCs w:val="24"/>
        </w:rPr>
        <w:t xml:space="preserve">t is not correct for Counsel for </w:t>
      </w:r>
      <w:r w:rsidR="00171497" w:rsidRPr="00971159">
        <w:rPr>
          <w:rFonts w:eastAsia="Arial Unicode MS"/>
          <w:sz w:val="24"/>
          <w:szCs w:val="24"/>
        </w:rPr>
        <w:t>the applicant</w:t>
      </w:r>
      <w:r w:rsidRPr="00971159">
        <w:rPr>
          <w:rFonts w:eastAsia="Arial Unicode MS"/>
          <w:sz w:val="24"/>
          <w:szCs w:val="24"/>
        </w:rPr>
        <w:t xml:space="preserve"> to state that since Lule was not the applicant’s agent therein service was defective.</w:t>
      </w:r>
    </w:p>
    <w:p w:rsidR="001D152A" w:rsidRPr="00971159" w:rsidRDefault="001D152A" w:rsidP="00FD12F8">
      <w:pPr>
        <w:spacing w:line="360" w:lineRule="auto"/>
        <w:jc w:val="both"/>
        <w:rPr>
          <w:rFonts w:eastAsia="Arial Unicode MS"/>
          <w:sz w:val="24"/>
          <w:szCs w:val="24"/>
        </w:rPr>
      </w:pPr>
    </w:p>
    <w:p w:rsidR="001D152A" w:rsidRPr="00971159" w:rsidRDefault="001D152A" w:rsidP="003E4A34">
      <w:pPr>
        <w:spacing w:line="360" w:lineRule="auto"/>
        <w:ind w:left="360"/>
        <w:jc w:val="both"/>
        <w:rPr>
          <w:rFonts w:eastAsia="Arial Unicode MS"/>
          <w:sz w:val="24"/>
          <w:szCs w:val="24"/>
        </w:rPr>
      </w:pPr>
      <w:r w:rsidRPr="00971159">
        <w:rPr>
          <w:rFonts w:eastAsia="Arial Unicode MS"/>
          <w:sz w:val="24"/>
          <w:szCs w:val="24"/>
        </w:rPr>
        <w:t>Court should also cons</w:t>
      </w:r>
      <w:r w:rsidR="003E4A34" w:rsidRPr="00971159">
        <w:rPr>
          <w:rFonts w:eastAsia="Arial Unicode MS"/>
          <w:sz w:val="24"/>
          <w:szCs w:val="24"/>
        </w:rPr>
        <w:t>ider the effort the respondent</w:t>
      </w:r>
      <w:r w:rsidRPr="00971159">
        <w:rPr>
          <w:rFonts w:eastAsia="Arial Unicode MS"/>
          <w:sz w:val="24"/>
          <w:szCs w:val="24"/>
        </w:rPr>
        <w:t xml:space="preserve"> took to serve the applicant in the matte</w:t>
      </w:r>
      <w:r w:rsidR="00AB3FEF" w:rsidRPr="00971159">
        <w:rPr>
          <w:rFonts w:eastAsia="Arial Unicode MS"/>
          <w:sz w:val="24"/>
          <w:szCs w:val="24"/>
        </w:rPr>
        <w:t>r relating to the suit caveats:-</w:t>
      </w:r>
    </w:p>
    <w:p w:rsidR="001D152A" w:rsidRPr="00971159" w:rsidRDefault="001D152A" w:rsidP="00FD12F8">
      <w:pPr>
        <w:spacing w:line="360" w:lineRule="auto"/>
        <w:jc w:val="both"/>
        <w:rPr>
          <w:rFonts w:eastAsia="Arial Unicode MS"/>
          <w:sz w:val="24"/>
          <w:szCs w:val="24"/>
        </w:rPr>
      </w:pPr>
    </w:p>
    <w:p w:rsidR="001D152A" w:rsidRPr="00971159" w:rsidRDefault="001D152A" w:rsidP="003E4A34">
      <w:pPr>
        <w:spacing w:line="360" w:lineRule="auto"/>
        <w:ind w:left="360"/>
        <w:jc w:val="both"/>
        <w:rPr>
          <w:rFonts w:eastAsia="Arial Unicode MS"/>
          <w:sz w:val="24"/>
          <w:szCs w:val="24"/>
        </w:rPr>
      </w:pPr>
      <w:r w:rsidRPr="00971159">
        <w:rPr>
          <w:rFonts w:eastAsia="Arial Unicode MS"/>
          <w:sz w:val="24"/>
          <w:szCs w:val="24"/>
        </w:rPr>
        <w:t xml:space="preserve">The respondent first commenced the matter for removal of caveats by </w:t>
      </w:r>
      <w:r w:rsidR="00AB3FEF" w:rsidRPr="00971159">
        <w:rPr>
          <w:rFonts w:eastAsia="Arial Unicode MS"/>
          <w:sz w:val="24"/>
          <w:szCs w:val="24"/>
        </w:rPr>
        <w:t xml:space="preserve">an </w:t>
      </w:r>
      <w:r w:rsidRPr="00971159">
        <w:rPr>
          <w:rFonts w:eastAsia="Arial Unicode MS"/>
          <w:sz w:val="24"/>
          <w:szCs w:val="24"/>
        </w:rPr>
        <w:t>application under the provisions of the Registration of Titles Act. The caveats indicated the place of service of all notices and proceedings relating to the caveats as M</w:t>
      </w:r>
      <w:r w:rsidR="003E4A34" w:rsidRPr="00971159">
        <w:rPr>
          <w:rFonts w:eastAsia="Arial Unicode MS"/>
          <w:sz w:val="24"/>
          <w:szCs w:val="24"/>
        </w:rPr>
        <w:t>/</w:t>
      </w:r>
      <w:r w:rsidRPr="00971159">
        <w:rPr>
          <w:rFonts w:eastAsia="Arial Unicode MS"/>
          <w:sz w:val="24"/>
          <w:szCs w:val="24"/>
        </w:rPr>
        <w:t>s Nyanzi</w:t>
      </w:r>
      <w:r w:rsidR="00AB3FEF" w:rsidRPr="00971159">
        <w:rPr>
          <w:rFonts w:eastAsia="Arial Unicode MS"/>
          <w:sz w:val="24"/>
          <w:szCs w:val="24"/>
        </w:rPr>
        <w:t>,</w:t>
      </w:r>
      <w:r w:rsidRPr="00971159">
        <w:rPr>
          <w:rFonts w:eastAsia="Arial Unicode MS"/>
          <w:sz w:val="24"/>
          <w:szCs w:val="24"/>
        </w:rPr>
        <w:t xml:space="preserve"> </w:t>
      </w:r>
      <w:r w:rsidR="00315796" w:rsidRPr="00971159">
        <w:rPr>
          <w:rFonts w:eastAsia="Arial Unicode MS"/>
          <w:sz w:val="24"/>
          <w:szCs w:val="24"/>
        </w:rPr>
        <w:t xml:space="preserve">Kiboneka &amp; Mbabazi Advocates. The respondent effected service of the notice of Motion on the said advocates and they accepted service by stamping and signing a copy of the same but did not file a reply to it and </w:t>
      </w:r>
      <w:r w:rsidR="00E60AD7" w:rsidRPr="00971159">
        <w:rPr>
          <w:rFonts w:eastAsia="Arial Unicode MS"/>
          <w:sz w:val="24"/>
          <w:szCs w:val="24"/>
        </w:rPr>
        <w:t>neither did</w:t>
      </w:r>
      <w:r w:rsidR="00315796" w:rsidRPr="00971159">
        <w:rPr>
          <w:rFonts w:eastAsia="Arial Unicode MS"/>
          <w:sz w:val="24"/>
          <w:szCs w:val="24"/>
        </w:rPr>
        <w:t xml:space="preserve"> they turn in Court. See annexture “A” to the affidavit in reply. The </w:t>
      </w:r>
      <w:r w:rsidR="00E60AD7" w:rsidRPr="00971159">
        <w:rPr>
          <w:rFonts w:eastAsia="Arial Unicode MS"/>
          <w:sz w:val="24"/>
          <w:szCs w:val="24"/>
        </w:rPr>
        <w:t>same advocates</w:t>
      </w:r>
      <w:r w:rsidR="00315796" w:rsidRPr="00971159">
        <w:rPr>
          <w:rFonts w:eastAsia="Arial Unicode MS"/>
          <w:sz w:val="24"/>
          <w:szCs w:val="24"/>
        </w:rPr>
        <w:t xml:space="preserve"> were further served with a hearing notice for hearing of the application but again neither  they nor the applicant turned up in Court for the hearing. See annexture “B” to the affidavit in reply.</w:t>
      </w:r>
    </w:p>
    <w:p w:rsidR="00315796" w:rsidRPr="00971159" w:rsidRDefault="00315796" w:rsidP="00FD12F8">
      <w:pPr>
        <w:spacing w:line="360" w:lineRule="auto"/>
        <w:jc w:val="both"/>
        <w:rPr>
          <w:rFonts w:eastAsia="Arial Unicode MS"/>
          <w:sz w:val="24"/>
          <w:szCs w:val="24"/>
        </w:rPr>
      </w:pPr>
    </w:p>
    <w:p w:rsidR="00315796" w:rsidRPr="00971159" w:rsidRDefault="00315796" w:rsidP="003E4A34">
      <w:pPr>
        <w:spacing w:line="360" w:lineRule="auto"/>
        <w:ind w:left="360"/>
        <w:jc w:val="both"/>
        <w:rPr>
          <w:rFonts w:eastAsia="Arial Unicode MS"/>
          <w:sz w:val="24"/>
          <w:szCs w:val="24"/>
        </w:rPr>
      </w:pPr>
      <w:r w:rsidRPr="00971159">
        <w:rPr>
          <w:rFonts w:eastAsia="Arial Unicode MS"/>
          <w:sz w:val="24"/>
          <w:szCs w:val="24"/>
        </w:rPr>
        <w:t xml:space="preserve">The letter written on the applicant’s behalf by the </w:t>
      </w:r>
      <w:r w:rsidR="00AB3FEF" w:rsidRPr="00971159">
        <w:rPr>
          <w:rFonts w:eastAsia="Arial Unicode MS"/>
          <w:sz w:val="24"/>
          <w:szCs w:val="24"/>
        </w:rPr>
        <w:t xml:space="preserve">then </w:t>
      </w:r>
      <w:r w:rsidR="003E4A34" w:rsidRPr="00971159">
        <w:rPr>
          <w:rFonts w:eastAsia="Arial Unicode MS"/>
          <w:sz w:val="24"/>
          <w:szCs w:val="24"/>
        </w:rPr>
        <w:t>applicant’s advocates</w:t>
      </w:r>
      <w:r w:rsidRPr="00971159">
        <w:rPr>
          <w:rFonts w:eastAsia="Arial Unicode MS"/>
          <w:sz w:val="24"/>
          <w:szCs w:val="24"/>
        </w:rPr>
        <w:t xml:space="preserve"> is dated February, 2009. It does not state that the applicant’s residence is </w:t>
      </w:r>
      <w:r w:rsidR="00AB3FEF" w:rsidRPr="00971159">
        <w:rPr>
          <w:rFonts w:eastAsia="Arial Unicode MS"/>
          <w:sz w:val="24"/>
          <w:szCs w:val="24"/>
        </w:rPr>
        <w:t xml:space="preserve">in </w:t>
      </w:r>
      <w:r w:rsidRPr="00971159">
        <w:rPr>
          <w:rFonts w:eastAsia="Arial Unicode MS"/>
          <w:sz w:val="24"/>
          <w:szCs w:val="24"/>
        </w:rPr>
        <w:t>United Kingdom</w:t>
      </w:r>
      <w:r w:rsidR="00AB3FEF" w:rsidRPr="00971159">
        <w:rPr>
          <w:rFonts w:eastAsia="Arial Unicode MS"/>
          <w:sz w:val="24"/>
          <w:szCs w:val="24"/>
        </w:rPr>
        <w:t>. I</w:t>
      </w:r>
      <w:r w:rsidRPr="00971159">
        <w:rPr>
          <w:rFonts w:eastAsia="Arial Unicode MS"/>
          <w:sz w:val="24"/>
          <w:szCs w:val="24"/>
        </w:rPr>
        <w:t xml:space="preserve">n fact the implication therein is that the applicant is resident in Uganda. The applicant has also </w:t>
      </w:r>
      <w:r w:rsidR="00E60AD7" w:rsidRPr="00971159">
        <w:rPr>
          <w:rFonts w:eastAsia="Arial Unicode MS"/>
          <w:sz w:val="24"/>
          <w:szCs w:val="24"/>
        </w:rPr>
        <w:t>complained that</w:t>
      </w:r>
      <w:r w:rsidRPr="00971159">
        <w:rPr>
          <w:rFonts w:eastAsia="Arial Unicode MS"/>
          <w:sz w:val="24"/>
          <w:szCs w:val="24"/>
        </w:rPr>
        <w:t xml:space="preserve"> the affidavit of the process server does not state that it is the respondent who identified Ronald Lule and the affidavit does not name the person who witnessed the service of the summons.</w:t>
      </w:r>
    </w:p>
    <w:p w:rsidR="00315796" w:rsidRPr="00971159" w:rsidRDefault="00315796" w:rsidP="00FD12F8">
      <w:pPr>
        <w:spacing w:line="360" w:lineRule="auto"/>
        <w:jc w:val="both"/>
        <w:rPr>
          <w:rFonts w:eastAsia="Arial Unicode MS"/>
          <w:sz w:val="24"/>
          <w:szCs w:val="24"/>
        </w:rPr>
      </w:pPr>
    </w:p>
    <w:p w:rsidR="00315796" w:rsidRPr="00971159" w:rsidRDefault="00315796" w:rsidP="003E4A34">
      <w:pPr>
        <w:spacing w:line="360" w:lineRule="auto"/>
        <w:ind w:left="360"/>
        <w:jc w:val="both"/>
        <w:rPr>
          <w:rFonts w:eastAsia="Arial Unicode MS"/>
          <w:sz w:val="24"/>
          <w:szCs w:val="24"/>
        </w:rPr>
      </w:pPr>
      <w:r w:rsidRPr="00971159">
        <w:rPr>
          <w:rFonts w:eastAsia="Arial Unicode MS"/>
          <w:sz w:val="24"/>
          <w:szCs w:val="24"/>
        </w:rPr>
        <w:t>This complaint</w:t>
      </w:r>
      <w:r w:rsidR="00AB3FEF" w:rsidRPr="00971159">
        <w:rPr>
          <w:rFonts w:eastAsia="Arial Unicode MS"/>
          <w:sz w:val="24"/>
          <w:szCs w:val="24"/>
        </w:rPr>
        <w:t xml:space="preserve"> in my view is</w:t>
      </w:r>
      <w:r w:rsidRPr="00971159">
        <w:rPr>
          <w:rFonts w:eastAsia="Arial Unicode MS"/>
          <w:sz w:val="24"/>
          <w:szCs w:val="24"/>
        </w:rPr>
        <w:t xml:space="preserve"> not justified. It is clear from the affidavit of service that Ronald Lule was known to the respondent and the respondent accompanied the process server on all the occasions he went to the applicant’s home and was present at the time of service. It is </w:t>
      </w:r>
      <w:r w:rsidR="00AB3FEF" w:rsidRPr="00971159">
        <w:rPr>
          <w:rFonts w:eastAsia="Arial Unicode MS"/>
          <w:sz w:val="24"/>
          <w:szCs w:val="24"/>
        </w:rPr>
        <w:t>the respondent who</w:t>
      </w:r>
      <w:r w:rsidRPr="00971159">
        <w:rPr>
          <w:rFonts w:eastAsia="Arial Unicode MS"/>
          <w:sz w:val="24"/>
          <w:szCs w:val="24"/>
        </w:rPr>
        <w:t xml:space="preserve"> </w:t>
      </w:r>
      <w:r w:rsidR="00E60AD7" w:rsidRPr="00971159">
        <w:rPr>
          <w:rFonts w:eastAsia="Arial Unicode MS"/>
          <w:sz w:val="24"/>
          <w:szCs w:val="24"/>
        </w:rPr>
        <w:t xml:space="preserve">identified </w:t>
      </w:r>
      <w:r w:rsidRPr="00971159">
        <w:rPr>
          <w:rFonts w:eastAsia="Arial Unicode MS"/>
          <w:sz w:val="24"/>
          <w:szCs w:val="24"/>
        </w:rPr>
        <w:t>Ronald Lule</w:t>
      </w:r>
      <w:r w:rsidR="00AB3FEF" w:rsidRPr="00971159">
        <w:rPr>
          <w:rFonts w:eastAsia="Arial Unicode MS"/>
          <w:sz w:val="24"/>
          <w:szCs w:val="24"/>
        </w:rPr>
        <w:t>. A</w:t>
      </w:r>
      <w:r w:rsidRPr="00971159">
        <w:rPr>
          <w:rFonts w:eastAsia="Arial Unicode MS"/>
          <w:sz w:val="24"/>
          <w:szCs w:val="24"/>
        </w:rPr>
        <w:t xml:space="preserve">nd it is </w:t>
      </w:r>
      <w:r w:rsidR="00AB3FEF" w:rsidRPr="00971159">
        <w:rPr>
          <w:rFonts w:eastAsia="Arial Unicode MS"/>
          <w:sz w:val="24"/>
          <w:szCs w:val="24"/>
        </w:rPr>
        <w:t>the respondent who witnessed the service of the summons together with the plaint on to Ronald Lule.</w:t>
      </w:r>
    </w:p>
    <w:p w:rsidR="00315796" w:rsidRPr="00971159" w:rsidRDefault="00315796" w:rsidP="00FD12F8">
      <w:pPr>
        <w:spacing w:line="360" w:lineRule="auto"/>
        <w:jc w:val="both"/>
        <w:rPr>
          <w:rFonts w:eastAsia="Arial Unicode MS"/>
          <w:sz w:val="24"/>
          <w:szCs w:val="24"/>
        </w:rPr>
      </w:pPr>
    </w:p>
    <w:p w:rsidR="00AB3FEF" w:rsidRPr="00971159" w:rsidRDefault="00315796" w:rsidP="0025152D">
      <w:pPr>
        <w:spacing w:line="360" w:lineRule="auto"/>
        <w:ind w:left="360"/>
        <w:jc w:val="both"/>
        <w:rPr>
          <w:rFonts w:eastAsia="Arial Unicode MS"/>
          <w:sz w:val="24"/>
          <w:szCs w:val="24"/>
        </w:rPr>
      </w:pPr>
      <w:r w:rsidRPr="00971159">
        <w:rPr>
          <w:rFonts w:eastAsia="Arial Unicode MS"/>
          <w:sz w:val="24"/>
          <w:szCs w:val="24"/>
        </w:rPr>
        <w:t>Another complain</w:t>
      </w:r>
      <w:r w:rsidR="00AB3FEF" w:rsidRPr="00971159">
        <w:rPr>
          <w:rFonts w:eastAsia="Arial Unicode MS"/>
          <w:sz w:val="24"/>
          <w:szCs w:val="24"/>
        </w:rPr>
        <w:t>t</w:t>
      </w:r>
      <w:r w:rsidRPr="00971159">
        <w:rPr>
          <w:rFonts w:eastAsia="Arial Unicode MS"/>
          <w:sz w:val="24"/>
          <w:szCs w:val="24"/>
        </w:rPr>
        <w:t xml:space="preserve"> by the applicant is that the affidavit of the process server is riddled with contradictions. However she does not name these contradictions save one minor one to the effect that </w:t>
      </w:r>
      <w:r w:rsidR="00AB3FEF" w:rsidRPr="00971159">
        <w:rPr>
          <w:rFonts w:eastAsia="Arial Unicode MS"/>
          <w:sz w:val="24"/>
          <w:szCs w:val="24"/>
        </w:rPr>
        <w:t xml:space="preserve">Ronadl </w:t>
      </w:r>
      <w:r w:rsidRPr="00971159">
        <w:rPr>
          <w:rFonts w:eastAsia="Arial Unicode MS"/>
          <w:sz w:val="24"/>
          <w:szCs w:val="24"/>
        </w:rPr>
        <w:t xml:space="preserve">Lule received service on behalf of the Commissioner for Land registration. </w:t>
      </w:r>
    </w:p>
    <w:p w:rsidR="00AB3FEF" w:rsidRPr="00971159" w:rsidRDefault="00AB3FEF" w:rsidP="00FD12F8">
      <w:pPr>
        <w:spacing w:line="360" w:lineRule="auto"/>
        <w:jc w:val="both"/>
        <w:rPr>
          <w:rFonts w:eastAsia="Arial Unicode MS"/>
          <w:sz w:val="24"/>
          <w:szCs w:val="24"/>
        </w:rPr>
      </w:pPr>
    </w:p>
    <w:p w:rsidR="00315796" w:rsidRPr="00971159" w:rsidRDefault="00AB3FEF" w:rsidP="0025152D">
      <w:pPr>
        <w:spacing w:line="360" w:lineRule="auto"/>
        <w:ind w:left="360"/>
        <w:jc w:val="both"/>
        <w:rPr>
          <w:rFonts w:eastAsia="Arial Unicode MS"/>
          <w:sz w:val="24"/>
          <w:szCs w:val="24"/>
        </w:rPr>
      </w:pPr>
      <w:r w:rsidRPr="00971159">
        <w:rPr>
          <w:rFonts w:eastAsia="Arial Unicode MS"/>
          <w:sz w:val="24"/>
          <w:szCs w:val="24"/>
        </w:rPr>
        <w:t>Counsel for the respondent in his submissions</w:t>
      </w:r>
      <w:r w:rsidR="00315796" w:rsidRPr="00971159">
        <w:rPr>
          <w:rFonts w:eastAsia="Arial Unicode MS"/>
          <w:sz w:val="24"/>
          <w:szCs w:val="24"/>
        </w:rPr>
        <w:t xml:space="preserve"> conceded that paragraph 16 of the affidavit in support which relates to service on the Commissioner for Land Registration contains the name Lule but</w:t>
      </w:r>
      <w:r w:rsidRPr="00971159">
        <w:rPr>
          <w:rFonts w:eastAsia="Arial Unicode MS"/>
          <w:sz w:val="24"/>
          <w:szCs w:val="24"/>
        </w:rPr>
        <w:t xml:space="preserve"> that</w:t>
      </w:r>
      <w:r w:rsidR="00315796" w:rsidRPr="00971159">
        <w:rPr>
          <w:rFonts w:eastAsia="Arial Unicode MS"/>
          <w:sz w:val="24"/>
          <w:szCs w:val="24"/>
        </w:rPr>
        <w:t xml:space="preserve"> it is clear from reading the preceding paragraphs (14 and 15) and the proceeding paragraphs (17-20) that the name inserted therein should have been Andrew the secretary o</w:t>
      </w:r>
      <w:r w:rsidR="00E60AD7" w:rsidRPr="00971159">
        <w:rPr>
          <w:rFonts w:eastAsia="Arial Unicode MS"/>
          <w:sz w:val="24"/>
          <w:szCs w:val="24"/>
        </w:rPr>
        <w:t>f the Commissioner for Land Registration who is named in all the other paragraphs.</w:t>
      </w:r>
    </w:p>
    <w:p w:rsidR="00E60AD7" w:rsidRPr="00971159" w:rsidRDefault="00E60AD7" w:rsidP="00FD12F8">
      <w:pPr>
        <w:spacing w:line="360" w:lineRule="auto"/>
        <w:jc w:val="both"/>
        <w:rPr>
          <w:rFonts w:eastAsia="Arial Unicode MS"/>
          <w:sz w:val="24"/>
          <w:szCs w:val="24"/>
        </w:rPr>
      </w:pPr>
    </w:p>
    <w:p w:rsidR="00E60AD7" w:rsidRPr="00971159" w:rsidRDefault="00E60AD7" w:rsidP="0025152D">
      <w:pPr>
        <w:spacing w:line="360" w:lineRule="auto"/>
        <w:ind w:left="360"/>
        <w:jc w:val="both"/>
        <w:rPr>
          <w:rFonts w:eastAsia="Arial Unicode MS"/>
          <w:sz w:val="24"/>
          <w:szCs w:val="24"/>
        </w:rPr>
      </w:pPr>
      <w:r w:rsidRPr="00971159">
        <w:rPr>
          <w:rFonts w:eastAsia="Arial Unicode MS"/>
          <w:sz w:val="24"/>
          <w:szCs w:val="24"/>
        </w:rPr>
        <w:t>The minor error related to the service on the Commissioner for Land Registration who is not complaining and would not complain as service was perfectly accepted and acknowledged by stamping, dating and signing the summons.</w:t>
      </w:r>
      <w:r w:rsidR="00AB3FEF" w:rsidRPr="00971159">
        <w:rPr>
          <w:rFonts w:eastAsia="Arial Unicode MS"/>
          <w:sz w:val="24"/>
          <w:szCs w:val="24"/>
        </w:rPr>
        <w:t xml:space="preserve"> In the premises, the c</w:t>
      </w:r>
      <w:r w:rsidRPr="00971159">
        <w:rPr>
          <w:rFonts w:eastAsia="Arial Unicode MS"/>
          <w:sz w:val="24"/>
          <w:szCs w:val="24"/>
        </w:rPr>
        <w:t>ourt finds that the applicant was served</w:t>
      </w:r>
      <w:r w:rsidR="00AB3FEF" w:rsidRPr="00971159">
        <w:rPr>
          <w:rFonts w:eastAsia="Arial Unicode MS"/>
          <w:sz w:val="24"/>
          <w:szCs w:val="24"/>
        </w:rPr>
        <w:t xml:space="preserve"> with </w:t>
      </w:r>
      <w:r w:rsidR="0025152D" w:rsidRPr="00971159">
        <w:rPr>
          <w:rFonts w:eastAsia="Arial Unicode MS"/>
          <w:sz w:val="24"/>
          <w:szCs w:val="24"/>
        </w:rPr>
        <w:t xml:space="preserve">the </w:t>
      </w:r>
      <w:r w:rsidR="00AB3FEF" w:rsidRPr="00971159">
        <w:rPr>
          <w:rFonts w:eastAsia="Arial Unicode MS"/>
          <w:sz w:val="24"/>
          <w:szCs w:val="24"/>
        </w:rPr>
        <w:t>court process in HCCS No. 196 of 2010 between the parties.</w:t>
      </w:r>
    </w:p>
    <w:p w:rsidR="00E60AD7" w:rsidRPr="00971159" w:rsidRDefault="00E60AD7" w:rsidP="00FD12F8">
      <w:pPr>
        <w:spacing w:line="360" w:lineRule="auto"/>
        <w:jc w:val="both"/>
        <w:rPr>
          <w:rFonts w:eastAsia="Arial Unicode MS"/>
          <w:sz w:val="24"/>
          <w:szCs w:val="24"/>
        </w:rPr>
      </w:pPr>
    </w:p>
    <w:p w:rsidR="00AB3FEF" w:rsidRPr="00971159" w:rsidRDefault="00AB3FEF" w:rsidP="0025152D">
      <w:pPr>
        <w:spacing w:line="360" w:lineRule="auto"/>
        <w:ind w:left="360"/>
        <w:jc w:val="both"/>
        <w:rPr>
          <w:rFonts w:eastAsia="Arial Unicode MS"/>
          <w:sz w:val="24"/>
          <w:szCs w:val="24"/>
        </w:rPr>
      </w:pPr>
      <w:r w:rsidRPr="00971159">
        <w:rPr>
          <w:rFonts w:eastAsia="Arial Unicode MS"/>
          <w:sz w:val="24"/>
          <w:szCs w:val="24"/>
        </w:rPr>
        <w:t xml:space="preserve">I further emphasize that </w:t>
      </w:r>
      <w:r w:rsidR="0025152D" w:rsidRPr="00971159">
        <w:rPr>
          <w:rFonts w:eastAsia="Arial Unicode MS"/>
          <w:sz w:val="24"/>
          <w:szCs w:val="24"/>
        </w:rPr>
        <w:t xml:space="preserve">the </w:t>
      </w:r>
      <w:r w:rsidR="00E60AD7" w:rsidRPr="00971159">
        <w:rPr>
          <w:rFonts w:eastAsia="Arial Unicode MS"/>
          <w:sz w:val="24"/>
          <w:szCs w:val="24"/>
        </w:rPr>
        <w:t>applicant’s interest in the land</w:t>
      </w:r>
      <w:r w:rsidRPr="00971159">
        <w:rPr>
          <w:rFonts w:eastAsia="Arial Unicode MS"/>
          <w:sz w:val="24"/>
          <w:szCs w:val="24"/>
        </w:rPr>
        <w:t xml:space="preserve"> was protected by the order of Court in my</w:t>
      </w:r>
      <w:r w:rsidR="00E60AD7" w:rsidRPr="00971159">
        <w:rPr>
          <w:rFonts w:eastAsia="Arial Unicode MS"/>
          <w:sz w:val="24"/>
          <w:szCs w:val="24"/>
        </w:rPr>
        <w:t xml:space="preserve"> judgment which required the Commissioner Land Registration to reinstate the applicant’s caveats after respondent has surveyed off her portions of </w:t>
      </w:r>
      <w:r w:rsidRPr="00971159">
        <w:rPr>
          <w:rFonts w:eastAsia="Arial Unicode MS"/>
          <w:sz w:val="24"/>
          <w:szCs w:val="24"/>
        </w:rPr>
        <w:t xml:space="preserve">the </w:t>
      </w:r>
      <w:r w:rsidR="00E60AD7" w:rsidRPr="00971159">
        <w:rPr>
          <w:rFonts w:eastAsia="Arial Unicode MS"/>
          <w:sz w:val="24"/>
          <w:szCs w:val="24"/>
        </w:rPr>
        <w:t>land and transferred them into her names.</w:t>
      </w:r>
    </w:p>
    <w:p w:rsidR="00E60AD7" w:rsidRPr="00971159" w:rsidRDefault="00E60AD7" w:rsidP="00FD12F8">
      <w:pPr>
        <w:spacing w:line="360" w:lineRule="auto"/>
        <w:jc w:val="both"/>
        <w:rPr>
          <w:rFonts w:eastAsia="Arial Unicode MS"/>
          <w:sz w:val="24"/>
          <w:szCs w:val="24"/>
        </w:rPr>
      </w:pPr>
    </w:p>
    <w:p w:rsidR="00BF3163" w:rsidRPr="00971159" w:rsidRDefault="00E60AD7" w:rsidP="00E60AD7">
      <w:pPr>
        <w:pStyle w:val="ListParagraph"/>
        <w:numPr>
          <w:ilvl w:val="0"/>
          <w:numId w:val="6"/>
        </w:numPr>
        <w:spacing w:line="360" w:lineRule="auto"/>
        <w:jc w:val="center"/>
        <w:rPr>
          <w:rFonts w:eastAsia="Arial Unicode MS"/>
          <w:b/>
          <w:sz w:val="24"/>
          <w:szCs w:val="24"/>
        </w:rPr>
      </w:pPr>
      <w:r w:rsidRPr="00971159">
        <w:rPr>
          <w:rFonts w:eastAsia="Arial Unicode MS"/>
          <w:b/>
          <w:sz w:val="24"/>
          <w:szCs w:val="24"/>
        </w:rPr>
        <w:t>Conclusion</w:t>
      </w:r>
    </w:p>
    <w:p w:rsidR="00E60AD7" w:rsidRPr="00971159" w:rsidRDefault="00E60AD7" w:rsidP="00AB3FEF">
      <w:pPr>
        <w:pStyle w:val="ListParagraph"/>
        <w:tabs>
          <w:tab w:val="left" w:pos="284"/>
        </w:tabs>
        <w:spacing w:line="360" w:lineRule="auto"/>
        <w:jc w:val="both"/>
        <w:rPr>
          <w:rFonts w:eastAsia="Arial Unicode MS"/>
          <w:sz w:val="24"/>
          <w:szCs w:val="24"/>
        </w:rPr>
      </w:pPr>
    </w:p>
    <w:p w:rsidR="00AB3FEF" w:rsidRPr="00971159" w:rsidRDefault="00AB3FEF" w:rsidP="00AB3FEF">
      <w:pPr>
        <w:pStyle w:val="ListParagraph"/>
        <w:numPr>
          <w:ilvl w:val="1"/>
          <w:numId w:val="6"/>
        </w:numPr>
        <w:tabs>
          <w:tab w:val="left" w:pos="284"/>
        </w:tabs>
        <w:spacing w:line="360" w:lineRule="auto"/>
        <w:ind w:left="284" w:hanging="710"/>
        <w:jc w:val="both"/>
        <w:rPr>
          <w:rFonts w:eastAsia="Arial Unicode MS"/>
          <w:sz w:val="24"/>
          <w:szCs w:val="24"/>
        </w:rPr>
      </w:pPr>
      <w:r w:rsidRPr="00971159">
        <w:rPr>
          <w:rFonts w:eastAsia="Arial Unicode MS"/>
          <w:sz w:val="24"/>
          <w:szCs w:val="24"/>
        </w:rPr>
        <w:t xml:space="preserve">I have evaluated the affidavit evidence by the parties and on the facts </w:t>
      </w:r>
      <w:r w:rsidR="0025152D" w:rsidRPr="00971159">
        <w:rPr>
          <w:rFonts w:eastAsia="Arial Unicode MS"/>
          <w:sz w:val="24"/>
          <w:szCs w:val="24"/>
        </w:rPr>
        <w:t xml:space="preserve">of </w:t>
      </w:r>
      <w:r w:rsidRPr="00971159">
        <w:rPr>
          <w:rFonts w:eastAsia="Arial Unicode MS"/>
          <w:sz w:val="24"/>
          <w:szCs w:val="24"/>
        </w:rPr>
        <w:t>this case this is not a case in which C</w:t>
      </w:r>
      <w:r w:rsidR="00E60AD7" w:rsidRPr="00971159">
        <w:rPr>
          <w:rFonts w:eastAsia="Arial Unicode MS"/>
          <w:sz w:val="24"/>
          <w:szCs w:val="24"/>
        </w:rPr>
        <w:t>ourt should exercise its discretion by setting aside it</w:t>
      </w:r>
      <w:r w:rsidR="0025152D" w:rsidRPr="00971159">
        <w:rPr>
          <w:rFonts w:eastAsia="Arial Unicode MS"/>
          <w:sz w:val="24"/>
          <w:szCs w:val="24"/>
        </w:rPr>
        <w:t>s</w:t>
      </w:r>
      <w:r w:rsidR="00E60AD7" w:rsidRPr="00971159">
        <w:rPr>
          <w:rFonts w:eastAsia="Arial Unicode MS"/>
          <w:sz w:val="24"/>
          <w:szCs w:val="24"/>
        </w:rPr>
        <w:t xml:space="preserve"> judgment and decree. The applicant wants to defend a suit for r</w:t>
      </w:r>
      <w:r w:rsidRPr="00971159">
        <w:rPr>
          <w:rFonts w:eastAsia="Arial Unicode MS"/>
          <w:sz w:val="24"/>
          <w:szCs w:val="24"/>
        </w:rPr>
        <w:t xml:space="preserve">emoval of caveats which caveats were </w:t>
      </w:r>
      <w:r w:rsidR="00E60AD7" w:rsidRPr="00971159">
        <w:rPr>
          <w:rFonts w:eastAsia="Arial Unicode MS"/>
          <w:sz w:val="24"/>
          <w:szCs w:val="24"/>
        </w:rPr>
        <w:t xml:space="preserve">reinstated on the applicant’s residue portions of </w:t>
      </w:r>
      <w:r w:rsidRPr="00971159">
        <w:rPr>
          <w:rFonts w:eastAsia="Arial Unicode MS"/>
          <w:sz w:val="24"/>
          <w:szCs w:val="24"/>
        </w:rPr>
        <w:t xml:space="preserve">the </w:t>
      </w:r>
      <w:r w:rsidR="00E60AD7" w:rsidRPr="00971159">
        <w:rPr>
          <w:rFonts w:eastAsia="Arial Unicode MS"/>
          <w:sz w:val="24"/>
          <w:szCs w:val="24"/>
        </w:rPr>
        <w:t xml:space="preserve">land. </w:t>
      </w:r>
    </w:p>
    <w:p w:rsidR="00AB3FEF" w:rsidRPr="00971159" w:rsidRDefault="00AB3FEF" w:rsidP="00AB3FEF">
      <w:pPr>
        <w:pStyle w:val="ListParagraph"/>
        <w:tabs>
          <w:tab w:val="left" w:pos="284"/>
        </w:tabs>
        <w:spacing w:line="360" w:lineRule="auto"/>
        <w:ind w:left="1080"/>
        <w:jc w:val="both"/>
        <w:rPr>
          <w:rFonts w:eastAsia="Arial Unicode MS"/>
          <w:sz w:val="24"/>
          <w:szCs w:val="24"/>
        </w:rPr>
      </w:pPr>
    </w:p>
    <w:p w:rsidR="00E60AD7" w:rsidRPr="00971159" w:rsidRDefault="00E60AD7" w:rsidP="00AB3FEF">
      <w:pPr>
        <w:pStyle w:val="ListParagraph"/>
        <w:numPr>
          <w:ilvl w:val="1"/>
          <w:numId w:val="6"/>
        </w:numPr>
        <w:tabs>
          <w:tab w:val="left" w:pos="284"/>
        </w:tabs>
        <w:spacing w:line="360" w:lineRule="auto"/>
        <w:ind w:left="284" w:hanging="710"/>
        <w:jc w:val="both"/>
        <w:rPr>
          <w:rFonts w:eastAsia="Arial Unicode MS"/>
          <w:sz w:val="24"/>
          <w:szCs w:val="24"/>
        </w:rPr>
      </w:pPr>
      <w:r w:rsidRPr="00971159">
        <w:rPr>
          <w:rFonts w:eastAsia="Arial Unicode MS"/>
          <w:sz w:val="24"/>
          <w:szCs w:val="24"/>
        </w:rPr>
        <w:t>Caveats are by their very nature temporary measures meant to protect interest</w:t>
      </w:r>
      <w:r w:rsidR="0025152D" w:rsidRPr="00971159">
        <w:rPr>
          <w:rFonts w:eastAsia="Arial Unicode MS"/>
          <w:sz w:val="24"/>
          <w:szCs w:val="24"/>
        </w:rPr>
        <w:t>s</w:t>
      </w:r>
      <w:r w:rsidRPr="00971159">
        <w:rPr>
          <w:rFonts w:eastAsia="Arial Unicode MS"/>
          <w:sz w:val="24"/>
          <w:szCs w:val="24"/>
        </w:rPr>
        <w:t xml:space="preserve"> in land normally until disposal of a suit or a settlement. The</w:t>
      </w:r>
      <w:r w:rsidR="00332992" w:rsidRPr="00971159">
        <w:rPr>
          <w:rFonts w:eastAsia="Arial Unicode MS"/>
          <w:sz w:val="24"/>
          <w:szCs w:val="24"/>
        </w:rPr>
        <w:t xml:space="preserve"> applicant filed a suit in the Family D</w:t>
      </w:r>
      <w:r w:rsidRPr="00971159">
        <w:rPr>
          <w:rFonts w:eastAsia="Arial Unicode MS"/>
          <w:sz w:val="24"/>
          <w:szCs w:val="24"/>
        </w:rPr>
        <w:t>ivision of the High Court but that suit does not concern the respondent as she is not a party there to</w:t>
      </w:r>
      <w:r w:rsidR="00332992" w:rsidRPr="00971159">
        <w:rPr>
          <w:rFonts w:eastAsia="Arial Unicode MS"/>
          <w:sz w:val="24"/>
          <w:szCs w:val="24"/>
        </w:rPr>
        <w:t>. An</w:t>
      </w:r>
      <w:r w:rsidRPr="00971159">
        <w:rPr>
          <w:rFonts w:eastAsia="Arial Unicode MS"/>
          <w:sz w:val="24"/>
          <w:szCs w:val="24"/>
        </w:rPr>
        <w:t xml:space="preserve">d the applicant does not </w:t>
      </w:r>
      <w:r w:rsidR="00171497" w:rsidRPr="00971159">
        <w:rPr>
          <w:rFonts w:eastAsia="Arial Unicode MS"/>
          <w:sz w:val="24"/>
          <w:szCs w:val="24"/>
        </w:rPr>
        <w:t>complain against</w:t>
      </w:r>
      <w:r w:rsidRPr="00971159">
        <w:rPr>
          <w:rFonts w:eastAsia="Arial Unicode MS"/>
          <w:sz w:val="24"/>
          <w:szCs w:val="24"/>
        </w:rPr>
        <w:t xml:space="preserve"> her. The existence of the s</w:t>
      </w:r>
      <w:r w:rsidR="00332992" w:rsidRPr="00971159">
        <w:rPr>
          <w:rFonts w:eastAsia="Arial Unicode MS"/>
          <w:sz w:val="24"/>
          <w:szCs w:val="24"/>
        </w:rPr>
        <w:t>aid s</w:t>
      </w:r>
      <w:r w:rsidRPr="00971159">
        <w:rPr>
          <w:rFonts w:eastAsia="Arial Unicode MS"/>
          <w:sz w:val="24"/>
          <w:szCs w:val="24"/>
        </w:rPr>
        <w:t>uit is even doubtful seeing that no evidence of its existence was attached to the applicant’s affidavits</w:t>
      </w:r>
      <w:r w:rsidR="0025152D" w:rsidRPr="00971159">
        <w:rPr>
          <w:rFonts w:eastAsia="Arial Unicode MS"/>
          <w:sz w:val="24"/>
          <w:szCs w:val="24"/>
        </w:rPr>
        <w:t xml:space="preserve"> in support </w:t>
      </w:r>
      <w:r w:rsidR="00332992" w:rsidRPr="00971159">
        <w:rPr>
          <w:rFonts w:eastAsia="Arial Unicode MS"/>
          <w:sz w:val="24"/>
          <w:szCs w:val="24"/>
        </w:rPr>
        <w:t>of this application</w:t>
      </w:r>
      <w:r w:rsidRPr="00971159">
        <w:rPr>
          <w:rFonts w:eastAsia="Arial Unicode MS"/>
          <w:sz w:val="24"/>
          <w:szCs w:val="24"/>
        </w:rPr>
        <w:t>. The applicant cannot be allowed to lodge and keep</w:t>
      </w:r>
      <w:r w:rsidR="0025152D" w:rsidRPr="00971159">
        <w:rPr>
          <w:rFonts w:eastAsia="Arial Unicode MS"/>
          <w:sz w:val="24"/>
          <w:szCs w:val="24"/>
        </w:rPr>
        <w:t xml:space="preserve"> the</w:t>
      </w:r>
      <w:r w:rsidRPr="00971159">
        <w:rPr>
          <w:rFonts w:eastAsia="Arial Unicode MS"/>
          <w:sz w:val="24"/>
          <w:szCs w:val="24"/>
        </w:rPr>
        <w:t xml:space="preserve"> lodged caveats on other people’s land until the end of the world.  Court made the right decision when it ordered their removal.</w:t>
      </w:r>
    </w:p>
    <w:p w:rsidR="00332992" w:rsidRPr="00971159" w:rsidRDefault="00332992" w:rsidP="00332992">
      <w:pPr>
        <w:pStyle w:val="ListParagraph"/>
        <w:rPr>
          <w:rFonts w:eastAsia="Arial Unicode MS"/>
          <w:sz w:val="24"/>
          <w:szCs w:val="24"/>
        </w:rPr>
      </w:pPr>
    </w:p>
    <w:p w:rsidR="00BF3163" w:rsidRPr="00971159" w:rsidRDefault="00E60AD7" w:rsidP="00E60AD7">
      <w:pPr>
        <w:pStyle w:val="ListParagraph"/>
        <w:numPr>
          <w:ilvl w:val="1"/>
          <w:numId w:val="6"/>
        </w:numPr>
        <w:tabs>
          <w:tab w:val="left" w:pos="284"/>
        </w:tabs>
        <w:spacing w:line="360" w:lineRule="auto"/>
        <w:ind w:left="284" w:hanging="710"/>
        <w:jc w:val="both"/>
        <w:rPr>
          <w:rFonts w:eastAsia="Arial Unicode MS"/>
          <w:sz w:val="24"/>
          <w:szCs w:val="24"/>
        </w:rPr>
      </w:pPr>
      <w:r w:rsidRPr="00971159">
        <w:rPr>
          <w:rFonts w:eastAsia="Arial Unicode MS"/>
          <w:sz w:val="24"/>
          <w:szCs w:val="24"/>
        </w:rPr>
        <w:t>In the result and for the reasons given hereinabove</w:t>
      </w:r>
      <w:r w:rsidR="00332992" w:rsidRPr="00971159">
        <w:rPr>
          <w:rFonts w:eastAsia="Arial Unicode MS"/>
          <w:sz w:val="24"/>
          <w:szCs w:val="24"/>
        </w:rPr>
        <w:t xml:space="preserve"> in this ruling</w:t>
      </w:r>
      <w:r w:rsidRPr="00971159">
        <w:rPr>
          <w:rFonts w:eastAsia="Arial Unicode MS"/>
          <w:sz w:val="24"/>
          <w:szCs w:val="24"/>
        </w:rPr>
        <w:t xml:space="preserve">, this application lacks merit. </w:t>
      </w:r>
      <w:r w:rsidR="00171497" w:rsidRPr="00971159">
        <w:rPr>
          <w:rFonts w:eastAsia="Arial Unicode MS"/>
          <w:sz w:val="24"/>
          <w:szCs w:val="24"/>
        </w:rPr>
        <w:t>It</w:t>
      </w:r>
      <w:r w:rsidRPr="00971159">
        <w:rPr>
          <w:rFonts w:eastAsia="Arial Unicode MS"/>
          <w:sz w:val="24"/>
          <w:szCs w:val="24"/>
        </w:rPr>
        <w:t xml:space="preserve"> is accordingly dismissed with costs </w:t>
      </w:r>
      <w:r w:rsidR="0025152D" w:rsidRPr="00971159">
        <w:rPr>
          <w:rFonts w:eastAsia="Arial Unicode MS"/>
          <w:sz w:val="24"/>
          <w:szCs w:val="24"/>
        </w:rPr>
        <w:t>to</w:t>
      </w:r>
      <w:r w:rsidR="00332992" w:rsidRPr="00971159">
        <w:rPr>
          <w:rFonts w:eastAsia="Arial Unicode MS"/>
          <w:sz w:val="24"/>
          <w:szCs w:val="24"/>
        </w:rPr>
        <w:t xml:space="preserve"> </w:t>
      </w:r>
      <w:r w:rsidRPr="00971159">
        <w:rPr>
          <w:rFonts w:eastAsia="Arial Unicode MS"/>
          <w:sz w:val="24"/>
          <w:szCs w:val="24"/>
        </w:rPr>
        <w:t>the respondent.</w:t>
      </w:r>
    </w:p>
    <w:p w:rsidR="00E60AD7" w:rsidRPr="00971159" w:rsidRDefault="00E60AD7" w:rsidP="00E60AD7">
      <w:pPr>
        <w:spacing w:line="360" w:lineRule="auto"/>
        <w:jc w:val="both"/>
        <w:rPr>
          <w:rFonts w:eastAsia="Arial Unicode MS"/>
          <w:sz w:val="24"/>
          <w:szCs w:val="24"/>
        </w:rPr>
      </w:pPr>
    </w:p>
    <w:p w:rsidR="00E60AD7" w:rsidRPr="00971159" w:rsidRDefault="00E60AD7" w:rsidP="00E60AD7">
      <w:pPr>
        <w:spacing w:line="360" w:lineRule="auto"/>
        <w:jc w:val="both"/>
        <w:rPr>
          <w:rFonts w:eastAsia="Arial Unicode MS"/>
          <w:sz w:val="24"/>
          <w:szCs w:val="24"/>
        </w:rPr>
      </w:pPr>
      <w:r w:rsidRPr="00971159">
        <w:rPr>
          <w:rFonts w:eastAsia="Arial Unicode MS"/>
          <w:sz w:val="24"/>
          <w:szCs w:val="24"/>
        </w:rPr>
        <w:t>Da</w:t>
      </w:r>
      <w:r w:rsidR="009861DB" w:rsidRPr="00971159">
        <w:rPr>
          <w:rFonts w:eastAsia="Arial Unicode MS"/>
          <w:sz w:val="24"/>
          <w:szCs w:val="24"/>
        </w:rPr>
        <w:t xml:space="preserve">te at Kampala this </w:t>
      </w:r>
      <w:r w:rsidR="00B14903" w:rsidRPr="00971159">
        <w:rPr>
          <w:rFonts w:eastAsia="Arial Unicode MS"/>
          <w:sz w:val="24"/>
          <w:szCs w:val="24"/>
        </w:rPr>
        <w:t xml:space="preserve"> 20</w:t>
      </w:r>
      <w:r w:rsidR="00B14903" w:rsidRPr="00971159">
        <w:rPr>
          <w:rFonts w:eastAsia="Arial Unicode MS"/>
          <w:sz w:val="24"/>
          <w:szCs w:val="24"/>
          <w:vertAlign w:val="superscript"/>
        </w:rPr>
        <w:t>th</w:t>
      </w:r>
      <w:r w:rsidR="00B14903" w:rsidRPr="00971159">
        <w:rPr>
          <w:rFonts w:eastAsia="Arial Unicode MS"/>
          <w:sz w:val="24"/>
          <w:szCs w:val="24"/>
        </w:rPr>
        <w:t xml:space="preserve"> </w:t>
      </w:r>
      <w:r w:rsidR="009861DB" w:rsidRPr="00971159">
        <w:rPr>
          <w:rFonts w:eastAsia="Arial Unicode MS"/>
          <w:sz w:val="24"/>
          <w:szCs w:val="24"/>
        </w:rPr>
        <w:t>day of February</w:t>
      </w:r>
      <w:r w:rsidRPr="00971159">
        <w:rPr>
          <w:rFonts w:eastAsia="Arial Unicode MS"/>
          <w:sz w:val="24"/>
          <w:szCs w:val="24"/>
        </w:rPr>
        <w:t>, 2013.</w:t>
      </w:r>
    </w:p>
    <w:p w:rsidR="00E60AD7" w:rsidRPr="00971159" w:rsidRDefault="00E60AD7" w:rsidP="00E60AD7">
      <w:pPr>
        <w:spacing w:line="360" w:lineRule="auto"/>
        <w:jc w:val="both"/>
        <w:rPr>
          <w:rFonts w:eastAsia="Arial Unicode MS"/>
          <w:sz w:val="24"/>
          <w:szCs w:val="24"/>
        </w:rPr>
      </w:pPr>
    </w:p>
    <w:p w:rsidR="00E60AD7" w:rsidRPr="00971159" w:rsidRDefault="00B14903" w:rsidP="00E60AD7">
      <w:pPr>
        <w:spacing w:line="276" w:lineRule="auto"/>
        <w:jc w:val="both"/>
        <w:rPr>
          <w:rFonts w:eastAsia="Arial Unicode MS"/>
          <w:b/>
          <w:sz w:val="24"/>
          <w:szCs w:val="24"/>
        </w:rPr>
      </w:pPr>
      <w:r w:rsidRPr="00971159">
        <w:rPr>
          <w:rFonts w:eastAsia="Arial Unicode MS"/>
          <w:b/>
          <w:sz w:val="24"/>
          <w:szCs w:val="24"/>
        </w:rPr>
        <w:t>sgd</w:t>
      </w:r>
    </w:p>
    <w:p w:rsidR="00E60AD7" w:rsidRPr="00971159" w:rsidRDefault="00E60AD7" w:rsidP="00332992">
      <w:pPr>
        <w:jc w:val="both"/>
        <w:rPr>
          <w:rFonts w:eastAsia="Arial Unicode MS"/>
          <w:b/>
          <w:sz w:val="24"/>
          <w:szCs w:val="24"/>
        </w:rPr>
      </w:pPr>
      <w:r w:rsidRPr="00971159">
        <w:rPr>
          <w:rFonts w:eastAsia="Arial Unicode MS"/>
          <w:b/>
          <w:sz w:val="24"/>
          <w:szCs w:val="24"/>
        </w:rPr>
        <w:t>Murangira Joseph</w:t>
      </w:r>
    </w:p>
    <w:p w:rsidR="009D4253" w:rsidRPr="00971159" w:rsidRDefault="00E60AD7" w:rsidP="00056DB5">
      <w:pPr>
        <w:jc w:val="both"/>
        <w:rPr>
          <w:sz w:val="24"/>
          <w:szCs w:val="24"/>
        </w:rPr>
      </w:pPr>
      <w:r w:rsidRPr="00971159">
        <w:rPr>
          <w:rFonts w:eastAsia="Arial Unicode MS"/>
          <w:b/>
          <w:sz w:val="24"/>
          <w:szCs w:val="24"/>
        </w:rPr>
        <w:t>Judge</w:t>
      </w:r>
    </w:p>
    <w:sectPr w:rsidR="009D4253" w:rsidRPr="00971159" w:rsidSect="009D42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35A" w:rsidRDefault="008D035A" w:rsidP="00AB3FEF">
      <w:r>
        <w:separator/>
      </w:r>
    </w:p>
  </w:endnote>
  <w:endnote w:type="continuationSeparator" w:id="1">
    <w:p w:rsidR="008D035A" w:rsidRDefault="008D035A" w:rsidP="00AB3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35A" w:rsidRDefault="008D035A" w:rsidP="00AB3FEF">
      <w:r>
        <w:separator/>
      </w:r>
    </w:p>
  </w:footnote>
  <w:footnote w:type="continuationSeparator" w:id="1">
    <w:p w:rsidR="008D035A" w:rsidRDefault="008D035A" w:rsidP="00AB3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64B0B"/>
    <w:multiLevelType w:val="hybridMultilevel"/>
    <w:tmpl w:val="83E6A1B4"/>
    <w:lvl w:ilvl="0" w:tplc="FD6CCB52">
      <w:start w:val="1"/>
      <w:numFmt w:val="decimal"/>
      <w:lvlText w:val="%1."/>
      <w:lvlJc w:val="left"/>
      <w:pPr>
        <w:ind w:left="907" w:hanging="54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EF4B0D"/>
    <w:multiLevelType w:val="multilevel"/>
    <w:tmpl w:val="D5386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672E1D37"/>
    <w:multiLevelType w:val="hybridMultilevel"/>
    <w:tmpl w:val="E60AC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9907D1"/>
    <w:multiLevelType w:val="hybridMultilevel"/>
    <w:tmpl w:val="4B9AE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B86449"/>
    <w:multiLevelType w:val="multilevel"/>
    <w:tmpl w:val="0AD8742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7D910391"/>
    <w:multiLevelType w:val="hybridMultilevel"/>
    <w:tmpl w:val="E3A257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56DB5"/>
    <w:rsid w:val="000543FD"/>
    <w:rsid w:val="00056DB5"/>
    <w:rsid w:val="0008011F"/>
    <w:rsid w:val="000B7A70"/>
    <w:rsid w:val="00171497"/>
    <w:rsid w:val="00174E00"/>
    <w:rsid w:val="00182FD8"/>
    <w:rsid w:val="001A5107"/>
    <w:rsid w:val="001D152A"/>
    <w:rsid w:val="00243E1C"/>
    <w:rsid w:val="0025152D"/>
    <w:rsid w:val="00315796"/>
    <w:rsid w:val="00332992"/>
    <w:rsid w:val="003B7016"/>
    <w:rsid w:val="003E4A34"/>
    <w:rsid w:val="004A393D"/>
    <w:rsid w:val="00546C1F"/>
    <w:rsid w:val="005E5830"/>
    <w:rsid w:val="005F229A"/>
    <w:rsid w:val="006866B0"/>
    <w:rsid w:val="00736CD3"/>
    <w:rsid w:val="00781AFD"/>
    <w:rsid w:val="008D035A"/>
    <w:rsid w:val="00971159"/>
    <w:rsid w:val="009861DB"/>
    <w:rsid w:val="009D4253"/>
    <w:rsid w:val="00A62C12"/>
    <w:rsid w:val="00AB3FEF"/>
    <w:rsid w:val="00AD35A5"/>
    <w:rsid w:val="00B022DE"/>
    <w:rsid w:val="00B14903"/>
    <w:rsid w:val="00BF3163"/>
    <w:rsid w:val="00C1478B"/>
    <w:rsid w:val="00C357C4"/>
    <w:rsid w:val="00D12752"/>
    <w:rsid w:val="00DE2077"/>
    <w:rsid w:val="00E60AD7"/>
    <w:rsid w:val="00E71216"/>
    <w:rsid w:val="00F24E8E"/>
    <w:rsid w:val="00FD1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ind w:left="144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B5"/>
    <w:pPr>
      <w:spacing w:line="240" w:lineRule="auto"/>
      <w:ind w:left="0" w:firstLine="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B5"/>
    <w:pPr>
      <w:ind w:left="720"/>
      <w:contextualSpacing/>
    </w:pPr>
  </w:style>
  <w:style w:type="paragraph" w:styleId="Header">
    <w:name w:val="header"/>
    <w:basedOn w:val="Normal"/>
    <w:link w:val="HeaderChar"/>
    <w:uiPriority w:val="99"/>
    <w:semiHidden/>
    <w:unhideWhenUsed/>
    <w:rsid w:val="00AB3FEF"/>
    <w:pPr>
      <w:tabs>
        <w:tab w:val="center" w:pos="4513"/>
        <w:tab w:val="right" w:pos="9026"/>
      </w:tabs>
    </w:pPr>
  </w:style>
  <w:style w:type="character" w:customStyle="1" w:styleId="HeaderChar">
    <w:name w:val="Header Char"/>
    <w:basedOn w:val="DefaultParagraphFont"/>
    <w:link w:val="Header"/>
    <w:uiPriority w:val="99"/>
    <w:semiHidden/>
    <w:rsid w:val="00AB3FE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B3FEF"/>
    <w:pPr>
      <w:tabs>
        <w:tab w:val="center" w:pos="4513"/>
        <w:tab w:val="right" w:pos="9026"/>
      </w:tabs>
    </w:pPr>
  </w:style>
  <w:style w:type="character" w:customStyle="1" w:styleId="FooterChar">
    <w:name w:val="Footer Char"/>
    <w:basedOn w:val="DefaultParagraphFont"/>
    <w:link w:val="Footer"/>
    <w:uiPriority w:val="99"/>
    <w:rsid w:val="00AB3FEF"/>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ditera</dc:creator>
  <cp:lastModifiedBy>jmugala</cp:lastModifiedBy>
  <cp:revision>2</cp:revision>
  <cp:lastPrinted>2013-02-20T12:13:00Z</cp:lastPrinted>
  <dcterms:created xsi:type="dcterms:W3CDTF">2013-02-26T09:55:00Z</dcterms:created>
  <dcterms:modified xsi:type="dcterms:W3CDTF">2013-02-26T09:55:00Z</dcterms:modified>
</cp:coreProperties>
</file>