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A" w:rsidRPr="00912BBA" w:rsidRDefault="006F305A" w:rsidP="006F305A">
      <w:pPr>
        <w:jc w:val="center"/>
        <w:rPr>
          <w:rFonts w:eastAsia="Arial Unicode MS"/>
          <w:b/>
        </w:rPr>
      </w:pPr>
      <w:r w:rsidRPr="00912BBA">
        <w:rPr>
          <w:rFonts w:eastAsia="Arial Unicode MS"/>
          <w:b/>
        </w:rPr>
        <w:t>THE REPUBLIC OF UGANDA</w:t>
      </w:r>
    </w:p>
    <w:p w:rsidR="006F305A" w:rsidRPr="00912BBA" w:rsidRDefault="006F305A" w:rsidP="006F305A">
      <w:pPr>
        <w:jc w:val="center"/>
        <w:rPr>
          <w:rFonts w:eastAsia="Arial Unicode MS"/>
          <w:b/>
        </w:rPr>
      </w:pPr>
      <w:r w:rsidRPr="00912BBA">
        <w:rPr>
          <w:rFonts w:eastAsia="Arial Unicode MS"/>
          <w:b/>
        </w:rPr>
        <w:t>IN THE HIGH COURT OF UGANDA AT KAMPALA</w:t>
      </w:r>
    </w:p>
    <w:p w:rsidR="006F305A" w:rsidRPr="00912BBA" w:rsidRDefault="006F305A" w:rsidP="006F305A">
      <w:pPr>
        <w:jc w:val="center"/>
        <w:rPr>
          <w:rFonts w:eastAsia="Arial Unicode MS"/>
          <w:b/>
        </w:rPr>
      </w:pPr>
      <w:r w:rsidRPr="00912BBA">
        <w:rPr>
          <w:rFonts w:eastAsia="Arial Unicode MS"/>
          <w:b/>
        </w:rPr>
        <w:t>(LAND DIVISION)</w:t>
      </w:r>
    </w:p>
    <w:p w:rsidR="006F305A" w:rsidRPr="00912BBA" w:rsidRDefault="006F305A" w:rsidP="006F305A">
      <w:pPr>
        <w:jc w:val="center"/>
        <w:rPr>
          <w:rFonts w:eastAsia="Arial Unicode MS"/>
          <w:b/>
        </w:rPr>
      </w:pPr>
    </w:p>
    <w:p w:rsidR="006F305A" w:rsidRPr="00912BBA" w:rsidRDefault="006F305A" w:rsidP="006F305A">
      <w:pPr>
        <w:spacing w:line="276" w:lineRule="auto"/>
        <w:jc w:val="center"/>
        <w:rPr>
          <w:rFonts w:eastAsia="Arial Unicode MS"/>
          <w:b/>
        </w:rPr>
      </w:pPr>
      <w:r w:rsidRPr="00912BBA">
        <w:rPr>
          <w:rFonts w:eastAsia="Arial Unicode MS"/>
          <w:b/>
        </w:rPr>
        <w:t xml:space="preserve">MISCELLANEOUS </w:t>
      </w:r>
      <w:r w:rsidR="000E4A1C" w:rsidRPr="00912BBA">
        <w:rPr>
          <w:rFonts w:eastAsia="Arial Unicode MS"/>
          <w:b/>
        </w:rPr>
        <w:t>CAUSE</w:t>
      </w:r>
      <w:r w:rsidRPr="00912BBA">
        <w:rPr>
          <w:rFonts w:eastAsia="Arial Unicode MS"/>
          <w:b/>
        </w:rPr>
        <w:t xml:space="preserve">  NO. 32 OF 2011</w:t>
      </w:r>
    </w:p>
    <w:p w:rsidR="006F305A" w:rsidRPr="00912BBA" w:rsidRDefault="006F305A" w:rsidP="006F305A">
      <w:pPr>
        <w:spacing w:line="276" w:lineRule="auto"/>
        <w:jc w:val="center"/>
        <w:rPr>
          <w:rFonts w:eastAsia="Arial Unicode MS"/>
          <w:b/>
        </w:rPr>
      </w:pPr>
      <w:r w:rsidRPr="00912BBA">
        <w:rPr>
          <w:rFonts w:eastAsia="Arial Unicode MS"/>
          <w:b/>
        </w:rPr>
        <w:t xml:space="preserve">(Arising from Civil Suit No.  28 OF 2010, of the Chief Magistrate’s </w:t>
      </w:r>
      <w:r w:rsidR="00E906C2" w:rsidRPr="00912BBA">
        <w:rPr>
          <w:rFonts w:eastAsia="Arial Unicode MS"/>
          <w:b/>
        </w:rPr>
        <w:t>C</w:t>
      </w:r>
      <w:r w:rsidRPr="00912BBA">
        <w:rPr>
          <w:rFonts w:eastAsia="Arial Unicode MS"/>
          <w:b/>
        </w:rPr>
        <w:t>ourt of Nabweru holden at Nabweru)</w:t>
      </w:r>
    </w:p>
    <w:p w:rsidR="006F305A" w:rsidRPr="00912BBA" w:rsidRDefault="006F305A" w:rsidP="006F305A">
      <w:pPr>
        <w:spacing w:line="276" w:lineRule="auto"/>
        <w:jc w:val="center"/>
        <w:rPr>
          <w:rFonts w:eastAsia="Arial Unicode MS"/>
          <w:b/>
        </w:rPr>
      </w:pPr>
      <w:r w:rsidRPr="00912BBA">
        <w:rPr>
          <w:rFonts w:eastAsia="Arial Unicode MS"/>
          <w:b/>
        </w:rPr>
        <w:t xml:space="preserve">And </w:t>
      </w:r>
    </w:p>
    <w:p w:rsidR="006F305A" w:rsidRDefault="006F305A" w:rsidP="006F305A">
      <w:pPr>
        <w:spacing w:line="276" w:lineRule="auto"/>
        <w:jc w:val="center"/>
        <w:rPr>
          <w:rFonts w:eastAsia="Arial Unicode MS"/>
          <w:b/>
        </w:rPr>
      </w:pPr>
      <w:r w:rsidRPr="00912BBA">
        <w:rPr>
          <w:rFonts w:eastAsia="Arial Unicode MS"/>
          <w:b/>
        </w:rPr>
        <w:t>(Arising f</w:t>
      </w:r>
      <w:r w:rsidR="00164603" w:rsidRPr="00912BBA">
        <w:rPr>
          <w:rFonts w:eastAsia="Arial Unicode MS"/>
          <w:b/>
        </w:rPr>
        <w:t>rom Miscellaneous Application No</w:t>
      </w:r>
      <w:r w:rsidRPr="00912BBA">
        <w:rPr>
          <w:rFonts w:eastAsia="Arial Unicode MS"/>
          <w:b/>
        </w:rPr>
        <w:t>.309 of 2010 of the Chief Magistrate’s Court of Nabweru Holden at Nabweru)</w:t>
      </w:r>
    </w:p>
    <w:p w:rsidR="00912BBA" w:rsidRPr="00912BBA" w:rsidRDefault="00912BBA" w:rsidP="006F305A">
      <w:pPr>
        <w:spacing w:line="276" w:lineRule="auto"/>
        <w:jc w:val="center"/>
        <w:rPr>
          <w:rFonts w:eastAsia="Arial Unicode MS"/>
          <w:b/>
        </w:rPr>
      </w:pPr>
    </w:p>
    <w:p w:rsidR="006F305A" w:rsidRPr="00912BBA" w:rsidRDefault="006F305A" w:rsidP="006F305A">
      <w:pPr>
        <w:jc w:val="center"/>
        <w:rPr>
          <w:rFonts w:eastAsia="Arial Unicode MS"/>
          <w:b/>
        </w:rPr>
      </w:pPr>
    </w:p>
    <w:p w:rsidR="006F305A" w:rsidRPr="00912BBA" w:rsidRDefault="006F305A" w:rsidP="006F305A">
      <w:pPr>
        <w:rPr>
          <w:rFonts w:eastAsia="Arial Unicode MS"/>
          <w:b/>
        </w:rPr>
      </w:pPr>
      <w:r w:rsidRPr="00912BBA">
        <w:rPr>
          <w:rFonts w:eastAsia="Arial Unicode MS"/>
          <w:b/>
        </w:rPr>
        <w:t>YEKOYADA KIWANUKA</w:t>
      </w:r>
      <w:r w:rsidRPr="00912BBA">
        <w:rPr>
          <w:rFonts w:eastAsia="Arial Unicode MS"/>
          <w:b/>
        </w:rPr>
        <w:tab/>
      </w:r>
      <w:r w:rsidRPr="00912BBA">
        <w:rPr>
          <w:rFonts w:eastAsia="Arial Unicode MS"/>
          <w:b/>
        </w:rPr>
        <w:tab/>
        <w:t xml:space="preserve">::::::  </w:t>
      </w:r>
      <w:r w:rsidRPr="00912BBA">
        <w:rPr>
          <w:rFonts w:eastAsia="Arial Unicode MS"/>
          <w:b/>
        </w:rPr>
        <w:tab/>
      </w:r>
      <w:r w:rsidRPr="00912BBA">
        <w:rPr>
          <w:rFonts w:eastAsia="Arial Unicode MS"/>
          <w:b/>
        </w:rPr>
        <w:tab/>
      </w:r>
      <w:r w:rsidRPr="00912BBA">
        <w:rPr>
          <w:rFonts w:eastAsia="Arial Unicode MS"/>
          <w:b/>
        </w:rPr>
        <w:tab/>
        <w:t xml:space="preserve"> APPLICANT</w:t>
      </w:r>
    </w:p>
    <w:p w:rsidR="006F305A" w:rsidRPr="00912BBA" w:rsidRDefault="006F305A" w:rsidP="006F305A">
      <w:pPr>
        <w:rPr>
          <w:rFonts w:eastAsia="Arial Unicode MS"/>
          <w:b/>
        </w:rPr>
      </w:pPr>
    </w:p>
    <w:p w:rsidR="006F305A" w:rsidRPr="00912BBA" w:rsidRDefault="006F305A" w:rsidP="006F305A">
      <w:pPr>
        <w:ind w:left="2880"/>
        <w:rPr>
          <w:rFonts w:eastAsia="Arial Unicode MS"/>
          <w:b/>
        </w:rPr>
      </w:pPr>
      <w:r w:rsidRPr="00912BBA">
        <w:rPr>
          <w:rFonts w:eastAsia="Arial Unicode MS"/>
          <w:b/>
        </w:rPr>
        <w:t>VERSUS</w:t>
      </w:r>
    </w:p>
    <w:p w:rsidR="006F305A" w:rsidRPr="00912BBA" w:rsidRDefault="006F305A" w:rsidP="006F305A">
      <w:pPr>
        <w:ind w:left="2880"/>
        <w:rPr>
          <w:rFonts w:eastAsia="Arial Unicode MS"/>
          <w:b/>
        </w:rPr>
      </w:pPr>
    </w:p>
    <w:p w:rsidR="006F305A" w:rsidRPr="00912BBA" w:rsidRDefault="006F305A" w:rsidP="006F305A">
      <w:pPr>
        <w:pStyle w:val="ListParagraph"/>
        <w:numPr>
          <w:ilvl w:val="0"/>
          <w:numId w:val="1"/>
        </w:numPr>
        <w:rPr>
          <w:rFonts w:eastAsia="Arial Unicode MS"/>
          <w:b/>
        </w:rPr>
      </w:pPr>
      <w:r w:rsidRPr="00912BBA">
        <w:rPr>
          <w:rFonts w:eastAsia="Arial Unicode MS"/>
          <w:b/>
        </w:rPr>
        <w:t>KITAMIRIKE EDWARD</w:t>
      </w:r>
    </w:p>
    <w:p w:rsidR="006F305A" w:rsidRPr="00912BBA" w:rsidRDefault="000E4A1C" w:rsidP="006F305A">
      <w:pPr>
        <w:pStyle w:val="ListParagraph"/>
        <w:numPr>
          <w:ilvl w:val="0"/>
          <w:numId w:val="1"/>
        </w:numPr>
        <w:rPr>
          <w:rFonts w:eastAsia="Arial Unicode MS"/>
          <w:b/>
        </w:rPr>
      </w:pPr>
      <w:r w:rsidRPr="00912BBA">
        <w:rPr>
          <w:rFonts w:eastAsia="Arial Unicode MS"/>
          <w:b/>
        </w:rPr>
        <w:t>MUHAMOOD LUWALIRA</w:t>
      </w:r>
      <w:r w:rsidRPr="00912BBA">
        <w:rPr>
          <w:rFonts w:eastAsia="Arial Unicode MS"/>
          <w:b/>
        </w:rPr>
        <w:tab/>
      </w:r>
      <w:r w:rsidRPr="00912BBA">
        <w:rPr>
          <w:rFonts w:eastAsia="Arial Unicode MS"/>
          <w:b/>
        </w:rPr>
        <w:tab/>
      </w:r>
      <w:r w:rsidR="006F305A" w:rsidRPr="00912BBA">
        <w:rPr>
          <w:rFonts w:eastAsia="Arial Unicode MS"/>
          <w:b/>
        </w:rPr>
        <w:t xml:space="preserve"> :::::: </w:t>
      </w:r>
      <w:r w:rsidR="006F305A" w:rsidRPr="00912BBA">
        <w:rPr>
          <w:rFonts w:eastAsia="Arial Unicode MS"/>
          <w:b/>
        </w:rPr>
        <w:tab/>
        <w:t xml:space="preserve">    </w:t>
      </w:r>
      <w:r w:rsidRPr="00912BBA">
        <w:rPr>
          <w:rFonts w:eastAsia="Arial Unicode MS"/>
          <w:b/>
        </w:rPr>
        <w:tab/>
      </w:r>
      <w:r w:rsidR="006F305A" w:rsidRPr="00912BBA">
        <w:rPr>
          <w:rFonts w:eastAsia="Arial Unicode MS"/>
          <w:b/>
        </w:rPr>
        <w:tab/>
        <w:t>RESPONDENTS</w:t>
      </w:r>
    </w:p>
    <w:p w:rsidR="006F305A" w:rsidRPr="00912BBA" w:rsidRDefault="006F305A" w:rsidP="006F305A">
      <w:pPr>
        <w:rPr>
          <w:rFonts w:eastAsia="Arial Unicode MS"/>
          <w:b/>
        </w:rPr>
      </w:pPr>
    </w:p>
    <w:p w:rsidR="006F305A" w:rsidRPr="00912BBA" w:rsidRDefault="006F305A" w:rsidP="006F305A">
      <w:pPr>
        <w:rPr>
          <w:rFonts w:eastAsia="Arial Unicode MS"/>
          <w:b/>
        </w:rPr>
      </w:pPr>
    </w:p>
    <w:p w:rsidR="006F305A" w:rsidRPr="00912BBA" w:rsidRDefault="006F305A" w:rsidP="006F305A">
      <w:pPr>
        <w:ind w:left="-45"/>
        <w:rPr>
          <w:rFonts w:eastAsia="Arial Unicode MS"/>
          <w:b/>
          <w:u w:val="single"/>
        </w:rPr>
      </w:pPr>
      <w:r w:rsidRPr="00912BBA">
        <w:rPr>
          <w:rFonts w:eastAsia="Arial Unicode MS"/>
          <w:b/>
          <w:u w:val="single"/>
        </w:rPr>
        <w:t xml:space="preserve">RULING  BY HON. </w:t>
      </w:r>
      <w:r w:rsidR="000E4A1C" w:rsidRPr="00912BBA">
        <w:rPr>
          <w:rFonts w:eastAsia="Arial Unicode MS"/>
          <w:b/>
          <w:u w:val="single"/>
        </w:rPr>
        <w:t xml:space="preserve">MR. </w:t>
      </w:r>
      <w:r w:rsidRPr="00912BBA">
        <w:rPr>
          <w:rFonts w:eastAsia="Arial Unicode MS"/>
          <w:b/>
          <w:u w:val="single"/>
        </w:rPr>
        <w:t>JUSTICE JOSEPH MURANGIRA</w:t>
      </w:r>
    </w:p>
    <w:p w:rsidR="006F305A" w:rsidRPr="00912BBA" w:rsidRDefault="006F305A" w:rsidP="00233622">
      <w:pPr>
        <w:ind w:left="-45"/>
        <w:jc w:val="center"/>
        <w:rPr>
          <w:rFonts w:eastAsia="Arial Unicode MS"/>
          <w:b/>
          <w:u w:val="single"/>
        </w:rPr>
      </w:pPr>
    </w:p>
    <w:p w:rsidR="006F305A" w:rsidRPr="00912BBA" w:rsidRDefault="006F305A" w:rsidP="00233622">
      <w:pPr>
        <w:pStyle w:val="ListParagraph"/>
        <w:numPr>
          <w:ilvl w:val="0"/>
          <w:numId w:val="2"/>
        </w:numPr>
        <w:jc w:val="center"/>
        <w:rPr>
          <w:rFonts w:eastAsia="Arial Unicode MS"/>
          <w:b/>
          <w:u w:val="single"/>
        </w:rPr>
      </w:pPr>
      <w:r w:rsidRPr="00912BBA">
        <w:rPr>
          <w:rFonts w:eastAsia="Arial Unicode MS"/>
          <w:b/>
          <w:u w:val="single"/>
        </w:rPr>
        <w:t>Introduction</w:t>
      </w:r>
    </w:p>
    <w:p w:rsidR="006F305A" w:rsidRPr="00912BBA" w:rsidRDefault="006F305A" w:rsidP="006F305A">
      <w:pPr>
        <w:pStyle w:val="ListParagraph"/>
        <w:ind w:left="315"/>
        <w:rPr>
          <w:rFonts w:eastAsia="Arial Unicode MS"/>
          <w:b/>
          <w:u w:val="single"/>
        </w:rPr>
      </w:pPr>
    </w:p>
    <w:p w:rsidR="006F305A" w:rsidRPr="00912BBA" w:rsidRDefault="006F305A" w:rsidP="00B942FF">
      <w:pPr>
        <w:pStyle w:val="ListParagraph"/>
        <w:numPr>
          <w:ilvl w:val="1"/>
          <w:numId w:val="2"/>
        </w:numPr>
        <w:spacing w:line="360" w:lineRule="auto"/>
        <w:jc w:val="both"/>
        <w:rPr>
          <w:rFonts w:eastAsia="Arial Unicode MS"/>
        </w:rPr>
      </w:pPr>
      <w:r w:rsidRPr="00912BBA">
        <w:rPr>
          <w:rFonts w:eastAsia="Arial Unicode MS"/>
        </w:rPr>
        <w:t xml:space="preserve"> The applicant through  his  lawyers M/s Kaddu &amp; Partners Advocates brought this application</w:t>
      </w:r>
      <w:r w:rsidR="00233622" w:rsidRPr="00912BBA">
        <w:rPr>
          <w:rFonts w:eastAsia="Arial Unicode MS"/>
        </w:rPr>
        <w:t xml:space="preserve"> against the respondents jointly and /or  severally by way of Notice of motion under Sections 83 (a) and ( c) of the Civil Procedure Act, Cap. 71 and Order 52 rules 1 and 3 of the Civil Procedure Rules, Statutory Instrument no. 71-1. This application is supported by the affidavit sworn by the applicant.</w:t>
      </w:r>
    </w:p>
    <w:p w:rsidR="00B942FF" w:rsidRPr="00912BBA" w:rsidRDefault="00B942FF" w:rsidP="00B942FF">
      <w:pPr>
        <w:pStyle w:val="ListParagraph"/>
        <w:spacing w:line="360" w:lineRule="auto"/>
        <w:ind w:left="675"/>
        <w:jc w:val="both"/>
        <w:rPr>
          <w:rFonts w:eastAsia="Arial Unicode MS"/>
        </w:rPr>
      </w:pPr>
    </w:p>
    <w:p w:rsidR="00233622" w:rsidRPr="00912BBA" w:rsidRDefault="00233622" w:rsidP="00B942FF">
      <w:pPr>
        <w:pStyle w:val="ListParagraph"/>
        <w:numPr>
          <w:ilvl w:val="1"/>
          <w:numId w:val="2"/>
        </w:numPr>
        <w:spacing w:line="360" w:lineRule="auto"/>
        <w:jc w:val="both"/>
        <w:rPr>
          <w:rFonts w:eastAsia="Arial Unicode MS"/>
        </w:rPr>
      </w:pPr>
      <w:r w:rsidRPr="00912BBA">
        <w:rPr>
          <w:rFonts w:eastAsia="Arial Unicode MS"/>
        </w:rPr>
        <w:t>The 2</w:t>
      </w:r>
      <w:r w:rsidRPr="00912BBA">
        <w:rPr>
          <w:rFonts w:eastAsia="Arial Unicode MS"/>
          <w:vertAlign w:val="superscript"/>
        </w:rPr>
        <w:t>nd</w:t>
      </w:r>
      <w:r w:rsidRPr="00912BBA">
        <w:rPr>
          <w:rFonts w:eastAsia="Arial Unicode MS"/>
        </w:rPr>
        <w:t xml:space="preserve"> respondent, through his lawyers M/s Musoke Law  Practitioners filed in Court an affidavit in reply to this application and it’s supportive affidavit. In essence, the 2</w:t>
      </w:r>
      <w:r w:rsidRPr="00912BBA">
        <w:rPr>
          <w:rFonts w:eastAsia="Arial Unicode MS"/>
          <w:vertAlign w:val="superscript"/>
        </w:rPr>
        <w:t>nd</w:t>
      </w:r>
      <w:r w:rsidRPr="00912BBA">
        <w:rPr>
          <w:rFonts w:eastAsia="Arial Unicode MS"/>
        </w:rPr>
        <w:t xml:space="preserve"> respondent opposed this application in his affidavit evidence.</w:t>
      </w:r>
    </w:p>
    <w:p w:rsidR="00B942FF" w:rsidRPr="00912BBA" w:rsidRDefault="00B942FF" w:rsidP="00B942FF">
      <w:pPr>
        <w:pStyle w:val="ListParagraph"/>
        <w:rPr>
          <w:rFonts w:eastAsia="Arial Unicode MS"/>
        </w:rPr>
      </w:pPr>
    </w:p>
    <w:p w:rsidR="00233622" w:rsidRPr="00912BBA" w:rsidRDefault="00233622" w:rsidP="00B942FF">
      <w:pPr>
        <w:pStyle w:val="ListParagraph"/>
        <w:numPr>
          <w:ilvl w:val="1"/>
          <w:numId w:val="2"/>
        </w:numPr>
        <w:spacing w:line="360" w:lineRule="auto"/>
        <w:jc w:val="both"/>
        <w:rPr>
          <w:rFonts w:eastAsia="Arial Unicode MS"/>
        </w:rPr>
      </w:pPr>
      <w:r w:rsidRPr="00912BBA">
        <w:rPr>
          <w:rFonts w:eastAsia="Arial Unicode MS"/>
        </w:rPr>
        <w:t xml:space="preserve"> on the day of hearing this application, the court was informed that the 1</w:t>
      </w:r>
      <w:r w:rsidRPr="00912BBA">
        <w:rPr>
          <w:rFonts w:eastAsia="Arial Unicode MS"/>
          <w:vertAlign w:val="superscript"/>
        </w:rPr>
        <w:t>st</w:t>
      </w:r>
      <w:r w:rsidRPr="00912BBA">
        <w:rPr>
          <w:rFonts w:eastAsia="Arial Unicode MS"/>
        </w:rPr>
        <w:t xml:space="preserve"> respondent is dead.</w:t>
      </w:r>
      <w:r w:rsidR="005C02EF" w:rsidRPr="00912BBA">
        <w:rPr>
          <w:rFonts w:eastAsia="Arial Unicode MS"/>
        </w:rPr>
        <w:t xml:space="preserve"> The applicant opted and proceeded against the 2</w:t>
      </w:r>
      <w:r w:rsidR="005C02EF" w:rsidRPr="00912BBA">
        <w:rPr>
          <w:rFonts w:eastAsia="Arial Unicode MS"/>
          <w:vertAlign w:val="superscript"/>
        </w:rPr>
        <w:t>nd</w:t>
      </w:r>
      <w:r w:rsidR="005C02EF" w:rsidRPr="00912BBA">
        <w:rPr>
          <w:rFonts w:eastAsia="Arial Unicode MS"/>
        </w:rPr>
        <w:t xml:space="preserve"> respondent.</w:t>
      </w:r>
    </w:p>
    <w:p w:rsidR="00233622" w:rsidRPr="00912BBA" w:rsidRDefault="00233622" w:rsidP="00233622">
      <w:pPr>
        <w:spacing w:line="360" w:lineRule="auto"/>
        <w:ind w:left="-45"/>
        <w:jc w:val="both"/>
        <w:rPr>
          <w:rFonts w:eastAsia="Arial Unicode MS"/>
        </w:rPr>
      </w:pPr>
    </w:p>
    <w:p w:rsidR="006F305A" w:rsidRPr="00912BBA" w:rsidRDefault="00233622" w:rsidP="005C02EF">
      <w:pPr>
        <w:pStyle w:val="ListParagraph"/>
        <w:numPr>
          <w:ilvl w:val="0"/>
          <w:numId w:val="2"/>
        </w:numPr>
        <w:spacing w:line="360" w:lineRule="auto"/>
        <w:jc w:val="center"/>
        <w:rPr>
          <w:rFonts w:eastAsia="Arial Unicode MS"/>
          <w:b/>
        </w:rPr>
      </w:pPr>
      <w:r w:rsidRPr="00912BBA">
        <w:rPr>
          <w:rFonts w:eastAsia="Arial Unicode MS"/>
          <w:b/>
        </w:rPr>
        <w:t>The application</w:t>
      </w:r>
    </w:p>
    <w:p w:rsidR="00233622" w:rsidRPr="00912BBA" w:rsidRDefault="00233622" w:rsidP="00233622">
      <w:pPr>
        <w:pStyle w:val="ListParagraph"/>
        <w:numPr>
          <w:ilvl w:val="1"/>
          <w:numId w:val="2"/>
        </w:numPr>
        <w:spacing w:line="360" w:lineRule="auto"/>
        <w:jc w:val="both"/>
        <w:rPr>
          <w:rFonts w:eastAsia="Arial Unicode MS"/>
        </w:rPr>
      </w:pPr>
      <w:r w:rsidRPr="00912BBA">
        <w:rPr>
          <w:rFonts w:eastAsia="Arial Unicode MS"/>
        </w:rPr>
        <w:t>This application is seeking the following orders; that:-</w:t>
      </w:r>
    </w:p>
    <w:p w:rsidR="00233622" w:rsidRPr="00912BBA" w:rsidRDefault="00233622" w:rsidP="00233622">
      <w:pPr>
        <w:pStyle w:val="ListParagraph"/>
        <w:numPr>
          <w:ilvl w:val="0"/>
          <w:numId w:val="3"/>
        </w:numPr>
        <w:spacing w:line="360" w:lineRule="auto"/>
        <w:jc w:val="both"/>
        <w:rPr>
          <w:rFonts w:eastAsia="Arial Unicode MS"/>
          <w:b/>
        </w:rPr>
      </w:pPr>
      <w:r w:rsidRPr="00912BBA">
        <w:rPr>
          <w:rFonts w:eastAsia="Arial Unicode MS"/>
          <w:b/>
        </w:rPr>
        <w:t xml:space="preserve">The records of Civil Suit No. 28 of 2011, and Miscellaneous Application No.309 of 2010, Yekoyada Kiwanuka vs 1. Kitamirike Edward, 2. Muhamood Luwalira </w:t>
      </w:r>
      <w:r w:rsidRPr="00912BBA">
        <w:rPr>
          <w:rFonts w:eastAsia="Arial Unicode MS"/>
          <w:b/>
        </w:rPr>
        <w:lastRenderedPageBreak/>
        <w:t>respectively, both of the Chief Magistrate’s Court of Nabweru at Nabweru be called for in order for this Honourable Court to satisfy itself as to the legality, propriety and appropriateness of the judgment, ruling, decrees and all orders emanating therefrom and to have them revised and quashed.</w:t>
      </w:r>
    </w:p>
    <w:p w:rsidR="00233622" w:rsidRPr="00912BBA" w:rsidRDefault="00233622" w:rsidP="00233622">
      <w:pPr>
        <w:pStyle w:val="ListParagraph"/>
        <w:spacing w:line="360" w:lineRule="auto"/>
        <w:ind w:left="675"/>
        <w:jc w:val="both"/>
        <w:rPr>
          <w:rFonts w:eastAsia="Arial Unicode MS"/>
          <w:b/>
        </w:rPr>
      </w:pPr>
    </w:p>
    <w:p w:rsidR="00233622" w:rsidRPr="00912BBA" w:rsidRDefault="00233622" w:rsidP="00233622">
      <w:pPr>
        <w:pStyle w:val="ListParagraph"/>
        <w:numPr>
          <w:ilvl w:val="0"/>
          <w:numId w:val="3"/>
        </w:numPr>
        <w:spacing w:line="360" w:lineRule="auto"/>
        <w:jc w:val="both"/>
        <w:rPr>
          <w:rFonts w:eastAsia="Arial Unicode MS"/>
          <w:b/>
        </w:rPr>
      </w:pPr>
      <w:r w:rsidRPr="00912BBA">
        <w:rPr>
          <w:rFonts w:eastAsia="Arial Unicode MS"/>
          <w:b/>
        </w:rPr>
        <w:t>The costs of this application be provided for.</w:t>
      </w:r>
    </w:p>
    <w:p w:rsidR="003D5B82" w:rsidRPr="00912BBA" w:rsidRDefault="003D5B82" w:rsidP="003D5B82">
      <w:pPr>
        <w:pStyle w:val="ListParagraph"/>
        <w:rPr>
          <w:rFonts w:eastAsia="Arial Unicode MS"/>
        </w:rPr>
      </w:pPr>
    </w:p>
    <w:p w:rsidR="003D5B82" w:rsidRPr="00912BBA" w:rsidRDefault="003D5B82" w:rsidP="003D5B82">
      <w:pPr>
        <w:pStyle w:val="ListParagraph"/>
        <w:spacing w:line="360" w:lineRule="auto"/>
        <w:ind w:left="675"/>
        <w:jc w:val="both"/>
        <w:rPr>
          <w:rFonts w:eastAsia="Arial Unicode MS"/>
        </w:rPr>
      </w:pPr>
    </w:p>
    <w:p w:rsidR="00233622" w:rsidRPr="00912BBA" w:rsidRDefault="003D5B82" w:rsidP="00233622">
      <w:pPr>
        <w:pStyle w:val="ListParagraph"/>
        <w:numPr>
          <w:ilvl w:val="1"/>
          <w:numId w:val="2"/>
        </w:numPr>
        <w:spacing w:line="360" w:lineRule="auto"/>
        <w:jc w:val="both"/>
        <w:rPr>
          <w:rFonts w:eastAsia="Arial Unicode MS"/>
        </w:rPr>
      </w:pPr>
      <w:r w:rsidRPr="00912BBA">
        <w:rPr>
          <w:rFonts w:eastAsia="Arial Unicode MS"/>
        </w:rPr>
        <w:t>This application is based on the following grounds:-</w:t>
      </w:r>
    </w:p>
    <w:p w:rsidR="003D5B82" w:rsidRPr="00912BBA" w:rsidRDefault="003D5B82" w:rsidP="003D5B82">
      <w:pPr>
        <w:pStyle w:val="ListParagraph"/>
        <w:numPr>
          <w:ilvl w:val="0"/>
          <w:numId w:val="4"/>
        </w:numPr>
        <w:spacing w:line="360" w:lineRule="auto"/>
        <w:jc w:val="both"/>
        <w:rPr>
          <w:rFonts w:eastAsia="Arial Unicode MS"/>
          <w:b/>
        </w:rPr>
      </w:pPr>
      <w:r w:rsidRPr="00912BBA">
        <w:rPr>
          <w:rFonts w:eastAsia="Arial Unicode MS"/>
          <w:b/>
        </w:rPr>
        <w:t>The trial Chief Magistrate’s Court exercise</w:t>
      </w:r>
      <w:r w:rsidR="00390BA2" w:rsidRPr="00912BBA">
        <w:rPr>
          <w:rFonts w:eastAsia="Arial Unicode MS"/>
          <w:b/>
        </w:rPr>
        <w:t>d a jurisdiction not vested in it in law when it entertained the above suits before it, whose pecuniary value is in the evirons of 125,000,000/=</w:t>
      </w:r>
    </w:p>
    <w:p w:rsidR="00390BA2" w:rsidRPr="00912BBA" w:rsidRDefault="00390BA2" w:rsidP="003D5B82">
      <w:pPr>
        <w:pStyle w:val="ListParagraph"/>
        <w:numPr>
          <w:ilvl w:val="0"/>
          <w:numId w:val="4"/>
        </w:numPr>
        <w:spacing w:line="360" w:lineRule="auto"/>
        <w:jc w:val="both"/>
        <w:rPr>
          <w:rFonts w:eastAsia="Arial Unicode MS"/>
          <w:b/>
        </w:rPr>
      </w:pPr>
      <w:r w:rsidRPr="00912BBA">
        <w:rPr>
          <w:rFonts w:eastAsia="Arial Unicode MS"/>
          <w:b/>
        </w:rPr>
        <w:t>In the alternative, but with</w:t>
      </w:r>
      <w:r w:rsidR="005C02EF" w:rsidRPr="00912BBA">
        <w:rPr>
          <w:rFonts w:eastAsia="Arial Unicode MS"/>
          <w:b/>
        </w:rPr>
        <w:t>out</w:t>
      </w:r>
      <w:r w:rsidRPr="00912BBA">
        <w:rPr>
          <w:rFonts w:eastAsia="Arial Unicode MS"/>
          <w:b/>
        </w:rPr>
        <w:t xml:space="preserve"> prejudice, to the foregoing, the trial Chief Magistrate’s </w:t>
      </w:r>
      <w:r w:rsidR="005C02EF" w:rsidRPr="00912BBA">
        <w:rPr>
          <w:rFonts w:eastAsia="Arial Unicode MS"/>
          <w:b/>
        </w:rPr>
        <w:t>C</w:t>
      </w:r>
      <w:r w:rsidRPr="00912BBA">
        <w:rPr>
          <w:rFonts w:eastAsia="Arial Unicode MS"/>
          <w:b/>
        </w:rPr>
        <w:t>ourt acted in the exercise of its jurisdiction illegally and with material irregular</w:t>
      </w:r>
      <w:r w:rsidR="005C02EF" w:rsidRPr="00912BBA">
        <w:rPr>
          <w:rFonts w:eastAsia="Arial Unicode MS"/>
          <w:b/>
        </w:rPr>
        <w:t>ity</w:t>
      </w:r>
      <w:r w:rsidRPr="00912BBA">
        <w:rPr>
          <w:rFonts w:eastAsia="Arial Unicode MS"/>
          <w:b/>
        </w:rPr>
        <w:t xml:space="preserve"> and injustice when it summarily dismissed the aforesaid suits.</w:t>
      </w:r>
    </w:p>
    <w:p w:rsidR="00390BA2" w:rsidRPr="00912BBA" w:rsidRDefault="00390BA2" w:rsidP="003D5B82">
      <w:pPr>
        <w:pStyle w:val="ListParagraph"/>
        <w:numPr>
          <w:ilvl w:val="0"/>
          <w:numId w:val="4"/>
        </w:numPr>
        <w:spacing w:line="360" w:lineRule="auto"/>
        <w:jc w:val="both"/>
        <w:rPr>
          <w:rFonts w:eastAsia="Arial Unicode MS"/>
          <w:b/>
        </w:rPr>
      </w:pPr>
      <w:r w:rsidRPr="00912BBA">
        <w:rPr>
          <w:rFonts w:eastAsia="Arial Unicode MS"/>
          <w:b/>
        </w:rPr>
        <w:t>It is in the interests of justice that the said files be called for and the judgment, rulings and all orders emanating therefrom be revised and quashed.</w:t>
      </w:r>
    </w:p>
    <w:p w:rsidR="00390BA2" w:rsidRPr="00912BBA" w:rsidRDefault="00390BA2" w:rsidP="00390BA2">
      <w:pPr>
        <w:pStyle w:val="ListParagraph"/>
        <w:spacing w:line="360" w:lineRule="auto"/>
        <w:ind w:left="675"/>
        <w:jc w:val="both"/>
        <w:rPr>
          <w:rFonts w:eastAsia="Arial Unicode MS"/>
        </w:rPr>
      </w:pPr>
    </w:p>
    <w:p w:rsidR="003D5B82" w:rsidRPr="00912BBA" w:rsidRDefault="00390BA2" w:rsidP="005C02EF">
      <w:pPr>
        <w:pStyle w:val="ListParagraph"/>
        <w:numPr>
          <w:ilvl w:val="0"/>
          <w:numId w:val="2"/>
        </w:numPr>
        <w:spacing w:line="360" w:lineRule="auto"/>
        <w:jc w:val="center"/>
        <w:rPr>
          <w:rFonts w:eastAsia="Arial Unicode MS"/>
          <w:b/>
        </w:rPr>
      </w:pPr>
      <w:r w:rsidRPr="00912BBA">
        <w:rPr>
          <w:rFonts w:eastAsia="Arial Unicode MS"/>
          <w:b/>
        </w:rPr>
        <w:t>Resolution of the application by Court.</w:t>
      </w:r>
    </w:p>
    <w:p w:rsidR="00390BA2" w:rsidRPr="00912BBA" w:rsidRDefault="00390BA2" w:rsidP="00390BA2">
      <w:pPr>
        <w:spacing w:line="360" w:lineRule="auto"/>
        <w:ind w:left="-45"/>
        <w:jc w:val="both"/>
        <w:rPr>
          <w:rFonts w:eastAsia="Arial Unicode MS"/>
        </w:rPr>
      </w:pPr>
    </w:p>
    <w:p w:rsidR="00390BA2" w:rsidRPr="00912BBA" w:rsidRDefault="00B942FF" w:rsidP="00390BA2">
      <w:pPr>
        <w:spacing w:line="360" w:lineRule="auto"/>
        <w:ind w:left="-45"/>
        <w:jc w:val="both"/>
        <w:rPr>
          <w:rFonts w:eastAsia="Arial Unicode MS"/>
        </w:rPr>
      </w:pPr>
      <w:r w:rsidRPr="00912BBA">
        <w:rPr>
          <w:rFonts w:eastAsia="Arial Unicode MS"/>
          <w:b/>
        </w:rPr>
        <w:t>3.1</w:t>
      </w:r>
      <w:r w:rsidRPr="00912BBA">
        <w:rPr>
          <w:rFonts w:eastAsia="Arial Unicode MS"/>
        </w:rPr>
        <w:t xml:space="preserve"> </w:t>
      </w:r>
      <w:r w:rsidR="00390BA2" w:rsidRPr="00912BBA">
        <w:rPr>
          <w:rFonts w:eastAsia="Arial Unicode MS"/>
        </w:rPr>
        <w:t>The parties were directed to file written submissions.  Counsel for the parties never in their submission relied on any case law. Yet this area has a wealth of decisions. To say the least the submission by both parties lack authorities to back up their respective submission</w:t>
      </w:r>
      <w:r w:rsidR="005A0F6F" w:rsidRPr="00912BBA">
        <w:rPr>
          <w:rFonts w:eastAsia="Arial Unicode MS"/>
        </w:rPr>
        <w:t>s</w:t>
      </w:r>
      <w:r w:rsidR="00390BA2" w:rsidRPr="00912BBA">
        <w:rPr>
          <w:rFonts w:eastAsia="Arial Unicode MS"/>
        </w:rPr>
        <w:t xml:space="preserve"> on the matter.</w:t>
      </w:r>
    </w:p>
    <w:p w:rsidR="00390BA2" w:rsidRPr="00912BBA" w:rsidRDefault="00390BA2" w:rsidP="00390BA2">
      <w:pPr>
        <w:spacing w:line="360" w:lineRule="auto"/>
        <w:ind w:left="-45"/>
        <w:jc w:val="both"/>
        <w:rPr>
          <w:rFonts w:eastAsia="Arial Unicode MS"/>
        </w:rPr>
      </w:pPr>
    </w:p>
    <w:p w:rsidR="00390BA2" w:rsidRPr="00912BBA" w:rsidRDefault="00390BA2" w:rsidP="00390BA2">
      <w:pPr>
        <w:spacing w:line="360" w:lineRule="auto"/>
        <w:ind w:left="-45"/>
        <w:jc w:val="both"/>
        <w:rPr>
          <w:rFonts w:eastAsia="Arial Unicode MS"/>
        </w:rPr>
      </w:pPr>
      <w:r w:rsidRPr="00912BBA">
        <w:rPr>
          <w:rFonts w:eastAsia="Arial Unicode MS"/>
        </w:rPr>
        <w:t>On the onset of the submissions by counsel for the applicant, Counsel for the applicant abandoned ground one (1) of th</w:t>
      </w:r>
      <w:r w:rsidR="005A0F6F" w:rsidRPr="00912BBA">
        <w:rPr>
          <w:rFonts w:eastAsia="Arial Unicode MS"/>
        </w:rPr>
        <w:t xml:space="preserve">e application. Counsel for the </w:t>
      </w:r>
      <w:r w:rsidRPr="00912BBA">
        <w:rPr>
          <w:rFonts w:eastAsia="Arial Unicode MS"/>
        </w:rPr>
        <w:t>applicant only argued ground two (2) of the application.</w:t>
      </w:r>
    </w:p>
    <w:p w:rsidR="00390BA2" w:rsidRPr="00912BBA" w:rsidRDefault="00390BA2" w:rsidP="00390BA2">
      <w:pPr>
        <w:spacing w:line="360" w:lineRule="auto"/>
        <w:ind w:left="-45"/>
        <w:jc w:val="both"/>
        <w:rPr>
          <w:rFonts w:eastAsia="Arial Unicode MS"/>
        </w:rPr>
      </w:pPr>
    </w:p>
    <w:p w:rsidR="00390BA2" w:rsidRPr="00912BBA" w:rsidRDefault="00390BA2" w:rsidP="00390BA2">
      <w:pPr>
        <w:spacing w:line="360" w:lineRule="auto"/>
        <w:ind w:left="-45"/>
        <w:jc w:val="both"/>
        <w:rPr>
          <w:rFonts w:eastAsia="Arial Unicode MS"/>
          <w:b/>
        </w:rPr>
      </w:pPr>
      <w:r w:rsidRPr="00912BBA">
        <w:rPr>
          <w:rFonts w:eastAsia="Arial Unicode MS"/>
          <w:b/>
        </w:rPr>
        <w:t>3.2 Ground 2: The trial magistrate acted in the exercise of her jurisdiction illegally and with material irregularity and injustice when she summarily dismissed the aforesaid suits.</w:t>
      </w:r>
    </w:p>
    <w:p w:rsidR="00390BA2" w:rsidRPr="00912BBA" w:rsidRDefault="00390BA2" w:rsidP="00390BA2">
      <w:pPr>
        <w:spacing w:line="360" w:lineRule="auto"/>
        <w:ind w:left="-45"/>
        <w:jc w:val="both"/>
        <w:rPr>
          <w:rFonts w:eastAsia="Arial Unicode MS"/>
        </w:rPr>
      </w:pPr>
    </w:p>
    <w:p w:rsidR="00390BA2" w:rsidRPr="00912BBA" w:rsidRDefault="005C02EF" w:rsidP="00390BA2">
      <w:pPr>
        <w:spacing w:line="360" w:lineRule="auto"/>
        <w:ind w:left="-45"/>
        <w:jc w:val="both"/>
        <w:rPr>
          <w:rFonts w:eastAsia="Arial Unicode MS"/>
        </w:rPr>
      </w:pPr>
      <w:r w:rsidRPr="00912BBA">
        <w:rPr>
          <w:rFonts w:eastAsia="Arial Unicode MS"/>
          <w:b/>
        </w:rPr>
        <w:t>3.2.1</w:t>
      </w:r>
      <w:r w:rsidRPr="00912BBA">
        <w:rPr>
          <w:rFonts w:eastAsia="Arial Unicode MS"/>
        </w:rPr>
        <w:t xml:space="preserve"> </w:t>
      </w:r>
      <w:r w:rsidR="00390BA2" w:rsidRPr="00912BBA">
        <w:rPr>
          <w:rFonts w:eastAsia="Arial Unicode MS"/>
        </w:rPr>
        <w:t>This application seeks for the review of the judgment in Civil Suit No. 28 of 2010 and Ru</w:t>
      </w:r>
      <w:r w:rsidRPr="00912BBA">
        <w:rPr>
          <w:rFonts w:eastAsia="Arial Unicode MS"/>
        </w:rPr>
        <w:t>l</w:t>
      </w:r>
      <w:r w:rsidR="00390BA2" w:rsidRPr="00912BBA">
        <w:rPr>
          <w:rFonts w:eastAsia="Arial Unicode MS"/>
        </w:rPr>
        <w:t>ing in Miscellaneous Application No. 309 of 2010 based on the above ground.</w:t>
      </w:r>
    </w:p>
    <w:p w:rsidR="00390BA2" w:rsidRPr="00912BBA" w:rsidRDefault="00390BA2" w:rsidP="00390BA2">
      <w:pPr>
        <w:spacing w:line="360" w:lineRule="auto"/>
        <w:ind w:left="-45"/>
        <w:jc w:val="both"/>
        <w:rPr>
          <w:rFonts w:eastAsia="Arial Unicode MS"/>
        </w:rPr>
      </w:pPr>
    </w:p>
    <w:p w:rsidR="00390BA2" w:rsidRPr="00912BBA" w:rsidRDefault="00390BA2" w:rsidP="00390BA2">
      <w:pPr>
        <w:spacing w:line="360" w:lineRule="auto"/>
        <w:ind w:left="-45"/>
        <w:jc w:val="both"/>
        <w:rPr>
          <w:rFonts w:eastAsia="Arial Unicode MS"/>
          <w:b/>
        </w:rPr>
      </w:pPr>
      <w:r w:rsidRPr="00912BBA">
        <w:rPr>
          <w:rFonts w:eastAsia="Arial Unicode MS"/>
        </w:rPr>
        <w:t>I have perused the submission</w:t>
      </w:r>
      <w:r w:rsidR="005A0F6F" w:rsidRPr="00912BBA">
        <w:rPr>
          <w:rFonts w:eastAsia="Arial Unicode MS"/>
        </w:rPr>
        <w:t>s</w:t>
      </w:r>
      <w:r w:rsidRPr="00912BBA">
        <w:rPr>
          <w:rFonts w:eastAsia="Arial Unicode MS"/>
        </w:rPr>
        <w:t xml:space="preserve"> by Counsel for the 2</w:t>
      </w:r>
      <w:r w:rsidRPr="00912BBA">
        <w:rPr>
          <w:rFonts w:eastAsia="Arial Unicode MS"/>
          <w:vertAlign w:val="superscript"/>
        </w:rPr>
        <w:t>nd</w:t>
      </w:r>
      <w:r w:rsidRPr="00912BBA">
        <w:rPr>
          <w:rFonts w:eastAsia="Arial Unicode MS"/>
        </w:rPr>
        <w:t xml:space="preserve"> respondent. The said submissions are not challenging the submission</w:t>
      </w:r>
      <w:r w:rsidR="005C02EF" w:rsidRPr="00912BBA">
        <w:rPr>
          <w:rFonts w:eastAsia="Arial Unicode MS"/>
        </w:rPr>
        <w:t>s</w:t>
      </w:r>
      <w:r w:rsidRPr="00912BBA">
        <w:rPr>
          <w:rFonts w:eastAsia="Arial Unicode MS"/>
        </w:rPr>
        <w:t xml:space="preserve"> by Counsel for the applicant. In his submissions, Counsel for the 2</w:t>
      </w:r>
      <w:r w:rsidRPr="00912BBA">
        <w:rPr>
          <w:rFonts w:eastAsia="Arial Unicode MS"/>
          <w:vertAlign w:val="superscript"/>
        </w:rPr>
        <w:t>nd</w:t>
      </w:r>
      <w:r w:rsidRPr="00912BBA">
        <w:rPr>
          <w:rFonts w:eastAsia="Arial Unicode MS"/>
        </w:rPr>
        <w:t xml:space="preserve"> respondent stated:</w:t>
      </w:r>
    </w:p>
    <w:p w:rsidR="003574AB" w:rsidRPr="00912BBA" w:rsidRDefault="003574AB" w:rsidP="00B942FF">
      <w:pPr>
        <w:ind w:left="907" w:right="907"/>
        <w:jc w:val="both"/>
        <w:rPr>
          <w:rFonts w:eastAsia="Arial Unicode MS"/>
          <w:b/>
        </w:rPr>
      </w:pPr>
      <w:r w:rsidRPr="00912BBA">
        <w:rPr>
          <w:rFonts w:eastAsia="Arial Unicode MS"/>
          <w:b/>
        </w:rPr>
        <w:t xml:space="preserve">“ the site visit, according to what was reported on </w:t>
      </w:r>
      <w:r w:rsidR="005C02EF" w:rsidRPr="00912BBA">
        <w:rPr>
          <w:rFonts w:eastAsia="Arial Unicode MS"/>
          <w:b/>
        </w:rPr>
        <w:t>C</w:t>
      </w:r>
      <w:r w:rsidRPr="00912BBA">
        <w:rPr>
          <w:rFonts w:eastAsia="Arial Unicode MS"/>
          <w:b/>
        </w:rPr>
        <w:t>ourt record, found that the suit land was generally a bush, which was used for grazing cattle. There was no confirmed garden on the land. The applicant’s residential house was on land adjacent to the suit land; across the road. In effect, the claim of holding a kibanja on the 2</w:t>
      </w:r>
      <w:r w:rsidRPr="00912BBA">
        <w:rPr>
          <w:rFonts w:eastAsia="Arial Unicode MS"/>
          <w:b/>
          <w:vertAlign w:val="superscript"/>
        </w:rPr>
        <w:t>nd</w:t>
      </w:r>
      <w:r w:rsidRPr="00912BBA">
        <w:rPr>
          <w:rFonts w:eastAsia="Arial Unicode MS"/>
          <w:b/>
        </w:rPr>
        <w:t xml:space="preserve"> respondent’s land was found to be false.</w:t>
      </w:r>
      <w:r w:rsidR="00B942FF" w:rsidRPr="00912BBA">
        <w:rPr>
          <w:rFonts w:eastAsia="Arial Unicode MS"/>
          <w:b/>
        </w:rPr>
        <w:t>”</w:t>
      </w:r>
    </w:p>
    <w:p w:rsidR="003574AB" w:rsidRPr="00912BBA" w:rsidRDefault="003574AB" w:rsidP="00390BA2">
      <w:pPr>
        <w:spacing w:line="360" w:lineRule="auto"/>
        <w:ind w:left="-45"/>
        <w:jc w:val="both"/>
        <w:rPr>
          <w:rFonts w:eastAsia="Arial Unicode MS"/>
        </w:rPr>
      </w:pPr>
    </w:p>
    <w:p w:rsidR="003574AB" w:rsidRPr="00912BBA" w:rsidRDefault="003574AB" w:rsidP="00390BA2">
      <w:pPr>
        <w:spacing w:line="360" w:lineRule="auto"/>
        <w:ind w:left="-45"/>
        <w:jc w:val="both"/>
        <w:rPr>
          <w:rFonts w:eastAsia="Arial Unicode MS"/>
        </w:rPr>
      </w:pPr>
      <w:r w:rsidRPr="00912BBA">
        <w:rPr>
          <w:rFonts w:eastAsia="Arial Unicode MS"/>
        </w:rPr>
        <w:t>When the applicant’s suit was dismissed on the 21/09/2010, the 2</w:t>
      </w:r>
      <w:r w:rsidRPr="00912BBA">
        <w:rPr>
          <w:rFonts w:eastAsia="Arial Unicode MS"/>
          <w:vertAlign w:val="superscript"/>
        </w:rPr>
        <w:t>nd</w:t>
      </w:r>
      <w:r w:rsidRPr="00912BBA">
        <w:rPr>
          <w:rFonts w:eastAsia="Arial Unicode MS"/>
        </w:rPr>
        <w:t xml:space="preserve"> respondent applied for and was granted consequential orders, viz, that the applicant be evicted from the suit land. The order was extracted on the 05</w:t>
      </w:r>
      <w:r w:rsidRPr="00912BBA">
        <w:rPr>
          <w:rFonts w:eastAsia="Arial Unicode MS"/>
          <w:vertAlign w:val="superscript"/>
        </w:rPr>
        <w:t>th</w:t>
      </w:r>
      <w:r w:rsidRPr="00912BBA">
        <w:rPr>
          <w:rFonts w:eastAsia="Arial Unicode MS"/>
        </w:rPr>
        <w:t xml:space="preserve"> April, 2011 and served on the applicant. Upon receipt of the said order, the applicant willingly obliged, by ceasing to bring his cows to graze on the 2</w:t>
      </w:r>
      <w:r w:rsidRPr="00912BBA">
        <w:rPr>
          <w:rFonts w:eastAsia="Arial Unicode MS"/>
          <w:vertAlign w:val="superscript"/>
        </w:rPr>
        <w:t>nd</w:t>
      </w:r>
      <w:r w:rsidRPr="00912BBA">
        <w:rPr>
          <w:rFonts w:eastAsia="Arial Unicode MS"/>
        </w:rPr>
        <w:t xml:space="preserve"> respondent’s land. The 2</w:t>
      </w:r>
      <w:r w:rsidRPr="00912BBA">
        <w:rPr>
          <w:rFonts w:eastAsia="Arial Unicode MS"/>
          <w:vertAlign w:val="superscript"/>
        </w:rPr>
        <w:t>nd</w:t>
      </w:r>
      <w:r w:rsidRPr="00912BBA">
        <w:rPr>
          <w:rFonts w:eastAsia="Arial Unicode MS"/>
        </w:rPr>
        <w:t xml:space="preserve"> respondent took full possession of his land, and commenced developing it. This is a period of over one (01) year ago. Now the applicant seeks to reverse the status quo.</w:t>
      </w:r>
    </w:p>
    <w:p w:rsidR="003574AB" w:rsidRPr="00912BBA" w:rsidRDefault="003574AB" w:rsidP="00390BA2">
      <w:pPr>
        <w:spacing w:line="360" w:lineRule="auto"/>
        <w:ind w:left="-45"/>
        <w:jc w:val="both"/>
        <w:rPr>
          <w:rFonts w:eastAsia="Arial Unicode MS"/>
        </w:rPr>
      </w:pPr>
    </w:p>
    <w:p w:rsidR="003574AB" w:rsidRPr="00912BBA" w:rsidRDefault="003574AB" w:rsidP="00390BA2">
      <w:pPr>
        <w:spacing w:line="360" w:lineRule="auto"/>
        <w:ind w:left="-45"/>
        <w:jc w:val="both"/>
        <w:rPr>
          <w:rFonts w:eastAsia="Arial Unicode MS"/>
        </w:rPr>
      </w:pPr>
      <w:r w:rsidRPr="00912BBA">
        <w:rPr>
          <w:rFonts w:eastAsia="Arial Unicode MS"/>
        </w:rPr>
        <w:t>The 2</w:t>
      </w:r>
      <w:r w:rsidRPr="00912BBA">
        <w:rPr>
          <w:rFonts w:eastAsia="Arial Unicode MS"/>
          <w:vertAlign w:val="superscript"/>
        </w:rPr>
        <w:t>nd</w:t>
      </w:r>
      <w:r w:rsidRPr="00912BBA">
        <w:rPr>
          <w:rFonts w:eastAsia="Arial Unicode MS"/>
        </w:rPr>
        <w:t xml:space="preserve"> respondent feels that this will occasion serious injustice and hardship on him. </w:t>
      </w:r>
      <w:r w:rsidR="005C02EF" w:rsidRPr="00912BBA">
        <w:rPr>
          <w:rFonts w:eastAsia="Arial Unicode MS"/>
        </w:rPr>
        <w:t>That it</w:t>
      </w:r>
      <w:r w:rsidRPr="00912BBA">
        <w:rPr>
          <w:rFonts w:eastAsia="Arial Unicode MS"/>
        </w:rPr>
        <w:t xml:space="preserve"> will mean that his developments on the land have to be demolished in order to accommodate the applicant’s cows, who will be using it for grazing.</w:t>
      </w:r>
    </w:p>
    <w:p w:rsidR="003574AB" w:rsidRPr="00912BBA" w:rsidRDefault="003574AB" w:rsidP="00390BA2">
      <w:pPr>
        <w:spacing w:line="360" w:lineRule="auto"/>
        <w:ind w:left="-45"/>
        <w:jc w:val="both"/>
        <w:rPr>
          <w:rFonts w:eastAsia="Arial Unicode MS"/>
        </w:rPr>
      </w:pPr>
    </w:p>
    <w:p w:rsidR="000E4A1C" w:rsidRPr="00912BBA" w:rsidRDefault="000E4A1C" w:rsidP="00390BA2">
      <w:pPr>
        <w:spacing w:line="360" w:lineRule="auto"/>
        <w:ind w:left="-45"/>
        <w:jc w:val="both"/>
        <w:rPr>
          <w:rFonts w:eastAsia="Arial Unicode MS"/>
        </w:rPr>
      </w:pPr>
    </w:p>
    <w:p w:rsidR="003574AB" w:rsidRPr="00912BBA" w:rsidRDefault="005C02EF" w:rsidP="00390BA2">
      <w:pPr>
        <w:spacing w:line="360" w:lineRule="auto"/>
        <w:ind w:left="-45"/>
        <w:jc w:val="both"/>
        <w:rPr>
          <w:rFonts w:eastAsia="Arial Unicode MS"/>
        </w:rPr>
      </w:pPr>
      <w:r w:rsidRPr="00912BBA">
        <w:rPr>
          <w:rFonts w:eastAsia="Arial Unicode MS"/>
          <w:b/>
        </w:rPr>
        <w:t>3.2.2</w:t>
      </w:r>
      <w:r w:rsidRPr="00912BBA">
        <w:rPr>
          <w:rFonts w:eastAsia="Arial Unicode MS"/>
        </w:rPr>
        <w:t xml:space="preserve"> </w:t>
      </w:r>
      <w:r w:rsidR="003574AB" w:rsidRPr="00912BBA">
        <w:rPr>
          <w:rFonts w:eastAsia="Arial Unicode MS"/>
        </w:rPr>
        <w:t>Under Section 83</w:t>
      </w:r>
      <w:r w:rsidR="000E4A1C" w:rsidRPr="00912BBA">
        <w:rPr>
          <w:rFonts w:eastAsia="Arial Unicode MS"/>
        </w:rPr>
        <w:t xml:space="preserve"> (e)</w:t>
      </w:r>
      <w:r w:rsidR="003574AB" w:rsidRPr="00912BBA">
        <w:rPr>
          <w:rFonts w:eastAsia="Arial Unicode MS"/>
        </w:rPr>
        <w:t xml:space="preserve"> of the Civil Procedure Ac t, it is provided that:</w:t>
      </w:r>
    </w:p>
    <w:p w:rsidR="003574AB" w:rsidRPr="00912BBA" w:rsidRDefault="003574AB" w:rsidP="005C02EF">
      <w:pPr>
        <w:spacing w:line="276" w:lineRule="auto"/>
        <w:ind w:left="851" w:right="851"/>
        <w:jc w:val="both"/>
        <w:rPr>
          <w:rFonts w:eastAsia="Arial Unicode MS"/>
          <w:b/>
        </w:rPr>
      </w:pPr>
      <w:r w:rsidRPr="00912BBA">
        <w:rPr>
          <w:rFonts w:eastAsia="Arial Unicode MS"/>
          <w:b/>
        </w:rPr>
        <w:t>“the High Court may revise the case and may make such order in it as it thinks fit, but no such power of revision shall be exercised</w:t>
      </w:r>
    </w:p>
    <w:p w:rsidR="003574AB" w:rsidRPr="00912BBA" w:rsidRDefault="003574AB" w:rsidP="005C02EF">
      <w:pPr>
        <w:spacing w:line="276" w:lineRule="auto"/>
        <w:ind w:left="851" w:right="851"/>
        <w:jc w:val="both"/>
        <w:rPr>
          <w:rFonts w:eastAsia="Arial Unicode MS"/>
          <w:b/>
        </w:rPr>
      </w:pPr>
      <w:r w:rsidRPr="00912BBA">
        <w:rPr>
          <w:rFonts w:eastAsia="Arial Unicode MS"/>
          <w:b/>
        </w:rPr>
        <w:t>(e)Where, from lapse of time or other cause, the exercise of that power would involve serious hardship to any person”</w:t>
      </w:r>
    </w:p>
    <w:p w:rsidR="003574AB" w:rsidRPr="00912BBA" w:rsidRDefault="003574AB" w:rsidP="003574AB">
      <w:pPr>
        <w:spacing w:line="360" w:lineRule="auto"/>
        <w:jc w:val="both"/>
        <w:rPr>
          <w:rFonts w:eastAsia="Arial Unicode MS"/>
        </w:rPr>
      </w:pPr>
    </w:p>
    <w:p w:rsidR="003574AB" w:rsidRPr="00912BBA" w:rsidRDefault="003574AB" w:rsidP="003574AB">
      <w:pPr>
        <w:spacing w:line="360" w:lineRule="auto"/>
        <w:jc w:val="both"/>
        <w:rPr>
          <w:rFonts w:eastAsia="Arial Unicode MS"/>
        </w:rPr>
      </w:pPr>
      <w:r w:rsidRPr="00912BBA">
        <w:rPr>
          <w:rFonts w:eastAsia="Arial Unicode MS"/>
        </w:rPr>
        <w:t>Counsel for the res</w:t>
      </w:r>
      <w:r w:rsidR="005A0F6F" w:rsidRPr="00912BBA">
        <w:rPr>
          <w:rFonts w:eastAsia="Arial Unicode MS"/>
        </w:rPr>
        <w:t>pondent relied on Section 83</w:t>
      </w:r>
      <w:r w:rsidRPr="00912BBA">
        <w:rPr>
          <w:rFonts w:eastAsia="Arial Unicode MS"/>
        </w:rPr>
        <w:t xml:space="preserve"> of the C</w:t>
      </w:r>
      <w:r w:rsidR="005C02EF" w:rsidRPr="00912BBA">
        <w:rPr>
          <w:rFonts w:eastAsia="Arial Unicode MS"/>
        </w:rPr>
        <w:t xml:space="preserve">ivil Procedure Act </w:t>
      </w:r>
      <w:r w:rsidRPr="00912BBA">
        <w:rPr>
          <w:rFonts w:eastAsia="Arial Unicode MS"/>
        </w:rPr>
        <w:t>which reads:</w:t>
      </w:r>
    </w:p>
    <w:p w:rsidR="002D6925" w:rsidRPr="00912BBA" w:rsidRDefault="003574AB" w:rsidP="00B942FF">
      <w:pPr>
        <w:ind w:left="907" w:right="907"/>
        <w:jc w:val="both"/>
        <w:rPr>
          <w:rFonts w:eastAsia="Arial Unicode MS"/>
          <w:b/>
        </w:rPr>
      </w:pPr>
      <w:r w:rsidRPr="00912BBA">
        <w:rPr>
          <w:rFonts w:eastAsia="Arial Unicode MS"/>
          <w:b/>
        </w:rPr>
        <w:t>“ the High Court may call for the record of any case which has been determined under this act by any m</w:t>
      </w:r>
      <w:r w:rsidR="000E4A1C" w:rsidRPr="00912BBA">
        <w:rPr>
          <w:rFonts w:eastAsia="Arial Unicode MS"/>
          <w:b/>
        </w:rPr>
        <w:t>agistrate’s C</w:t>
      </w:r>
      <w:r w:rsidR="005C02EF" w:rsidRPr="00912BBA">
        <w:rPr>
          <w:rFonts w:eastAsia="Arial Unicode MS"/>
          <w:b/>
        </w:rPr>
        <w:t>ourt, and if that C</w:t>
      </w:r>
      <w:r w:rsidRPr="00912BBA">
        <w:rPr>
          <w:rFonts w:eastAsia="Arial Unicode MS"/>
          <w:b/>
        </w:rPr>
        <w:t>ourt appears to have</w:t>
      </w:r>
      <w:r w:rsidR="002D6925" w:rsidRPr="00912BBA">
        <w:rPr>
          <w:rFonts w:eastAsia="Arial Unicode MS"/>
          <w:b/>
        </w:rPr>
        <w:t>;</w:t>
      </w:r>
    </w:p>
    <w:p w:rsidR="002D6925" w:rsidRPr="00912BBA" w:rsidRDefault="002D6925" w:rsidP="00B942FF">
      <w:pPr>
        <w:ind w:left="907" w:right="907"/>
        <w:jc w:val="both"/>
        <w:rPr>
          <w:rFonts w:eastAsia="Arial Unicode MS"/>
          <w:b/>
        </w:rPr>
      </w:pPr>
      <w:r w:rsidRPr="00912BBA">
        <w:rPr>
          <w:rFonts w:eastAsia="Arial Unicode MS"/>
          <w:b/>
        </w:rPr>
        <w:t>(a)…………</w:t>
      </w:r>
    </w:p>
    <w:p w:rsidR="002D6925" w:rsidRPr="00912BBA" w:rsidRDefault="002D6925" w:rsidP="00B942FF">
      <w:pPr>
        <w:ind w:left="907" w:right="907"/>
        <w:jc w:val="both"/>
        <w:rPr>
          <w:rFonts w:eastAsia="Arial Unicode MS"/>
          <w:b/>
        </w:rPr>
      </w:pPr>
      <w:r w:rsidRPr="00912BBA">
        <w:rPr>
          <w:rFonts w:eastAsia="Arial Unicode MS"/>
          <w:b/>
        </w:rPr>
        <w:t>(b)…………</w:t>
      </w:r>
    </w:p>
    <w:p w:rsidR="003574AB" w:rsidRPr="00912BBA" w:rsidRDefault="002D6925" w:rsidP="00B942FF">
      <w:pPr>
        <w:ind w:left="907" w:right="907"/>
        <w:jc w:val="both"/>
        <w:rPr>
          <w:rFonts w:eastAsia="Arial Unicode MS"/>
          <w:b/>
        </w:rPr>
      </w:pPr>
      <w:r w:rsidRPr="00912BBA">
        <w:rPr>
          <w:rFonts w:eastAsia="Arial Unicode MS"/>
          <w:b/>
        </w:rPr>
        <w:t>(c)</w:t>
      </w:r>
      <w:r w:rsidR="003574AB" w:rsidRPr="00912BBA">
        <w:rPr>
          <w:rFonts w:eastAsia="Arial Unicode MS"/>
          <w:b/>
        </w:rPr>
        <w:t xml:space="preserve"> acted in the exercise of its jurisdiction illegally or with  material irregularity or injustice, the High Court may revise the case and may make such order in it as it thinks fit……..”</w:t>
      </w:r>
    </w:p>
    <w:p w:rsidR="003574AB" w:rsidRPr="00912BBA" w:rsidRDefault="003574AB" w:rsidP="003574AB">
      <w:pPr>
        <w:spacing w:line="360" w:lineRule="auto"/>
        <w:jc w:val="both"/>
        <w:rPr>
          <w:rFonts w:eastAsia="Arial Unicode MS"/>
        </w:rPr>
      </w:pPr>
    </w:p>
    <w:p w:rsidR="003574AB" w:rsidRPr="00912BBA" w:rsidRDefault="005C02EF" w:rsidP="003574AB">
      <w:pPr>
        <w:spacing w:line="360" w:lineRule="auto"/>
        <w:jc w:val="both"/>
        <w:rPr>
          <w:rFonts w:eastAsia="Arial Unicode MS"/>
        </w:rPr>
      </w:pPr>
      <w:r w:rsidRPr="00912BBA">
        <w:rPr>
          <w:rFonts w:eastAsia="Arial Unicode MS"/>
          <w:b/>
        </w:rPr>
        <w:t>3.2.3</w:t>
      </w:r>
      <w:r w:rsidRPr="00912BBA">
        <w:rPr>
          <w:rFonts w:eastAsia="Arial Unicode MS"/>
        </w:rPr>
        <w:t xml:space="preserve"> </w:t>
      </w:r>
      <w:r w:rsidR="003574AB" w:rsidRPr="00912BBA">
        <w:rPr>
          <w:rFonts w:eastAsia="Arial Unicode MS"/>
        </w:rPr>
        <w:t>According t</w:t>
      </w:r>
      <w:r w:rsidR="000E4A1C" w:rsidRPr="00912BBA">
        <w:rPr>
          <w:rFonts w:eastAsia="Arial Unicode MS"/>
        </w:rPr>
        <w:t>o the proceedings in the lower C</w:t>
      </w:r>
      <w:r w:rsidR="003574AB" w:rsidRPr="00912BBA">
        <w:rPr>
          <w:rFonts w:eastAsia="Arial Unicode MS"/>
        </w:rPr>
        <w:t>ourt, the plaintiff filed Civil Suit No. 54 of 2006 against the defendant on 7/4/2006 in the High Court of Uganda at Nakawa.</w:t>
      </w:r>
    </w:p>
    <w:p w:rsidR="003574AB" w:rsidRPr="00912BBA" w:rsidRDefault="003574AB" w:rsidP="003574AB">
      <w:pPr>
        <w:spacing w:line="360" w:lineRule="auto"/>
        <w:jc w:val="both"/>
        <w:rPr>
          <w:rFonts w:eastAsia="Arial Unicode MS"/>
        </w:rPr>
      </w:pPr>
    </w:p>
    <w:p w:rsidR="003574AB" w:rsidRPr="00912BBA" w:rsidRDefault="003574AB" w:rsidP="003574AB">
      <w:pPr>
        <w:spacing w:line="360" w:lineRule="auto"/>
        <w:jc w:val="both"/>
        <w:rPr>
          <w:rFonts w:eastAsia="Arial Unicode MS"/>
        </w:rPr>
      </w:pPr>
      <w:r w:rsidRPr="00912BBA">
        <w:rPr>
          <w:rFonts w:eastAsia="Arial Unicode MS"/>
        </w:rPr>
        <w:t>The plaintiff</w:t>
      </w:r>
      <w:r w:rsidR="000E4A1C" w:rsidRPr="00912BBA">
        <w:rPr>
          <w:rFonts w:eastAsia="Arial Unicode MS"/>
        </w:rPr>
        <w:t xml:space="preserve"> (applicant)</w:t>
      </w:r>
      <w:r w:rsidRPr="00912BBA">
        <w:rPr>
          <w:rFonts w:eastAsia="Arial Unicode MS"/>
        </w:rPr>
        <w:t xml:space="preserve"> was seeking the following orders against the defendants</w:t>
      </w:r>
      <w:r w:rsidR="000E4A1C" w:rsidRPr="00912BBA">
        <w:rPr>
          <w:rFonts w:eastAsia="Arial Unicode MS"/>
        </w:rPr>
        <w:t xml:space="preserve"> (respondents)</w:t>
      </w:r>
      <w:r w:rsidRPr="00912BBA">
        <w:rPr>
          <w:rFonts w:eastAsia="Arial Unicode MS"/>
        </w:rPr>
        <w:t>:</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A declaration that the plaintiff is a lawful kibanja owner.</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A declaration that the defendants are trespasser on the plaintiff’s kibanja.</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An eviction order against the defendants from the plaintiff’s kibanja.</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Damages for trespass.</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A permanent injunction restraining the defendant from interfering with the plaintiff’s quiet possession on the kibanja.</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Costs of the suit.</w:t>
      </w:r>
    </w:p>
    <w:p w:rsidR="003574AB" w:rsidRPr="00912BBA" w:rsidRDefault="003574AB" w:rsidP="003574AB">
      <w:pPr>
        <w:pStyle w:val="ListParagraph"/>
        <w:numPr>
          <w:ilvl w:val="0"/>
          <w:numId w:val="5"/>
        </w:numPr>
        <w:spacing w:line="360" w:lineRule="auto"/>
        <w:jc w:val="both"/>
        <w:rPr>
          <w:rFonts w:eastAsia="Arial Unicode MS"/>
        </w:rPr>
      </w:pPr>
      <w:r w:rsidRPr="00912BBA">
        <w:rPr>
          <w:rFonts w:eastAsia="Arial Unicode MS"/>
        </w:rPr>
        <w:t>Any other relief court deems fit.</w:t>
      </w:r>
    </w:p>
    <w:p w:rsidR="003574AB" w:rsidRPr="00912BBA" w:rsidRDefault="003574AB" w:rsidP="003574AB">
      <w:pPr>
        <w:spacing w:line="360" w:lineRule="auto"/>
        <w:jc w:val="both"/>
        <w:rPr>
          <w:rFonts w:eastAsia="Arial Unicode MS"/>
        </w:rPr>
      </w:pPr>
    </w:p>
    <w:p w:rsidR="003574AB" w:rsidRPr="00912BBA" w:rsidRDefault="003574AB" w:rsidP="003574AB">
      <w:pPr>
        <w:spacing w:line="360" w:lineRule="auto"/>
        <w:jc w:val="both"/>
        <w:rPr>
          <w:rFonts w:eastAsia="Arial Unicode MS"/>
        </w:rPr>
      </w:pPr>
      <w:r w:rsidRPr="00912BBA">
        <w:rPr>
          <w:rFonts w:eastAsia="Arial Unicode MS"/>
        </w:rPr>
        <w:t>On 10/5/2006, the defendant filed a joint written statement of defence in which a counterclaim was raised.</w:t>
      </w:r>
    </w:p>
    <w:p w:rsidR="003574AB" w:rsidRPr="00912BBA" w:rsidRDefault="003574AB" w:rsidP="003574AB">
      <w:pPr>
        <w:spacing w:line="360" w:lineRule="auto"/>
        <w:jc w:val="both"/>
        <w:rPr>
          <w:rFonts w:eastAsia="Arial Unicode MS"/>
        </w:rPr>
      </w:pPr>
    </w:p>
    <w:p w:rsidR="003574AB" w:rsidRPr="00912BBA" w:rsidRDefault="003574AB" w:rsidP="003574AB">
      <w:pPr>
        <w:spacing w:line="360" w:lineRule="auto"/>
        <w:jc w:val="both"/>
        <w:rPr>
          <w:rFonts w:eastAsia="Arial Unicode MS"/>
        </w:rPr>
      </w:pPr>
      <w:r w:rsidRPr="00912BBA">
        <w:rPr>
          <w:rFonts w:eastAsia="Arial Unicode MS"/>
        </w:rPr>
        <w:t>The following orders were sought in the counterclaim;</w:t>
      </w:r>
    </w:p>
    <w:p w:rsidR="00EA1FBE" w:rsidRPr="00912BBA" w:rsidRDefault="00EA1FBE" w:rsidP="00EA1FBE">
      <w:pPr>
        <w:pStyle w:val="ListParagraph"/>
        <w:numPr>
          <w:ilvl w:val="0"/>
          <w:numId w:val="6"/>
        </w:numPr>
        <w:spacing w:line="360" w:lineRule="auto"/>
        <w:jc w:val="both"/>
        <w:rPr>
          <w:rFonts w:eastAsia="Arial Unicode MS"/>
        </w:rPr>
      </w:pPr>
      <w:r w:rsidRPr="00912BBA">
        <w:rPr>
          <w:rFonts w:eastAsia="Arial Unicode MS"/>
        </w:rPr>
        <w:t xml:space="preserve">That the plaintiff </w:t>
      </w:r>
      <w:r w:rsidR="005C02EF" w:rsidRPr="00912BBA">
        <w:rPr>
          <w:rFonts w:eastAsia="Arial Unicode MS"/>
        </w:rPr>
        <w:t xml:space="preserve">is </w:t>
      </w:r>
      <w:r w:rsidRPr="00912BBA">
        <w:rPr>
          <w:rFonts w:eastAsia="Arial Unicode MS"/>
        </w:rPr>
        <w:t>a trespasser on the defendant’s land</w:t>
      </w:r>
    </w:p>
    <w:p w:rsidR="00EA1FBE" w:rsidRPr="00912BBA" w:rsidRDefault="00EA1FBE" w:rsidP="00EA1FBE">
      <w:pPr>
        <w:pStyle w:val="ListParagraph"/>
        <w:numPr>
          <w:ilvl w:val="0"/>
          <w:numId w:val="6"/>
        </w:numPr>
        <w:spacing w:line="360" w:lineRule="auto"/>
        <w:jc w:val="both"/>
        <w:rPr>
          <w:rFonts w:eastAsia="Arial Unicode MS"/>
        </w:rPr>
      </w:pPr>
      <w:r w:rsidRPr="00912BBA">
        <w:rPr>
          <w:rFonts w:eastAsia="Arial Unicode MS"/>
        </w:rPr>
        <w:t>A permanent injunction restraining the plaintiff, his agents or workmen from trespassing on the defendant’s land.</w:t>
      </w:r>
    </w:p>
    <w:p w:rsidR="00EA1FBE" w:rsidRPr="00912BBA" w:rsidRDefault="00EA1FBE" w:rsidP="00EA1FBE">
      <w:pPr>
        <w:pStyle w:val="ListParagraph"/>
        <w:numPr>
          <w:ilvl w:val="0"/>
          <w:numId w:val="6"/>
        </w:numPr>
        <w:spacing w:line="360" w:lineRule="auto"/>
        <w:jc w:val="both"/>
        <w:rPr>
          <w:rFonts w:eastAsia="Arial Unicode MS"/>
        </w:rPr>
      </w:pPr>
      <w:r w:rsidRPr="00912BBA">
        <w:rPr>
          <w:rFonts w:eastAsia="Arial Unicode MS"/>
        </w:rPr>
        <w:t>General damages for trespass.</w:t>
      </w:r>
    </w:p>
    <w:p w:rsidR="00EA1FBE" w:rsidRPr="00912BBA" w:rsidRDefault="00EA1FBE" w:rsidP="00EA1FBE">
      <w:pPr>
        <w:pStyle w:val="ListParagraph"/>
        <w:numPr>
          <w:ilvl w:val="0"/>
          <w:numId w:val="6"/>
        </w:numPr>
        <w:spacing w:line="360" w:lineRule="auto"/>
        <w:jc w:val="both"/>
        <w:rPr>
          <w:rFonts w:eastAsia="Arial Unicode MS"/>
        </w:rPr>
      </w:pPr>
      <w:r w:rsidRPr="00912BBA">
        <w:rPr>
          <w:rFonts w:eastAsia="Arial Unicode MS"/>
        </w:rPr>
        <w:t>Costs of the counterclaim.</w:t>
      </w:r>
    </w:p>
    <w:p w:rsidR="00EA1FBE" w:rsidRPr="00912BBA" w:rsidRDefault="00EA1FBE" w:rsidP="00EA1FBE">
      <w:pPr>
        <w:spacing w:line="360" w:lineRule="auto"/>
        <w:jc w:val="both"/>
        <w:rPr>
          <w:rFonts w:eastAsia="Arial Unicode MS"/>
        </w:rPr>
      </w:pPr>
    </w:p>
    <w:p w:rsidR="00EA1FBE" w:rsidRPr="00912BBA" w:rsidRDefault="00EA1FBE" w:rsidP="00EA1FBE">
      <w:pPr>
        <w:spacing w:line="360" w:lineRule="auto"/>
        <w:jc w:val="both"/>
        <w:rPr>
          <w:rFonts w:eastAsia="Arial Unicode MS"/>
        </w:rPr>
      </w:pPr>
      <w:r w:rsidRPr="00912BBA">
        <w:rPr>
          <w:rFonts w:eastAsia="Arial Unicode MS"/>
        </w:rPr>
        <w:t>On 19/05/2006, the plaintiff filed a reply to the written statement of defence  and counterclaim.</w:t>
      </w:r>
    </w:p>
    <w:p w:rsidR="00EA1FBE" w:rsidRPr="00912BBA" w:rsidRDefault="00EA1FBE" w:rsidP="00EA1FBE">
      <w:pPr>
        <w:spacing w:line="360" w:lineRule="auto"/>
        <w:jc w:val="both"/>
        <w:rPr>
          <w:rFonts w:eastAsia="Arial Unicode MS"/>
        </w:rPr>
      </w:pPr>
    </w:p>
    <w:p w:rsidR="005C02EF" w:rsidRPr="00912BBA" w:rsidRDefault="005C02EF" w:rsidP="00EA1FBE">
      <w:pPr>
        <w:spacing w:line="360" w:lineRule="auto"/>
        <w:jc w:val="both"/>
        <w:rPr>
          <w:rFonts w:eastAsia="Arial Unicode MS"/>
        </w:rPr>
      </w:pPr>
      <w:r w:rsidRPr="00912BBA">
        <w:rPr>
          <w:rFonts w:eastAsia="Arial Unicode MS"/>
          <w:b/>
        </w:rPr>
        <w:t xml:space="preserve">3.2.4 </w:t>
      </w:r>
      <w:r w:rsidRPr="00912BBA">
        <w:rPr>
          <w:rFonts w:eastAsia="Arial Unicode MS"/>
        </w:rPr>
        <w:t>It is also important to note that:-</w:t>
      </w:r>
    </w:p>
    <w:p w:rsidR="00EA1FBE" w:rsidRPr="00912BBA" w:rsidRDefault="00EA1FBE" w:rsidP="00EA1FBE">
      <w:pPr>
        <w:spacing w:line="360" w:lineRule="auto"/>
        <w:jc w:val="both"/>
        <w:rPr>
          <w:rFonts w:eastAsia="Arial Unicode MS"/>
        </w:rPr>
      </w:pPr>
      <w:r w:rsidRPr="00912BBA">
        <w:rPr>
          <w:rFonts w:eastAsia="Arial Unicode MS"/>
        </w:rPr>
        <w:t xml:space="preserve">On 21/09/2010 when the matter came up for hearing, the </w:t>
      </w:r>
      <w:r w:rsidR="00B942FF" w:rsidRPr="00912BBA">
        <w:rPr>
          <w:rFonts w:eastAsia="Arial Unicode MS"/>
        </w:rPr>
        <w:t>plaintiff and</w:t>
      </w:r>
      <w:r w:rsidRPr="00912BBA">
        <w:rPr>
          <w:rFonts w:eastAsia="Arial Unicode MS"/>
        </w:rPr>
        <w:t xml:space="preserve"> his Counsel were recorded as being absent. It was also recorded that the 1</w:t>
      </w:r>
      <w:r w:rsidRPr="00912BBA">
        <w:rPr>
          <w:rFonts w:eastAsia="Arial Unicode MS"/>
          <w:vertAlign w:val="superscript"/>
        </w:rPr>
        <w:t>st</w:t>
      </w:r>
      <w:r w:rsidRPr="00912BBA">
        <w:rPr>
          <w:rFonts w:eastAsia="Arial Unicode MS"/>
        </w:rPr>
        <w:t xml:space="preserve"> defendant had passed way and that there was no legal representative.</w:t>
      </w:r>
    </w:p>
    <w:p w:rsidR="00EA1FBE" w:rsidRPr="00912BBA" w:rsidRDefault="00EA1FBE" w:rsidP="00EA1FBE">
      <w:pPr>
        <w:spacing w:line="360" w:lineRule="auto"/>
        <w:jc w:val="both"/>
        <w:rPr>
          <w:rFonts w:eastAsia="Arial Unicode MS"/>
        </w:rPr>
      </w:pPr>
    </w:p>
    <w:p w:rsidR="00EA1FBE" w:rsidRPr="00912BBA" w:rsidRDefault="00EA1FBE" w:rsidP="00EA1FBE">
      <w:pPr>
        <w:spacing w:line="360" w:lineRule="auto"/>
        <w:jc w:val="both"/>
        <w:rPr>
          <w:rFonts w:eastAsia="Arial Unicode MS"/>
        </w:rPr>
      </w:pPr>
      <w:r w:rsidRPr="00912BBA">
        <w:rPr>
          <w:rFonts w:eastAsia="Arial Unicode MS"/>
        </w:rPr>
        <w:t>Counsel for the 2</w:t>
      </w:r>
      <w:r w:rsidRPr="00912BBA">
        <w:rPr>
          <w:rFonts w:eastAsia="Arial Unicode MS"/>
          <w:vertAlign w:val="superscript"/>
        </w:rPr>
        <w:t>nd</w:t>
      </w:r>
      <w:r w:rsidRPr="00912BBA">
        <w:rPr>
          <w:rFonts w:eastAsia="Arial Unicode MS"/>
        </w:rPr>
        <w:t xml:space="preserve"> defendant  was reported to be present and he prayed for  dismissal of the plaintiff’s suit (recorded in Nabweru Court as Civil Suit No. 28 of 2010) for want of prosecution under O</w:t>
      </w:r>
      <w:r w:rsidR="005C02EF" w:rsidRPr="00912BBA">
        <w:rPr>
          <w:rFonts w:eastAsia="Arial Unicode MS"/>
        </w:rPr>
        <w:t xml:space="preserve">rder </w:t>
      </w:r>
      <w:r w:rsidRPr="00912BBA">
        <w:rPr>
          <w:rFonts w:eastAsia="Arial Unicode MS"/>
        </w:rPr>
        <w:t>9 rule 22 of the Civil Procedure Rules.</w:t>
      </w:r>
    </w:p>
    <w:p w:rsidR="00EA1FBE" w:rsidRPr="00912BBA" w:rsidRDefault="00EA1FBE" w:rsidP="00EA1FBE">
      <w:pPr>
        <w:spacing w:line="360" w:lineRule="auto"/>
        <w:jc w:val="both"/>
        <w:rPr>
          <w:rFonts w:eastAsia="Arial Unicode MS"/>
        </w:rPr>
      </w:pPr>
    </w:p>
    <w:p w:rsidR="00EA1FBE" w:rsidRPr="00912BBA" w:rsidRDefault="005C02EF" w:rsidP="00EA1FBE">
      <w:pPr>
        <w:spacing w:line="360" w:lineRule="auto"/>
        <w:jc w:val="both"/>
        <w:rPr>
          <w:rFonts w:eastAsia="Arial Unicode MS"/>
        </w:rPr>
      </w:pPr>
      <w:r w:rsidRPr="00912BBA">
        <w:rPr>
          <w:rFonts w:eastAsia="Arial Unicode MS"/>
        </w:rPr>
        <w:t>Consequently, C</w:t>
      </w:r>
      <w:r w:rsidR="00EA1FBE" w:rsidRPr="00912BBA">
        <w:rPr>
          <w:rFonts w:eastAsia="Arial Unicode MS"/>
        </w:rPr>
        <w:t>ourt proceeded to dismiss the suit for</w:t>
      </w:r>
      <w:r w:rsidR="00B942FF" w:rsidRPr="00912BBA">
        <w:rPr>
          <w:rFonts w:eastAsia="Arial Unicode MS"/>
        </w:rPr>
        <w:t xml:space="preserve"> want of prosecution. Following</w:t>
      </w:r>
      <w:r w:rsidR="00EA1FBE" w:rsidRPr="00912BBA">
        <w:rPr>
          <w:rFonts w:eastAsia="Arial Unicode MS"/>
        </w:rPr>
        <w:t xml:space="preserve"> the dismissal, the plaintiff filed </w:t>
      </w:r>
      <w:r w:rsidR="00B942FF" w:rsidRPr="00912BBA">
        <w:rPr>
          <w:rFonts w:eastAsia="Arial Unicode MS"/>
        </w:rPr>
        <w:t>Miscellaneous</w:t>
      </w:r>
      <w:r w:rsidR="00EA1FBE" w:rsidRPr="00912BBA">
        <w:rPr>
          <w:rFonts w:eastAsia="Arial Unicode MS"/>
        </w:rPr>
        <w:t xml:space="preserve"> Application No. 309 of 2010 in which he sought to set aside the dismissal of Civil Suit No. 28 of 2010 and the same was finally heard on 21/12/2010.</w:t>
      </w:r>
    </w:p>
    <w:p w:rsidR="00EA1FBE" w:rsidRPr="00912BBA" w:rsidRDefault="00EA1FBE" w:rsidP="00EA1FBE">
      <w:pPr>
        <w:spacing w:line="360" w:lineRule="auto"/>
        <w:jc w:val="both"/>
        <w:rPr>
          <w:rFonts w:eastAsia="Arial Unicode MS"/>
        </w:rPr>
      </w:pPr>
    </w:p>
    <w:p w:rsidR="00EA1FBE" w:rsidRPr="00912BBA" w:rsidRDefault="005C02EF" w:rsidP="00EA1FBE">
      <w:pPr>
        <w:spacing w:line="360" w:lineRule="auto"/>
        <w:jc w:val="both"/>
        <w:rPr>
          <w:rFonts w:eastAsia="Arial Unicode MS"/>
        </w:rPr>
      </w:pPr>
      <w:r w:rsidRPr="00912BBA">
        <w:rPr>
          <w:rFonts w:eastAsia="Arial Unicode MS"/>
          <w:b/>
        </w:rPr>
        <w:t>3.2.5</w:t>
      </w:r>
      <w:r w:rsidRPr="00912BBA">
        <w:rPr>
          <w:rFonts w:eastAsia="Arial Unicode MS"/>
        </w:rPr>
        <w:t xml:space="preserve"> </w:t>
      </w:r>
      <w:r w:rsidR="00EA1FBE" w:rsidRPr="00912BBA">
        <w:rPr>
          <w:rFonts w:eastAsia="Arial Unicode MS"/>
        </w:rPr>
        <w:t>For purposes of emphasis, the following were the orders sought in Miscellaneous Application No. 309 of 2010;</w:t>
      </w:r>
    </w:p>
    <w:p w:rsidR="00EA1FBE" w:rsidRPr="00912BBA" w:rsidRDefault="00EA1FBE" w:rsidP="00EA1FBE">
      <w:pPr>
        <w:pStyle w:val="ListParagraph"/>
        <w:numPr>
          <w:ilvl w:val="0"/>
          <w:numId w:val="7"/>
        </w:numPr>
        <w:spacing w:line="360" w:lineRule="auto"/>
        <w:jc w:val="both"/>
        <w:rPr>
          <w:rFonts w:eastAsia="Arial Unicode MS"/>
        </w:rPr>
      </w:pPr>
      <w:r w:rsidRPr="00912BBA">
        <w:rPr>
          <w:rFonts w:eastAsia="Arial Unicode MS"/>
        </w:rPr>
        <w:t>That the order of dismissal of Civil Suit No. 28 of 2010 be set aside.</w:t>
      </w:r>
    </w:p>
    <w:p w:rsidR="00EA1FBE" w:rsidRPr="00912BBA" w:rsidRDefault="00EA1FBE" w:rsidP="00EA1FBE">
      <w:pPr>
        <w:pStyle w:val="ListParagraph"/>
        <w:numPr>
          <w:ilvl w:val="0"/>
          <w:numId w:val="7"/>
        </w:numPr>
        <w:spacing w:line="360" w:lineRule="auto"/>
        <w:jc w:val="both"/>
        <w:rPr>
          <w:rFonts w:eastAsia="Arial Unicode MS"/>
        </w:rPr>
      </w:pPr>
      <w:r w:rsidRPr="00912BBA">
        <w:rPr>
          <w:rFonts w:eastAsia="Arial Unicode MS"/>
        </w:rPr>
        <w:t>That the said suit No. 28 of 2010 which was dismissed on 21/9/2010 for want of prosecution under order 9 rule 22 of the CPR be re-instated and be heard and determined on its merits.</w:t>
      </w:r>
    </w:p>
    <w:p w:rsidR="00EA1FBE" w:rsidRPr="00912BBA" w:rsidRDefault="00EA1FBE" w:rsidP="00EA1FBE">
      <w:pPr>
        <w:pStyle w:val="ListParagraph"/>
        <w:numPr>
          <w:ilvl w:val="0"/>
          <w:numId w:val="7"/>
        </w:numPr>
        <w:spacing w:line="360" w:lineRule="auto"/>
        <w:jc w:val="both"/>
        <w:rPr>
          <w:rFonts w:eastAsia="Arial Unicode MS"/>
        </w:rPr>
      </w:pPr>
      <w:r w:rsidRPr="00912BBA">
        <w:rPr>
          <w:rFonts w:eastAsia="Arial Unicode MS"/>
        </w:rPr>
        <w:t>Costs of the application be provided for.</w:t>
      </w:r>
    </w:p>
    <w:p w:rsidR="00EA1FBE" w:rsidRPr="00912BBA" w:rsidRDefault="00EA1FBE" w:rsidP="00EA1FBE">
      <w:pPr>
        <w:spacing w:line="360" w:lineRule="auto"/>
        <w:ind w:left="360"/>
        <w:jc w:val="both"/>
        <w:rPr>
          <w:rFonts w:eastAsia="Arial Unicode MS"/>
        </w:rPr>
      </w:pPr>
    </w:p>
    <w:p w:rsidR="00EA1FBE" w:rsidRPr="00912BBA" w:rsidRDefault="00EA1FBE" w:rsidP="00EA1FBE">
      <w:pPr>
        <w:spacing w:line="360" w:lineRule="auto"/>
        <w:ind w:left="360"/>
        <w:jc w:val="both"/>
        <w:rPr>
          <w:rFonts w:eastAsia="Arial Unicode MS"/>
        </w:rPr>
      </w:pPr>
      <w:r w:rsidRPr="00912BBA">
        <w:rPr>
          <w:rFonts w:eastAsia="Arial Unicode MS"/>
        </w:rPr>
        <w:t xml:space="preserve">On 11/3/2011, the </w:t>
      </w:r>
      <w:r w:rsidR="005C02EF" w:rsidRPr="00912BBA">
        <w:rPr>
          <w:rFonts w:eastAsia="Arial Unicode MS"/>
        </w:rPr>
        <w:t xml:space="preserve">trial </w:t>
      </w:r>
      <w:r w:rsidRPr="00912BBA">
        <w:rPr>
          <w:rFonts w:eastAsia="Arial Unicode MS"/>
        </w:rPr>
        <w:t>Chief Magistrate delivered her ruling in which she dismissed the application to set aside the dismissal and re-instate Civil Suit No.28 of 2010 to be heard and determined on its merits.</w:t>
      </w:r>
    </w:p>
    <w:p w:rsidR="00EA1FBE" w:rsidRPr="00912BBA" w:rsidRDefault="00EA1FBE" w:rsidP="00EA1FBE">
      <w:pPr>
        <w:spacing w:line="360" w:lineRule="auto"/>
        <w:ind w:left="360"/>
        <w:jc w:val="both"/>
        <w:rPr>
          <w:rFonts w:eastAsia="Arial Unicode MS"/>
        </w:rPr>
      </w:pPr>
    </w:p>
    <w:p w:rsidR="00EA1FBE" w:rsidRPr="00912BBA" w:rsidRDefault="005C02EF" w:rsidP="00EA1FBE">
      <w:pPr>
        <w:spacing w:line="360" w:lineRule="auto"/>
        <w:ind w:left="360"/>
        <w:jc w:val="both"/>
        <w:rPr>
          <w:rFonts w:eastAsia="Arial Unicode MS"/>
        </w:rPr>
      </w:pPr>
      <w:r w:rsidRPr="00912BBA">
        <w:rPr>
          <w:rFonts w:eastAsia="Arial Unicode MS"/>
        </w:rPr>
        <w:t>Further Counsel for the applicant submitted that t</w:t>
      </w:r>
      <w:r w:rsidR="00EA1FBE" w:rsidRPr="00912BBA">
        <w:rPr>
          <w:rFonts w:eastAsia="Arial Unicode MS"/>
        </w:rPr>
        <w:t xml:space="preserve">he material irregularity and injustices complained about are evident in the ruling referred to above and </w:t>
      </w:r>
      <w:r w:rsidRPr="00912BBA">
        <w:rPr>
          <w:rFonts w:eastAsia="Arial Unicode MS"/>
        </w:rPr>
        <w:t xml:space="preserve">that </w:t>
      </w:r>
      <w:r w:rsidR="008A5ADD" w:rsidRPr="00912BBA">
        <w:rPr>
          <w:rFonts w:eastAsia="Arial Unicode MS"/>
        </w:rPr>
        <w:t>are highlighted here-below; First and foremost, it is our view that the trial chief Magistrate should have confined herself to the matters that were raised in Miscellaneous Application No.309 of 2010, that is to determine whether there was sufficient cause as t</w:t>
      </w:r>
      <w:r w:rsidRPr="00912BBA">
        <w:rPr>
          <w:rFonts w:eastAsia="Arial Unicode MS"/>
        </w:rPr>
        <w:t>o why the applicant was not in C</w:t>
      </w:r>
      <w:r w:rsidR="008A5ADD" w:rsidRPr="00912BBA">
        <w:rPr>
          <w:rFonts w:eastAsia="Arial Unicode MS"/>
        </w:rPr>
        <w:t>ourt when his case was coming up for hearing.</w:t>
      </w:r>
    </w:p>
    <w:p w:rsidR="008A5ADD" w:rsidRPr="00912BBA" w:rsidRDefault="008A5ADD" w:rsidP="00EA1FBE">
      <w:pPr>
        <w:spacing w:line="360" w:lineRule="auto"/>
        <w:ind w:left="360"/>
        <w:jc w:val="both"/>
        <w:rPr>
          <w:rFonts w:eastAsia="Arial Unicode MS"/>
        </w:rPr>
      </w:pPr>
    </w:p>
    <w:p w:rsidR="008A5ADD" w:rsidRPr="00912BBA" w:rsidRDefault="008A5ADD" w:rsidP="00EA1FBE">
      <w:pPr>
        <w:spacing w:line="360" w:lineRule="auto"/>
        <w:ind w:left="360"/>
        <w:jc w:val="both"/>
        <w:rPr>
          <w:rFonts w:eastAsia="Arial Unicode MS"/>
        </w:rPr>
      </w:pPr>
      <w:r w:rsidRPr="00912BBA">
        <w:rPr>
          <w:rFonts w:eastAsia="Arial Unicode MS"/>
        </w:rPr>
        <w:t>This issue was addressed on page 3 para</w:t>
      </w:r>
      <w:r w:rsidR="005C02EF" w:rsidRPr="00912BBA">
        <w:rPr>
          <w:rFonts w:eastAsia="Arial Unicode MS"/>
        </w:rPr>
        <w:t>graph 2 of her ruling:-</w:t>
      </w:r>
    </w:p>
    <w:p w:rsidR="005C02EF" w:rsidRPr="00912BBA" w:rsidRDefault="005C02EF" w:rsidP="00880F63">
      <w:pPr>
        <w:ind w:left="907" w:right="907"/>
        <w:jc w:val="both"/>
        <w:rPr>
          <w:rFonts w:eastAsia="Arial Unicode MS"/>
          <w:b/>
        </w:rPr>
      </w:pPr>
      <w:r w:rsidRPr="00912BBA">
        <w:rPr>
          <w:rFonts w:eastAsia="Arial Unicode MS"/>
          <w:b/>
        </w:rPr>
        <w:t>“the m</w:t>
      </w:r>
      <w:r w:rsidR="000E4A1C" w:rsidRPr="00912BBA">
        <w:rPr>
          <w:rFonts w:eastAsia="Arial Unicode MS"/>
          <w:b/>
        </w:rPr>
        <w:t>ost important issue this C</w:t>
      </w:r>
      <w:r w:rsidRPr="00912BBA">
        <w:rPr>
          <w:rFonts w:eastAsia="Arial Unicode MS"/>
          <w:b/>
        </w:rPr>
        <w:t>ourt has to determine is whether there was sufficient cause as t</w:t>
      </w:r>
      <w:r w:rsidR="000E4A1C" w:rsidRPr="00912BBA">
        <w:rPr>
          <w:rFonts w:eastAsia="Arial Unicode MS"/>
          <w:b/>
        </w:rPr>
        <w:t>o why the applicant was not in C</w:t>
      </w:r>
      <w:r w:rsidRPr="00912BBA">
        <w:rPr>
          <w:rFonts w:eastAsia="Arial Unicode MS"/>
          <w:b/>
        </w:rPr>
        <w:t>ourt when his case was coming for hearing. O.9 r 22 CPR states that where a suit is wholly or partly dismissed under 0.9r 22 CPR the plaintiff shall be precluded from bring a fresh cause of action but he or she may apply for an order to set aside the dismissal. Having perused the entire record, there has been inordinate delay on the part of the plaintiff to prosecute his case. In Nakawa</w:t>
      </w:r>
      <w:r w:rsidR="00880F63" w:rsidRPr="00912BBA">
        <w:rPr>
          <w:rFonts w:eastAsia="Arial Unicode MS"/>
          <w:b/>
        </w:rPr>
        <w:t xml:space="preserve"> High Court he requested several adjournments to have the matter settled out of </w:t>
      </w:r>
      <w:r w:rsidR="000E4A1C" w:rsidRPr="00912BBA">
        <w:rPr>
          <w:rFonts w:eastAsia="Arial Unicode MS"/>
          <w:b/>
        </w:rPr>
        <w:t>C</w:t>
      </w:r>
      <w:r w:rsidR="00880F63" w:rsidRPr="00912BBA">
        <w:rPr>
          <w:rFonts w:eastAsia="Arial Unicode MS"/>
          <w:b/>
        </w:rPr>
        <w:t>ourt. In Kasangati court, the applicant never bothered to have the matter fixed for hearing until the 2</w:t>
      </w:r>
      <w:r w:rsidR="00880F63" w:rsidRPr="00912BBA">
        <w:rPr>
          <w:rFonts w:eastAsia="Arial Unicode MS"/>
          <w:b/>
          <w:vertAlign w:val="superscript"/>
        </w:rPr>
        <w:t>nd</w:t>
      </w:r>
      <w:r w:rsidR="00880F63" w:rsidRPr="00912BBA">
        <w:rPr>
          <w:rFonts w:eastAsia="Arial Unicode MS"/>
          <w:b/>
        </w:rPr>
        <w:t xml:space="preserve"> respondent lodged a complaint that the plaintiff’s case was not proceeded with and it was forwarded to this Court for further management. Even when it was fixed for hearing in this Court, the applicant through his lawyers was always requesting for adjournments to settle the matter out of court. So from 2006 up to date 2011 the main suit has never taken off.”</w:t>
      </w:r>
    </w:p>
    <w:p w:rsidR="008A5ADD" w:rsidRPr="00912BBA" w:rsidRDefault="008A5ADD" w:rsidP="00EA1FBE">
      <w:pPr>
        <w:spacing w:line="360" w:lineRule="auto"/>
        <w:ind w:left="360"/>
        <w:jc w:val="both"/>
        <w:rPr>
          <w:rFonts w:eastAsia="Arial Unicode MS"/>
        </w:rPr>
      </w:pPr>
    </w:p>
    <w:p w:rsidR="008A5ADD" w:rsidRPr="00912BBA" w:rsidRDefault="008A5ADD" w:rsidP="00EA1FBE">
      <w:pPr>
        <w:spacing w:line="360" w:lineRule="auto"/>
        <w:ind w:left="360"/>
        <w:jc w:val="both"/>
        <w:rPr>
          <w:rFonts w:eastAsia="Arial Unicode MS"/>
        </w:rPr>
      </w:pPr>
      <w:r w:rsidRPr="00912BBA">
        <w:rPr>
          <w:rFonts w:eastAsia="Arial Unicode MS"/>
        </w:rPr>
        <w:t>However, in paragraph 3, she delved into the issue of ownership of the suit land and whether the applicant/plaintiff had a kibanja thereon, irrespective of the fact that neither the applicant/plaintiff nor the 2</w:t>
      </w:r>
      <w:r w:rsidRPr="00912BBA">
        <w:rPr>
          <w:rFonts w:eastAsia="Arial Unicode MS"/>
          <w:vertAlign w:val="superscript"/>
        </w:rPr>
        <w:t>nd</w:t>
      </w:r>
      <w:r w:rsidRPr="00912BBA">
        <w:rPr>
          <w:rFonts w:eastAsia="Arial Unicode MS"/>
        </w:rPr>
        <w:t xml:space="preserve"> respondent/2</w:t>
      </w:r>
      <w:r w:rsidRPr="00912BBA">
        <w:rPr>
          <w:rFonts w:eastAsia="Arial Unicode MS"/>
          <w:vertAlign w:val="superscript"/>
        </w:rPr>
        <w:t>nd</w:t>
      </w:r>
      <w:r w:rsidRPr="00912BBA">
        <w:rPr>
          <w:rFonts w:eastAsia="Arial Unicode MS"/>
        </w:rPr>
        <w:t xml:space="preserve"> defendant had adduced evidence to prove their respective claims.</w:t>
      </w:r>
    </w:p>
    <w:p w:rsidR="008A5ADD" w:rsidRPr="00912BBA" w:rsidRDefault="008A5ADD" w:rsidP="00EA1FBE">
      <w:pPr>
        <w:spacing w:line="360" w:lineRule="auto"/>
        <w:ind w:left="360"/>
        <w:jc w:val="both"/>
        <w:rPr>
          <w:rFonts w:eastAsia="Arial Unicode MS"/>
        </w:rPr>
      </w:pPr>
    </w:p>
    <w:p w:rsidR="008A5ADD" w:rsidRPr="00912BBA" w:rsidRDefault="008A5ADD" w:rsidP="00EA1FBE">
      <w:pPr>
        <w:spacing w:line="360" w:lineRule="auto"/>
        <w:ind w:left="360"/>
        <w:jc w:val="both"/>
        <w:rPr>
          <w:rFonts w:eastAsia="Arial Unicode MS"/>
        </w:rPr>
      </w:pPr>
      <w:r w:rsidRPr="00912BBA">
        <w:rPr>
          <w:rFonts w:eastAsia="Arial Unicode MS"/>
        </w:rPr>
        <w:t>The contents o</w:t>
      </w:r>
      <w:r w:rsidR="00880F63" w:rsidRPr="00912BBA">
        <w:rPr>
          <w:rFonts w:eastAsia="Arial Unicode MS"/>
        </w:rPr>
        <w:t>f para</w:t>
      </w:r>
      <w:r w:rsidR="000E4A1C" w:rsidRPr="00912BBA">
        <w:rPr>
          <w:rFonts w:eastAsia="Arial Unicode MS"/>
        </w:rPr>
        <w:t>graph</w:t>
      </w:r>
      <w:r w:rsidR="00880F63" w:rsidRPr="00912BBA">
        <w:rPr>
          <w:rFonts w:eastAsia="Arial Unicode MS"/>
        </w:rPr>
        <w:t xml:space="preserve"> 2 on page 4 of the ruling</w:t>
      </w:r>
      <w:r w:rsidRPr="00912BBA">
        <w:rPr>
          <w:rFonts w:eastAsia="Arial Unicode MS"/>
        </w:rPr>
        <w:t xml:space="preserve"> are even more explicit in showing the material irregularity and injustice.</w:t>
      </w:r>
      <w:r w:rsidR="00880F63" w:rsidRPr="00912BBA">
        <w:rPr>
          <w:rFonts w:eastAsia="Arial Unicode MS"/>
        </w:rPr>
        <w:t xml:space="preserve"> They are that:-</w:t>
      </w:r>
    </w:p>
    <w:p w:rsidR="00880F63" w:rsidRPr="00912BBA" w:rsidRDefault="005A0F6F" w:rsidP="00B01250">
      <w:pPr>
        <w:spacing w:line="276" w:lineRule="auto"/>
        <w:ind w:left="907" w:right="907"/>
        <w:jc w:val="both"/>
        <w:rPr>
          <w:rFonts w:eastAsia="Arial Unicode MS"/>
        </w:rPr>
      </w:pPr>
      <w:r w:rsidRPr="00912BBA">
        <w:rPr>
          <w:rFonts w:eastAsia="Arial Unicode MS"/>
          <w:b/>
        </w:rPr>
        <w:t>“</w:t>
      </w:r>
      <w:r w:rsidR="00880F63" w:rsidRPr="00912BBA">
        <w:rPr>
          <w:rFonts w:eastAsia="Arial Unicode MS"/>
          <w:b/>
        </w:rPr>
        <w:t>Looking at the number of courts this suit has been moving from and up to now, it has never taken off, it show</w:t>
      </w:r>
      <w:r w:rsidR="000E4A1C" w:rsidRPr="00912BBA">
        <w:rPr>
          <w:rFonts w:eastAsia="Arial Unicode MS"/>
          <w:b/>
        </w:rPr>
        <w:t>s</w:t>
      </w:r>
      <w:r w:rsidR="00880F63" w:rsidRPr="00912BBA">
        <w:rPr>
          <w:rFonts w:eastAsia="Arial Unicode MS"/>
          <w:b/>
        </w:rPr>
        <w:t xml:space="preserve"> that the applicant has never been serious in prosecuting his  case. He has just been buying time to </w:t>
      </w:r>
      <w:r w:rsidR="00880F63" w:rsidRPr="00912BBA">
        <w:rPr>
          <w:rFonts w:eastAsia="Arial Unicode MS"/>
          <w:b/>
          <w:u w:val="single"/>
        </w:rPr>
        <w:t>stay on the land</w:t>
      </w:r>
      <w:r w:rsidR="000E4A1C" w:rsidRPr="00912BBA">
        <w:rPr>
          <w:rFonts w:eastAsia="Arial Unicode MS"/>
          <w:b/>
          <w:u w:val="single"/>
        </w:rPr>
        <w:t xml:space="preserve"> which does not belong to him</w:t>
      </w:r>
      <w:r w:rsidR="000E4A1C" w:rsidRPr="00912BBA">
        <w:rPr>
          <w:rFonts w:eastAsia="Arial Unicode MS"/>
          <w:b/>
        </w:rPr>
        <w:t>. T</w:t>
      </w:r>
      <w:r w:rsidR="00880F63" w:rsidRPr="00912BBA">
        <w:rPr>
          <w:rFonts w:eastAsia="Arial Unicode MS"/>
          <w:b/>
        </w:rPr>
        <w:t xml:space="preserve">here has been inordinate delay to prosecute this case, the applicant has not shown any good cause from 2006 up to 2011 why the case has never been prosecuted. Such endless litigation should be discouraged in courts. There has been dilatory conduct on the part of the applicant to prosecute his case. The applicant/plaintiff should stop </w:t>
      </w:r>
      <w:r w:rsidR="00880F63" w:rsidRPr="00912BBA">
        <w:rPr>
          <w:rFonts w:eastAsia="Arial Unicode MS"/>
          <w:b/>
          <w:u w:val="single"/>
        </w:rPr>
        <w:t>engaging</w:t>
      </w:r>
      <w:r w:rsidR="00B01250" w:rsidRPr="00912BBA">
        <w:rPr>
          <w:rFonts w:eastAsia="Arial Unicode MS"/>
          <w:b/>
          <w:u w:val="single"/>
        </w:rPr>
        <w:t xml:space="preserve"> in un</w:t>
      </w:r>
      <w:r w:rsidR="00880F63" w:rsidRPr="00912BBA">
        <w:rPr>
          <w:rFonts w:eastAsia="Arial Unicode MS"/>
          <w:b/>
          <w:u w:val="single"/>
        </w:rPr>
        <w:t>necessary ligation which are costly and time consuming. I am saying this because the applicant’s chances of success in the main chances suit are very minimal. The first respon</w:t>
      </w:r>
      <w:r w:rsidR="000E4A1C" w:rsidRPr="00912BBA">
        <w:rPr>
          <w:rFonts w:eastAsia="Arial Unicode MS"/>
          <w:b/>
          <w:u w:val="single"/>
        </w:rPr>
        <w:t>dent/defendant who was his land</w:t>
      </w:r>
      <w:r w:rsidR="00880F63" w:rsidRPr="00912BBA">
        <w:rPr>
          <w:rFonts w:eastAsia="Arial Unicode MS"/>
          <w:b/>
          <w:u w:val="single"/>
        </w:rPr>
        <w:t>lord never recognized him as a kibanja holder on his land</w:t>
      </w:r>
      <w:r w:rsidR="00880F63" w:rsidRPr="00912BBA">
        <w:rPr>
          <w:rFonts w:eastAsia="Arial Unicode MS"/>
          <w:b/>
        </w:rPr>
        <w:t xml:space="preserve"> which he sold the second respondent. The first set of Lawyers who represented the applicant/plaintiff in the High Court Nakawa reported to the trial judge by then that the land was vacant. They only saw some coffee plants and cassava. Since the matter has been adjourned on several occasions to settle this land dispute amicably, it should be encouraged on both sides. </w:t>
      </w:r>
      <w:r w:rsidR="00880F63" w:rsidRPr="00912BBA">
        <w:rPr>
          <w:rFonts w:eastAsia="Arial Unicode MS"/>
          <w:b/>
          <w:u w:val="single"/>
        </w:rPr>
        <w:t xml:space="preserve">The </w:t>
      </w:r>
      <w:r w:rsidR="00B01250" w:rsidRPr="00912BBA">
        <w:rPr>
          <w:rFonts w:eastAsia="Arial Unicode MS"/>
          <w:b/>
          <w:u w:val="single"/>
        </w:rPr>
        <w:t>applicant/plaintiff can</w:t>
      </w:r>
      <w:r w:rsidR="00880F63" w:rsidRPr="00912BBA">
        <w:rPr>
          <w:rFonts w:eastAsia="Arial Unicode MS"/>
          <w:b/>
          <w:u w:val="single"/>
        </w:rPr>
        <w:t>not claim</w:t>
      </w:r>
      <w:r w:rsidR="00B01250" w:rsidRPr="00912BBA">
        <w:rPr>
          <w:rFonts w:eastAsia="Arial Unicode MS"/>
          <w:b/>
          <w:u w:val="single"/>
        </w:rPr>
        <w:t xml:space="preserve"> </w:t>
      </w:r>
      <w:r w:rsidR="00880F63" w:rsidRPr="00912BBA">
        <w:rPr>
          <w:rFonts w:eastAsia="Arial Unicode MS"/>
          <w:b/>
          <w:u w:val="single"/>
        </w:rPr>
        <w:t xml:space="preserve">a right of occupancy where he has no kibanja interest. He should vacate the second </w:t>
      </w:r>
      <w:r w:rsidR="00B01250" w:rsidRPr="00912BBA">
        <w:rPr>
          <w:rFonts w:eastAsia="Arial Unicode MS"/>
          <w:b/>
          <w:u w:val="single"/>
        </w:rPr>
        <w:t>respondent’s</w:t>
      </w:r>
      <w:r w:rsidR="00880F63" w:rsidRPr="00912BBA">
        <w:rPr>
          <w:rFonts w:eastAsia="Arial Unicode MS"/>
          <w:b/>
          <w:u w:val="single"/>
        </w:rPr>
        <w:t xml:space="preserve"> land because he is a bonafide purchaser for value and he cannot be deprived of his interest by t</w:t>
      </w:r>
      <w:r w:rsidR="00B01250" w:rsidRPr="00912BBA">
        <w:rPr>
          <w:rFonts w:eastAsia="Arial Unicode MS"/>
          <w:b/>
          <w:u w:val="single"/>
        </w:rPr>
        <w:t>h</w:t>
      </w:r>
      <w:r w:rsidR="00880F63" w:rsidRPr="00912BBA">
        <w:rPr>
          <w:rFonts w:eastAsia="Arial Unicode MS"/>
          <w:b/>
          <w:u w:val="single"/>
        </w:rPr>
        <w:t>e</w:t>
      </w:r>
      <w:r w:rsidR="000E4A1C" w:rsidRPr="00912BBA">
        <w:rPr>
          <w:rFonts w:eastAsia="Arial Unicode MS"/>
          <w:b/>
          <w:u w:val="single"/>
        </w:rPr>
        <w:t xml:space="preserve"> applicant/plaintiff who had no</w:t>
      </w:r>
      <w:r w:rsidR="00880F63" w:rsidRPr="00912BBA">
        <w:rPr>
          <w:rFonts w:eastAsia="Arial Unicode MS"/>
          <w:b/>
          <w:u w:val="single"/>
        </w:rPr>
        <w:t xml:space="preserve"> right of occupancy at the </w:t>
      </w:r>
      <w:r w:rsidR="00B01250" w:rsidRPr="00912BBA">
        <w:rPr>
          <w:rFonts w:eastAsia="Arial Unicode MS"/>
          <w:b/>
          <w:u w:val="single"/>
        </w:rPr>
        <w:t>time</w:t>
      </w:r>
      <w:r w:rsidR="00880F63" w:rsidRPr="00912BBA">
        <w:rPr>
          <w:rFonts w:eastAsia="Arial Unicode MS"/>
          <w:b/>
          <w:u w:val="single"/>
        </w:rPr>
        <w:t xml:space="preserve"> when the second </w:t>
      </w:r>
      <w:r w:rsidR="00B01250" w:rsidRPr="00912BBA">
        <w:rPr>
          <w:rFonts w:eastAsia="Arial Unicode MS"/>
          <w:b/>
          <w:u w:val="single"/>
        </w:rPr>
        <w:t>respondent</w:t>
      </w:r>
      <w:r w:rsidR="00880F63" w:rsidRPr="00912BBA">
        <w:rPr>
          <w:rFonts w:eastAsia="Arial Unicode MS"/>
          <w:b/>
          <w:u w:val="single"/>
        </w:rPr>
        <w:t xml:space="preserve"> purchased the suit land from</w:t>
      </w:r>
      <w:r w:rsidR="00B01250" w:rsidRPr="00912BBA">
        <w:rPr>
          <w:rFonts w:eastAsia="Arial Unicode MS"/>
          <w:b/>
          <w:u w:val="single"/>
        </w:rPr>
        <w:t xml:space="preserve"> the </w:t>
      </w:r>
      <w:r w:rsidR="00880F63" w:rsidRPr="00912BBA">
        <w:rPr>
          <w:rFonts w:eastAsia="Arial Unicode MS"/>
          <w:b/>
          <w:u w:val="single"/>
        </w:rPr>
        <w:t>1</w:t>
      </w:r>
      <w:r w:rsidR="00880F63" w:rsidRPr="00912BBA">
        <w:rPr>
          <w:rFonts w:eastAsia="Arial Unicode MS"/>
          <w:b/>
          <w:u w:val="single"/>
          <w:vertAlign w:val="superscript"/>
        </w:rPr>
        <w:t>st</w:t>
      </w:r>
      <w:r w:rsidR="00880F63" w:rsidRPr="00912BBA">
        <w:rPr>
          <w:rFonts w:eastAsia="Arial Unicode MS"/>
          <w:b/>
          <w:u w:val="single"/>
        </w:rPr>
        <w:t xml:space="preserve"> respondent.</w:t>
      </w:r>
      <w:r w:rsidR="00B01250" w:rsidRPr="00912BBA">
        <w:rPr>
          <w:rFonts w:eastAsia="Arial Unicode MS"/>
          <w:b/>
          <w:u w:val="single"/>
        </w:rPr>
        <w:t>”</w:t>
      </w:r>
      <w:r w:rsidR="000E4A1C" w:rsidRPr="00912BBA">
        <w:rPr>
          <w:rFonts w:eastAsia="Arial Unicode MS"/>
          <w:b/>
          <w:u w:val="single"/>
        </w:rPr>
        <w:t xml:space="preserve"> </w:t>
      </w:r>
      <w:r w:rsidR="000E4A1C" w:rsidRPr="00912BBA">
        <w:rPr>
          <w:rFonts w:eastAsia="Arial Unicode MS"/>
        </w:rPr>
        <w:t>(Underling is mine for emphasis)</w:t>
      </w:r>
    </w:p>
    <w:p w:rsidR="008A5ADD" w:rsidRPr="00912BBA" w:rsidRDefault="008A5ADD" w:rsidP="00EA1FBE">
      <w:pPr>
        <w:spacing w:line="360" w:lineRule="auto"/>
        <w:ind w:left="360"/>
        <w:jc w:val="both"/>
        <w:rPr>
          <w:rFonts w:eastAsia="Arial Unicode MS"/>
          <w:u w:val="single"/>
        </w:rPr>
      </w:pPr>
    </w:p>
    <w:p w:rsidR="008A5ADD" w:rsidRPr="00912BBA" w:rsidRDefault="008A5ADD" w:rsidP="00EA1FBE">
      <w:pPr>
        <w:spacing w:line="360" w:lineRule="auto"/>
        <w:ind w:left="360"/>
        <w:jc w:val="both"/>
        <w:rPr>
          <w:rFonts w:eastAsia="Arial Unicode MS"/>
        </w:rPr>
      </w:pPr>
      <w:r w:rsidRPr="00912BBA">
        <w:rPr>
          <w:rFonts w:eastAsia="Arial Unicode MS"/>
        </w:rPr>
        <w:t>In brief, the trial chief magistrate made some of the following findings/observations;</w:t>
      </w:r>
    </w:p>
    <w:p w:rsidR="008A5ADD" w:rsidRPr="00912BBA" w:rsidRDefault="008A5ADD" w:rsidP="008A5ADD">
      <w:pPr>
        <w:pStyle w:val="ListParagraph"/>
        <w:numPr>
          <w:ilvl w:val="0"/>
          <w:numId w:val="8"/>
        </w:numPr>
        <w:spacing w:line="360" w:lineRule="auto"/>
        <w:jc w:val="both"/>
        <w:rPr>
          <w:rFonts w:eastAsia="Arial Unicode MS"/>
        </w:rPr>
      </w:pPr>
      <w:r w:rsidRPr="00912BBA">
        <w:rPr>
          <w:rFonts w:eastAsia="Arial Unicode MS"/>
        </w:rPr>
        <w:t>The applicant had not shown any good cause from 2006 up to 2011 why the case has never been prosecuted and that such endless litig</w:t>
      </w:r>
      <w:r w:rsidR="00B01250" w:rsidRPr="00912BBA">
        <w:rPr>
          <w:rFonts w:eastAsia="Arial Unicode MS"/>
        </w:rPr>
        <w:t>ation should be discouraged in C</w:t>
      </w:r>
      <w:r w:rsidRPr="00912BBA">
        <w:rPr>
          <w:rFonts w:eastAsia="Arial Unicode MS"/>
        </w:rPr>
        <w:t>ourts.</w:t>
      </w:r>
    </w:p>
    <w:p w:rsidR="008A5ADD" w:rsidRPr="00912BBA" w:rsidRDefault="008A5ADD" w:rsidP="008A5ADD">
      <w:pPr>
        <w:pStyle w:val="ListParagraph"/>
        <w:numPr>
          <w:ilvl w:val="0"/>
          <w:numId w:val="8"/>
        </w:numPr>
        <w:spacing w:line="360" w:lineRule="auto"/>
        <w:jc w:val="both"/>
        <w:rPr>
          <w:rFonts w:eastAsia="Arial Unicode MS"/>
        </w:rPr>
      </w:pPr>
      <w:r w:rsidRPr="00912BBA">
        <w:rPr>
          <w:rFonts w:eastAsia="Arial Unicode MS"/>
        </w:rPr>
        <w:t xml:space="preserve">The applicant/plaintiff should stop engaging in unnecessary litigation which are costly and time consuming. I am saying this because the applicant’s chances of success in the main suit are very </w:t>
      </w:r>
      <w:r w:rsidR="00B01250" w:rsidRPr="00912BBA">
        <w:rPr>
          <w:rFonts w:eastAsia="Arial Unicode MS"/>
        </w:rPr>
        <w:t>mi</w:t>
      </w:r>
      <w:r w:rsidRPr="00912BBA">
        <w:rPr>
          <w:rFonts w:eastAsia="Arial Unicode MS"/>
        </w:rPr>
        <w:t>nimal. The 1</w:t>
      </w:r>
      <w:r w:rsidRPr="00912BBA">
        <w:rPr>
          <w:rFonts w:eastAsia="Arial Unicode MS"/>
          <w:vertAlign w:val="superscript"/>
        </w:rPr>
        <w:t>st</w:t>
      </w:r>
      <w:r w:rsidRPr="00912BBA">
        <w:rPr>
          <w:rFonts w:eastAsia="Arial Unicode MS"/>
        </w:rPr>
        <w:t xml:space="preserve"> respondent/defendant who was his landlord never recognized him as a kibanja holder on his land when he sold to the 2</w:t>
      </w:r>
      <w:r w:rsidRPr="00912BBA">
        <w:rPr>
          <w:rFonts w:eastAsia="Arial Unicode MS"/>
          <w:vertAlign w:val="superscript"/>
        </w:rPr>
        <w:t>nd</w:t>
      </w:r>
      <w:r w:rsidRPr="00912BBA">
        <w:rPr>
          <w:rFonts w:eastAsia="Arial Unicode MS"/>
        </w:rPr>
        <w:t xml:space="preserve"> respondent.</w:t>
      </w:r>
    </w:p>
    <w:p w:rsidR="008A5ADD" w:rsidRPr="00912BBA" w:rsidRDefault="008A5ADD" w:rsidP="008A5ADD">
      <w:pPr>
        <w:pStyle w:val="ListParagraph"/>
        <w:numPr>
          <w:ilvl w:val="0"/>
          <w:numId w:val="8"/>
        </w:numPr>
        <w:spacing w:line="360" w:lineRule="auto"/>
        <w:jc w:val="both"/>
        <w:rPr>
          <w:rFonts w:eastAsia="Arial Unicode MS"/>
        </w:rPr>
      </w:pPr>
      <w:r w:rsidRPr="00912BBA">
        <w:rPr>
          <w:rFonts w:eastAsia="Arial Unicode MS"/>
        </w:rPr>
        <w:t xml:space="preserve">The first set of lawyers who represented the applicant/plaintiff in the High Court at Nakawa reported to the trial Judge by then </w:t>
      </w:r>
      <w:r w:rsidR="00B01250" w:rsidRPr="00912BBA">
        <w:rPr>
          <w:rFonts w:eastAsia="Arial Unicode MS"/>
        </w:rPr>
        <w:t xml:space="preserve">that </w:t>
      </w:r>
      <w:r w:rsidRPr="00912BBA">
        <w:rPr>
          <w:rFonts w:eastAsia="Arial Unicode MS"/>
        </w:rPr>
        <w:t>the land was vacant. They only saw some coffee plants and cassava.</w:t>
      </w:r>
    </w:p>
    <w:p w:rsidR="00E412D5" w:rsidRPr="00912BBA" w:rsidRDefault="008A5ADD" w:rsidP="008A5ADD">
      <w:pPr>
        <w:pStyle w:val="ListParagraph"/>
        <w:numPr>
          <w:ilvl w:val="0"/>
          <w:numId w:val="8"/>
        </w:numPr>
        <w:spacing w:line="360" w:lineRule="auto"/>
        <w:jc w:val="both"/>
        <w:rPr>
          <w:rFonts w:eastAsia="Arial Unicode MS"/>
        </w:rPr>
      </w:pPr>
      <w:r w:rsidRPr="00912BBA">
        <w:rPr>
          <w:rFonts w:eastAsia="Arial Unicode MS"/>
        </w:rPr>
        <w:t>The applicant/plaintiff cannot claim a right of occupancy where he has no kibanja interest. He should vacate the 2</w:t>
      </w:r>
      <w:r w:rsidRPr="00912BBA">
        <w:rPr>
          <w:rFonts w:eastAsia="Arial Unicode MS"/>
          <w:vertAlign w:val="superscript"/>
        </w:rPr>
        <w:t>nd</w:t>
      </w:r>
      <w:r w:rsidRPr="00912BBA">
        <w:rPr>
          <w:rFonts w:eastAsia="Arial Unicode MS"/>
        </w:rPr>
        <w:t xml:space="preserve"> respondent’s land interest because he is a banafie purchaser for value and he cannot be deprived of his interest by the applicant/</w:t>
      </w:r>
      <w:r w:rsidR="00E412D5" w:rsidRPr="00912BBA">
        <w:rPr>
          <w:rFonts w:eastAsia="Arial Unicode MS"/>
        </w:rPr>
        <w:t>plaintiff who had not right of occupancy at the time when the 2</w:t>
      </w:r>
      <w:r w:rsidR="00E412D5" w:rsidRPr="00912BBA">
        <w:rPr>
          <w:rFonts w:eastAsia="Arial Unicode MS"/>
          <w:vertAlign w:val="superscript"/>
        </w:rPr>
        <w:t>nd</w:t>
      </w:r>
      <w:r w:rsidR="00E412D5" w:rsidRPr="00912BBA">
        <w:rPr>
          <w:rFonts w:eastAsia="Arial Unicode MS"/>
        </w:rPr>
        <w:t xml:space="preserve"> respondent purchased the suit land from the 1</w:t>
      </w:r>
      <w:r w:rsidR="00E412D5" w:rsidRPr="00912BBA">
        <w:rPr>
          <w:rFonts w:eastAsia="Arial Unicode MS"/>
          <w:vertAlign w:val="superscript"/>
        </w:rPr>
        <w:t>st</w:t>
      </w:r>
      <w:r w:rsidR="00E412D5" w:rsidRPr="00912BBA">
        <w:rPr>
          <w:rFonts w:eastAsia="Arial Unicode MS"/>
        </w:rPr>
        <w:t xml:space="preserve"> respondent.</w:t>
      </w:r>
    </w:p>
    <w:p w:rsidR="00E412D5" w:rsidRPr="00912BBA" w:rsidRDefault="00E412D5" w:rsidP="00E412D5">
      <w:pPr>
        <w:pStyle w:val="ListParagraph"/>
        <w:spacing w:line="360" w:lineRule="auto"/>
        <w:ind w:left="1440"/>
        <w:jc w:val="both"/>
        <w:rPr>
          <w:rFonts w:eastAsia="Arial Unicode MS"/>
        </w:rPr>
      </w:pPr>
    </w:p>
    <w:p w:rsidR="008A5ADD" w:rsidRPr="00912BBA" w:rsidRDefault="00E412D5" w:rsidP="00E412D5">
      <w:pPr>
        <w:spacing w:line="360" w:lineRule="auto"/>
        <w:jc w:val="both"/>
        <w:rPr>
          <w:rFonts w:eastAsia="Arial Unicode MS"/>
        </w:rPr>
      </w:pPr>
      <w:r w:rsidRPr="00912BBA">
        <w:rPr>
          <w:rFonts w:eastAsia="Arial Unicode MS"/>
        </w:rPr>
        <w:t xml:space="preserve">The above findings </w:t>
      </w:r>
      <w:r w:rsidR="00B01250" w:rsidRPr="00912BBA">
        <w:rPr>
          <w:rFonts w:eastAsia="Arial Unicode MS"/>
        </w:rPr>
        <w:t xml:space="preserve"> by the trial chief magistrate in such an application to set aside the order of dismissal of the applicant’s suit for want of prosecution </w:t>
      </w:r>
      <w:r w:rsidRPr="00912BBA">
        <w:rPr>
          <w:rFonts w:eastAsia="Arial Unicode MS"/>
        </w:rPr>
        <w:t>were prejudicial and occasioned a material irregularity and injustice to the applicant for the following reasons;</w:t>
      </w:r>
    </w:p>
    <w:p w:rsidR="00E412D5" w:rsidRPr="00912BBA" w:rsidRDefault="00E412D5" w:rsidP="00E412D5">
      <w:pPr>
        <w:pStyle w:val="ListParagraph"/>
        <w:numPr>
          <w:ilvl w:val="0"/>
          <w:numId w:val="9"/>
        </w:numPr>
        <w:spacing w:line="360" w:lineRule="auto"/>
        <w:jc w:val="both"/>
        <w:rPr>
          <w:rFonts w:eastAsia="Arial Unicode MS"/>
        </w:rPr>
      </w:pPr>
      <w:r w:rsidRPr="00912BBA">
        <w:rPr>
          <w:rFonts w:eastAsia="Arial Unicode MS"/>
        </w:rPr>
        <w:t>The case had been b</w:t>
      </w:r>
      <w:r w:rsidR="005A0F6F" w:rsidRPr="00912BBA">
        <w:rPr>
          <w:rFonts w:eastAsia="Arial Unicode MS"/>
        </w:rPr>
        <w:t>efore Nabweru Chief Magistrate C</w:t>
      </w:r>
      <w:r w:rsidRPr="00912BBA">
        <w:rPr>
          <w:rFonts w:eastAsia="Arial Unicode MS"/>
        </w:rPr>
        <w:t>ourt for less than a year and it was erroneous for the chief magistrate to base her finding on the fact that it had not been prosecuted since the year 2006.</w:t>
      </w:r>
    </w:p>
    <w:p w:rsidR="00E412D5" w:rsidRPr="00912BBA" w:rsidRDefault="00E412D5" w:rsidP="00E412D5">
      <w:pPr>
        <w:pStyle w:val="ListParagraph"/>
        <w:numPr>
          <w:ilvl w:val="0"/>
          <w:numId w:val="9"/>
        </w:numPr>
        <w:spacing w:line="360" w:lineRule="auto"/>
        <w:jc w:val="both"/>
        <w:rPr>
          <w:rFonts w:eastAsia="Arial Unicode MS"/>
        </w:rPr>
      </w:pPr>
      <w:r w:rsidRPr="00912BBA">
        <w:rPr>
          <w:rFonts w:eastAsia="Arial Unicode MS"/>
        </w:rPr>
        <w:t>The findings regarding ownership of the suit land, whether or not the applicant had a kibanja thereon and whether or not the 2</w:t>
      </w:r>
      <w:r w:rsidRPr="00912BBA">
        <w:rPr>
          <w:rFonts w:eastAsia="Arial Unicode MS"/>
          <w:vertAlign w:val="superscript"/>
        </w:rPr>
        <w:t>nd</w:t>
      </w:r>
      <w:r w:rsidRPr="00912BBA">
        <w:rPr>
          <w:rFonts w:eastAsia="Arial Unicode MS"/>
        </w:rPr>
        <w:t xml:space="preserve"> respondent was a bonafide purchaser for value without notice were outside the ambit of Miscellaneous Application No. 309of 2010.</w:t>
      </w:r>
    </w:p>
    <w:p w:rsidR="00E412D5" w:rsidRPr="00912BBA" w:rsidRDefault="00E412D5" w:rsidP="00E412D5">
      <w:pPr>
        <w:pStyle w:val="ListParagraph"/>
        <w:numPr>
          <w:ilvl w:val="0"/>
          <w:numId w:val="9"/>
        </w:numPr>
        <w:spacing w:line="360" w:lineRule="auto"/>
        <w:jc w:val="both"/>
        <w:rPr>
          <w:rFonts w:eastAsia="Arial Unicode MS"/>
        </w:rPr>
      </w:pPr>
      <w:r w:rsidRPr="00912BBA">
        <w:rPr>
          <w:rFonts w:eastAsia="Arial Unicode MS"/>
        </w:rPr>
        <w:t>The remedy granted to the 2</w:t>
      </w:r>
      <w:r w:rsidRPr="00912BBA">
        <w:rPr>
          <w:rFonts w:eastAsia="Arial Unicode MS"/>
          <w:vertAlign w:val="superscript"/>
        </w:rPr>
        <w:t>nd</w:t>
      </w:r>
      <w:r w:rsidRPr="00912BBA">
        <w:rPr>
          <w:rFonts w:eastAsia="Arial Unicode MS"/>
        </w:rPr>
        <w:t xml:space="preserve"> respondent that the application should vacate the 2</w:t>
      </w:r>
      <w:r w:rsidRPr="00912BBA">
        <w:rPr>
          <w:rFonts w:eastAsia="Arial Unicode MS"/>
          <w:vertAlign w:val="superscript"/>
        </w:rPr>
        <w:t>nd</w:t>
      </w:r>
      <w:r w:rsidRPr="00912BBA">
        <w:rPr>
          <w:rFonts w:eastAsia="Arial Unicode MS"/>
        </w:rPr>
        <w:t xml:space="preserve"> respondent’s land was outside the ambit of Miscellaneous Application No. 309of 2010.</w:t>
      </w:r>
    </w:p>
    <w:p w:rsidR="00E412D5" w:rsidRPr="00912BBA" w:rsidRDefault="00E412D5" w:rsidP="00E412D5">
      <w:pPr>
        <w:spacing w:line="360" w:lineRule="auto"/>
        <w:jc w:val="both"/>
        <w:rPr>
          <w:rFonts w:eastAsia="Arial Unicode MS"/>
        </w:rPr>
      </w:pPr>
    </w:p>
    <w:p w:rsidR="00E412D5" w:rsidRPr="00912BBA" w:rsidRDefault="00E412D5" w:rsidP="00E412D5">
      <w:pPr>
        <w:spacing w:line="360" w:lineRule="auto"/>
        <w:jc w:val="both"/>
        <w:rPr>
          <w:rFonts w:eastAsia="Arial Unicode MS"/>
        </w:rPr>
      </w:pPr>
      <w:r w:rsidRPr="00912BBA">
        <w:rPr>
          <w:rFonts w:eastAsia="Arial Unicode MS"/>
        </w:rPr>
        <w:t xml:space="preserve"> The remedies, granted to the respondent, specifically ordering the application to vacate the suit land, should only have arisen after the hearing of the counterclaim but the</w:t>
      </w:r>
      <w:r w:rsidR="00B01250" w:rsidRPr="00912BBA">
        <w:rPr>
          <w:rFonts w:eastAsia="Arial Unicode MS"/>
        </w:rPr>
        <w:t>re is no record from the lower C</w:t>
      </w:r>
      <w:r w:rsidRPr="00912BBA">
        <w:rPr>
          <w:rFonts w:eastAsia="Arial Unicode MS"/>
        </w:rPr>
        <w:t>ourt showing that the counterclaim was heard.</w:t>
      </w:r>
    </w:p>
    <w:p w:rsidR="00E412D5" w:rsidRPr="00912BBA" w:rsidRDefault="00E412D5" w:rsidP="00E412D5">
      <w:pPr>
        <w:spacing w:line="360" w:lineRule="auto"/>
        <w:jc w:val="both"/>
        <w:rPr>
          <w:rFonts w:eastAsia="Arial Unicode MS"/>
        </w:rPr>
      </w:pPr>
    </w:p>
    <w:p w:rsidR="00E412D5" w:rsidRPr="00912BBA" w:rsidRDefault="000E4A1C" w:rsidP="00E412D5">
      <w:pPr>
        <w:spacing w:line="360" w:lineRule="auto"/>
        <w:jc w:val="both"/>
        <w:rPr>
          <w:rFonts w:eastAsia="Arial Unicode MS"/>
        </w:rPr>
      </w:pPr>
      <w:r w:rsidRPr="00912BBA">
        <w:rPr>
          <w:rFonts w:eastAsia="Arial Unicode MS"/>
        </w:rPr>
        <w:t>Order 8 rule 13</w:t>
      </w:r>
      <w:r w:rsidR="00E412D5" w:rsidRPr="00912BBA">
        <w:rPr>
          <w:rFonts w:eastAsia="Arial Unicode MS"/>
        </w:rPr>
        <w:t xml:space="preserve"> of  C</w:t>
      </w:r>
      <w:r w:rsidR="00B942FF" w:rsidRPr="00912BBA">
        <w:rPr>
          <w:rFonts w:eastAsia="Arial Unicode MS"/>
        </w:rPr>
        <w:t>ivil Procedure Rules</w:t>
      </w:r>
      <w:r w:rsidR="00E412D5" w:rsidRPr="00912BBA">
        <w:rPr>
          <w:rFonts w:eastAsia="Arial Unicode MS"/>
        </w:rPr>
        <w:t xml:space="preserve"> provides that:</w:t>
      </w:r>
    </w:p>
    <w:p w:rsidR="00E412D5" w:rsidRPr="00912BBA" w:rsidRDefault="00E412D5" w:rsidP="00B942FF">
      <w:pPr>
        <w:ind w:left="907" w:right="907"/>
        <w:jc w:val="both"/>
        <w:rPr>
          <w:rFonts w:eastAsia="Arial Unicode MS"/>
          <w:b/>
        </w:rPr>
      </w:pPr>
      <w:r w:rsidRPr="00912BBA">
        <w:rPr>
          <w:rFonts w:eastAsia="Arial Unicode MS"/>
          <w:b/>
        </w:rPr>
        <w:t>“if in any case in which the defendant sets up a counterclaim, the suit of the plaintiff is stayed, discontinued or dismissed, the counterclaim may nevertheless be proceeded with”.</w:t>
      </w:r>
    </w:p>
    <w:p w:rsidR="00E412D5" w:rsidRPr="00912BBA" w:rsidRDefault="00E412D5" w:rsidP="00E412D5">
      <w:pPr>
        <w:spacing w:line="360" w:lineRule="auto"/>
        <w:jc w:val="both"/>
        <w:rPr>
          <w:rFonts w:eastAsia="Arial Unicode MS"/>
        </w:rPr>
      </w:pPr>
    </w:p>
    <w:p w:rsidR="00E412D5" w:rsidRPr="00912BBA" w:rsidRDefault="00E412D5" w:rsidP="00E412D5">
      <w:pPr>
        <w:spacing w:line="360" w:lineRule="auto"/>
        <w:jc w:val="both"/>
        <w:rPr>
          <w:rFonts w:eastAsia="Arial Unicode MS"/>
        </w:rPr>
      </w:pPr>
      <w:r w:rsidRPr="00912BBA">
        <w:rPr>
          <w:rFonts w:eastAsia="Arial Unicode MS"/>
        </w:rPr>
        <w:t xml:space="preserve">It would follow that since the counterclaim was never proceeded with, then the trial </w:t>
      </w:r>
      <w:r w:rsidR="00B01250" w:rsidRPr="00912BBA">
        <w:rPr>
          <w:rFonts w:eastAsia="Arial Unicode MS"/>
        </w:rPr>
        <w:t xml:space="preserve">chief </w:t>
      </w:r>
      <w:r w:rsidRPr="00912BBA">
        <w:rPr>
          <w:rFonts w:eastAsia="Arial Unicode MS"/>
        </w:rPr>
        <w:t>magistrate should not have delved into matters that had been raised by counterclaim and as such no finding should have been made that the 2</w:t>
      </w:r>
      <w:r w:rsidRPr="00912BBA">
        <w:rPr>
          <w:rFonts w:eastAsia="Arial Unicode MS"/>
          <w:vertAlign w:val="superscript"/>
        </w:rPr>
        <w:t>nd</w:t>
      </w:r>
      <w:r w:rsidRPr="00912BBA">
        <w:rPr>
          <w:rFonts w:eastAsia="Arial Unicode MS"/>
        </w:rPr>
        <w:t xml:space="preserve"> respondent was a bonafide purchaser for value without notice and consequently that the applicant/plaintiff should be evicted from the suit land as the extracted order provided.</w:t>
      </w:r>
      <w:r w:rsidR="00B01250" w:rsidRPr="00912BBA">
        <w:rPr>
          <w:rFonts w:eastAsia="Arial Unicode MS"/>
        </w:rPr>
        <w:t xml:space="preserve"> Upon dismissal of the applicant’s /plaintiff’s suit, the trial </w:t>
      </w:r>
      <w:r w:rsidR="000E4A1C" w:rsidRPr="00912BBA">
        <w:rPr>
          <w:rFonts w:eastAsia="Arial Unicode MS"/>
        </w:rPr>
        <w:t xml:space="preserve">chief </w:t>
      </w:r>
      <w:r w:rsidR="00B01250" w:rsidRPr="00912BBA">
        <w:rPr>
          <w:rFonts w:eastAsia="Arial Unicode MS"/>
        </w:rPr>
        <w:t>magistrate should have fixed the hearing of the counterclaim interparties. Her failure to hear the c</w:t>
      </w:r>
      <w:r w:rsidR="000E4A1C" w:rsidRPr="00912BBA">
        <w:rPr>
          <w:rFonts w:eastAsia="Arial Unicode MS"/>
        </w:rPr>
        <w:t>ounterclaim was an error of law and it caused injustice against the applicant.</w:t>
      </w:r>
    </w:p>
    <w:p w:rsidR="00E412D5" w:rsidRPr="00912BBA" w:rsidRDefault="00E412D5" w:rsidP="00E412D5">
      <w:pPr>
        <w:spacing w:line="360" w:lineRule="auto"/>
        <w:jc w:val="both"/>
        <w:rPr>
          <w:rFonts w:eastAsia="Arial Unicode MS"/>
        </w:rPr>
      </w:pPr>
    </w:p>
    <w:p w:rsidR="009D4253" w:rsidRPr="00912BBA" w:rsidRDefault="00E412D5" w:rsidP="00E412D5">
      <w:pPr>
        <w:spacing w:line="360" w:lineRule="auto"/>
        <w:jc w:val="both"/>
        <w:rPr>
          <w:rFonts w:eastAsia="Arial Unicode MS"/>
        </w:rPr>
      </w:pPr>
      <w:r w:rsidRPr="00912BBA">
        <w:rPr>
          <w:rFonts w:eastAsia="Arial Unicode MS"/>
        </w:rPr>
        <w:t xml:space="preserve">In view of the above, I find that the trial chief </w:t>
      </w:r>
      <w:r w:rsidR="00B01250" w:rsidRPr="00912BBA">
        <w:rPr>
          <w:rFonts w:eastAsia="Arial Unicode MS"/>
        </w:rPr>
        <w:t>magistrate acted in the exercise of her</w:t>
      </w:r>
      <w:r w:rsidRPr="00912BBA">
        <w:rPr>
          <w:rFonts w:eastAsia="Arial Unicode MS"/>
        </w:rPr>
        <w:t xml:space="preserve"> jurisdiction with material irregularity and injustice and </w:t>
      </w:r>
      <w:r w:rsidR="00B01250" w:rsidRPr="00912BBA">
        <w:rPr>
          <w:rFonts w:eastAsia="Arial Unicode MS"/>
        </w:rPr>
        <w:t xml:space="preserve">I hold that this application has merit. </w:t>
      </w:r>
      <w:r w:rsidR="000E4A1C" w:rsidRPr="00912BBA">
        <w:rPr>
          <w:rFonts w:eastAsia="Arial Unicode MS"/>
        </w:rPr>
        <w:t>It</w:t>
      </w:r>
      <w:r w:rsidR="00B01250" w:rsidRPr="00912BBA">
        <w:rPr>
          <w:rFonts w:eastAsia="Arial Unicode MS"/>
        </w:rPr>
        <w:t xml:space="preserve"> ought to succeed as against the 2</w:t>
      </w:r>
      <w:r w:rsidR="00B01250" w:rsidRPr="00912BBA">
        <w:rPr>
          <w:rFonts w:eastAsia="Arial Unicode MS"/>
          <w:vertAlign w:val="superscript"/>
        </w:rPr>
        <w:t>nd</w:t>
      </w:r>
      <w:r w:rsidR="00B01250" w:rsidRPr="00912BBA">
        <w:rPr>
          <w:rFonts w:eastAsia="Arial Unicode MS"/>
        </w:rPr>
        <w:t xml:space="preserve"> respondent</w:t>
      </w:r>
      <w:r w:rsidRPr="00912BBA">
        <w:rPr>
          <w:rFonts w:eastAsia="Arial Unicode MS"/>
        </w:rPr>
        <w:t>.</w:t>
      </w:r>
    </w:p>
    <w:p w:rsidR="00E412D5" w:rsidRPr="00912BBA" w:rsidRDefault="00E412D5" w:rsidP="00E412D5">
      <w:pPr>
        <w:spacing w:line="360" w:lineRule="auto"/>
        <w:jc w:val="both"/>
        <w:rPr>
          <w:rFonts w:eastAsia="Arial Unicode MS"/>
        </w:rPr>
      </w:pPr>
    </w:p>
    <w:p w:rsidR="005A0F6F" w:rsidRPr="00912BBA" w:rsidRDefault="005A0F6F" w:rsidP="00E412D5">
      <w:pPr>
        <w:spacing w:line="360" w:lineRule="auto"/>
        <w:jc w:val="both"/>
        <w:rPr>
          <w:rFonts w:eastAsia="Arial Unicode MS"/>
        </w:rPr>
      </w:pPr>
    </w:p>
    <w:p w:rsidR="005A0F6F" w:rsidRPr="00912BBA" w:rsidRDefault="005A0F6F" w:rsidP="00E412D5">
      <w:pPr>
        <w:spacing w:line="360" w:lineRule="auto"/>
        <w:jc w:val="both"/>
        <w:rPr>
          <w:rFonts w:eastAsia="Arial Unicode MS"/>
        </w:rPr>
      </w:pPr>
    </w:p>
    <w:p w:rsidR="00E412D5" w:rsidRPr="00912BBA" w:rsidRDefault="00E412D5" w:rsidP="002F5B7E">
      <w:pPr>
        <w:pStyle w:val="ListParagraph"/>
        <w:numPr>
          <w:ilvl w:val="0"/>
          <w:numId w:val="2"/>
        </w:numPr>
        <w:spacing w:line="360" w:lineRule="auto"/>
        <w:jc w:val="center"/>
        <w:rPr>
          <w:rFonts w:eastAsia="Arial Unicode MS"/>
          <w:b/>
        </w:rPr>
      </w:pPr>
      <w:r w:rsidRPr="00912BBA">
        <w:rPr>
          <w:rFonts w:eastAsia="Arial Unicode MS"/>
          <w:b/>
        </w:rPr>
        <w:t>Conclusion</w:t>
      </w:r>
    </w:p>
    <w:p w:rsidR="00E412D5" w:rsidRPr="00912BBA" w:rsidRDefault="00E412D5" w:rsidP="00E412D5">
      <w:pPr>
        <w:spacing w:line="360" w:lineRule="auto"/>
        <w:ind w:left="-45"/>
        <w:jc w:val="both"/>
        <w:rPr>
          <w:rFonts w:eastAsia="Arial Unicode MS"/>
        </w:rPr>
      </w:pPr>
      <w:r w:rsidRPr="00912BBA">
        <w:rPr>
          <w:rFonts w:eastAsia="Arial Unicode MS"/>
        </w:rPr>
        <w:t>In the result and for the reasons given here</w:t>
      </w:r>
      <w:r w:rsidR="00B01250" w:rsidRPr="00912BBA">
        <w:rPr>
          <w:rFonts w:eastAsia="Arial Unicode MS"/>
        </w:rPr>
        <w:t>in</w:t>
      </w:r>
      <w:r w:rsidRPr="00912BBA">
        <w:rPr>
          <w:rFonts w:eastAsia="Arial Unicode MS"/>
        </w:rPr>
        <w:t xml:space="preserve">above in this ruling, this application </w:t>
      </w:r>
      <w:r w:rsidR="00B01250" w:rsidRPr="00912BBA">
        <w:rPr>
          <w:rFonts w:eastAsia="Arial Unicode MS"/>
        </w:rPr>
        <w:t>succeeds</w:t>
      </w:r>
      <w:r w:rsidRPr="00912BBA">
        <w:rPr>
          <w:rFonts w:eastAsia="Arial Unicode MS"/>
        </w:rPr>
        <w:t xml:space="preserve">. </w:t>
      </w:r>
      <w:r w:rsidR="00164603" w:rsidRPr="00912BBA">
        <w:rPr>
          <w:rFonts w:eastAsia="Arial Unicode MS"/>
        </w:rPr>
        <w:t>It</w:t>
      </w:r>
      <w:r w:rsidRPr="00912BBA">
        <w:rPr>
          <w:rFonts w:eastAsia="Arial Unicode MS"/>
        </w:rPr>
        <w:t xml:space="preserve"> is accordingly allowed in the following orders; that;</w:t>
      </w:r>
    </w:p>
    <w:p w:rsidR="00E412D5" w:rsidRPr="00912BBA" w:rsidRDefault="00164603" w:rsidP="00E412D5">
      <w:pPr>
        <w:pStyle w:val="ListParagraph"/>
        <w:numPr>
          <w:ilvl w:val="0"/>
          <w:numId w:val="11"/>
        </w:numPr>
        <w:spacing w:line="360" w:lineRule="auto"/>
        <w:jc w:val="both"/>
        <w:rPr>
          <w:rFonts w:eastAsia="Arial Unicode MS"/>
        </w:rPr>
      </w:pPr>
      <w:r w:rsidRPr="00912BBA">
        <w:rPr>
          <w:rFonts w:eastAsia="Arial Unicode MS"/>
        </w:rPr>
        <w:t>The judgment, ruling, decree</w:t>
      </w:r>
      <w:r w:rsidR="00E412D5" w:rsidRPr="00912BBA">
        <w:rPr>
          <w:rFonts w:eastAsia="Arial Unicode MS"/>
        </w:rPr>
        <w:t>s and all orders emanating</w:t>
      </w:r>
      <w:r w:rsidR="000E4A1C" w:rsidRPr="00912BBA">
        <w:rPr>
          <w:rFonts w:eastAsia="Arial Unicode MS"/>
        </w:rPr>
        <w:t xml:space="preserve"> from Civil Suit no. 28 of 2010 and Miscellaneous Application no. 309 of 2010</w:t>
      </w:r>
      <w:r w:rsidR="00E412D5" w:rsidRPr="00912BBA">
        <w:rPr>
          <w:rFonts w:eastAsia="Arial Unicode MS"/>
        </w:rPr>
        <w:t xml:space="preserve"> are set aside.</w:t>
      </w:r>
    </w:p>
    <w:p w:rsidR="00E412D5" w:rsidRPr="00912BBA" w:rsidRDefault="00E412D5" w:rsidP="00E412D5">
      <w:pPr>
        <w:pStyle w:val="ListParagraph"/>
        <w:numPr>
          <w:ilvl w:val="0"/>
          <w:numId w:val="11"/>
        </w:numPr>
        <w:spacing w:line="360" w:lineRule="auto"/>
        <w:jc w:val="both"/>
        <w:rPr>
          <w:rFonts w:eastAsia="Arial Unicode MS"/>
        </w:rPr>
      </w:pPr>
      <w:r w:rsidRPr="00912BBA">
        <w:rPr>
          <w:rFonts w:eastAsia="Arial Unicode MS"/>
        </w:rPr>
        <w:t>Civil Suit no. 28 of 2010 be</w:t>
      </w:r>
      <w:r w:rsidR="00B01250" w:rsidRPr="00912BBA">
        <w:rPr>
          <w:rFonts w:eastAsia="Arial Unicode MS"/>
        </w:rPr>
        <w:t>tween the parties</w:t>
      </w:r>
      <w:r w:rsidR="000E4A1C" w:rsidRPr="00912BBA">
        <w:rPr>
          <w:rFonts w:eastAsia="Arial Unicode MS"/>
        </w:rPr>
        <w:t>,</w:t>
      </w:r>
      <w:r w:rsidR="00B01250" w:rsidRPr="00912BBA">
        <w:rPr>
          <w:rFonts w:eastAsia="Arial Unicode MS"/>
        </w:rPr>
        <w:t xml:space="preserve"> of the Chief M</w:t>
      </w:r>
      <w:r w:rsidRPr="00912BBA">
        <w:rPr>
          <w:rFonts w:eastAsia="Arial Unicode MS"/>
        </w:rPr>
        <w:t xml:space="preserve">agistrate’s </w:t>
      </w:r>
      <w:r w:rsidR="00B01250" w:rsidRPr="00912BBA">
        <w:rPr>
          <w:rFonts w:eastAsia="Arial Unicode MS"/>
        </w:rPr>
        <w:t>C</w:t>
      </w:r>
      <w:r w:rsidRPr="00912BBA">
        <w:rPr>
          <w:rFonts w:eastAsia="Arial Unicode MS"/>
        </w:rPr>
        <w:t>ourt of Nabweru is reinstated. The same shall be heard as soon as practicable before another magistr</w:t>
      </w:r>
      <w:r w:rsidR="000E4A1C" w:rsidRPr="00912BBA">
        <w:rPr>
          <w:rFonts w:eastAsia="Arial Unicode MS"/>
        </w:rPr>
        <w:t>ate with competent jurisdiction within thirty (30) days from the date of this ruling. This suit shall be given a special Civil Session for its quick disposal.</w:t>
      </w:r>
    </w:p>
    <w:p w:rsidR="00E412D5" w:rsidRPr="00912BBA" w:rsidRDefault="00E412D5" w:rsidP="00E412D5">
      <w:pPr>
        <w:pStyle w:val="ListParagraph"/>
        <w:numPr>
          <w:ilvl w:val="0"/>
          <w:numId w:val="11"/>
        </w:numPr>
        <w:spacing w:line="360" w:lineRule="auto"/>
        <w:jc w:val="both"/>
        <w:rPr>
          <w:rFonts w:eastAsia="Arial Unicode MS"/>
        </w:rPr>
      </w:pPr>
      <w:r w:rsidRPr="00912BBA">
        <w:rPr>
          <w:rFonts w:eastAsia="Arial Unicode MS"/>
        </w:rPr>
        <w:t>The Registrar of this Court shall cause the original file of the said suit, civil Suit No.28 of 2010 to be delivered to Nabweru Chief Magistrate’s Court within seven (7) days from the date of this ruling.</w:t>
      </w:r>
    </w:p>
    <w:p w:rsidR="00E412D5" w:rsidRPr="00912BBA" w:rsidRDefault="00B01250" w:rsidP="00E412D5">
      <w:pPr>
        <w:pStyle w:val="ListParagraph"/>
        <w:numPr>
          <w:ilvl w:val="0"/>
          <w:numId w:val="11"/>
        </w:numPr>
        <w:spacing w:line="360" w:lineRule="auto"/>
        <w:jc w:val="both"/>
        <w:rPr>
          <w:rFonts w:eastAsia="Arial Unicode MS"/>
        </w:rPr>
      </w:pPr>
      <w:r w:rsidRPr="00912BBA">
        <w:rPr>
          <w:rFonts w:eastAsia="Arial Unicode MS"/>
        </w:rPr>
        <w:t>The applicant is awarded costs in this application and in Miscellaneous Application No.309 of 2010.</w:t>
      </w:r>
    </w:p>
    <w:p w:rsidR="00E412D5" w:rsidRPr="00912BBA" w:rsidRDefault="00E412D5" w:rsidP="00E412D5">
      <w:pPr>
        <w:spacing w:line="360" w:lineRule="auto"/>
        <w:jc w:val="both"/>
        <w:rPr>
          <w:rFonts w:eastAsia="Arial Unicode MS"/>
        </w:rPr>
      </w:pPr>
    </w:p>
    <w:p w:rsidR="00E412D5" w:rsidRPr="00912BBA" w:rsidRDefault="00E412D5" w:rsidP="00E412D5">
      <w:pPr>
        <w:spacing w:line="360" w:lineRule="auto"/>
        <w:jc w:val="both"/>
        <w:rPr>
          <w:rFonts w:eastAsia="Arial Unicode MS"/>
        </w:rPr>
      </w:pPr>
      <w:r w:rsidRPr="00912BBA">
        <w:rPr>
          <w:rFonts w:eastAsia="Arial Unicode MS"/>
        </w:rPr>
        <w:t xml:space="preserve">Dated at </w:t>
      </w:r>
      <w:r w:rsidR="0061766B" w:rsidRPr="00912BBA">
        <w:rPr>
          <w:rFonts w:eastAsia="Arial Unicode MS"/>
        </w:rPr>
        <w:t xml:space="preserve">Kampala this </w:t>
      </w:r>
      <w:r w:rsidR="00E1131B" w:rsidRPr="00912BBA">
        <w:rPr>
          <w:rFonts w:eastAsia="Arial Unicode MS"/>
        </w:rPr>
        <w:t xml:space="preserve"> 15</w:t>
      </w:r>
      <w:r w:rsidR="00E1131B" w:rsidRPr="00912BBA">
        <w:rPr>
          <w:rFonts w:eastAsia="Arial Unicode MS"/>
          <w:vertAlign w:val="superscript"/>
        </w:rPr>
        <w:t>th</w:t>
      </w:r>
      <w:r w:rsidR="00E1131B" w:rsidRPr="00912BBA">
        <w:rPr>
          <w:rFonts w:eastAsia="Arial Unicode MS"/>
        </w:rPr>
        <w:t xml:space="preserve"> </w:t>
      </w:r>
      <w:r w:rsidR="0061766B" w:rsidRPr="00912BBA">
        <w:rPr>
          <w:rFonts w:eastAsia="Arial Unicode MS"/>
        </w:rPr>
        <w:t xml:space="preserve">day of </w:t>
      </w:r>
      <w:r w:rsidR="0035742F" w:rsidRPr="00912BBA">
        <w:rPr>
          <w:rFonts w:eastAsia="Arial Unicode MS"/>
        </w:rPr>
        <w:t>February,</w:t>
      </w:r>
      <w:r w:rsidRPr="00912BBA">
        <w:rPr>
          <w:rFonts w:eastAsia="Arial Unicode MS"/>
        </w:rPr>
        <w:t xml:space="preserve"> 2013.</w:t>
      </w:r>
    </w:p>
    <w:p w:rsidR="00E412D5" w:rsidRPr="00912BBA" w:rsidRDefault="00E412D5" w:rsidP="00E412D5">
      <w:pPr>
        <w:spacing w:line="360" w:lineRule="auto"/>
        <w:jc w:val="both"/>
        <w:rPr>
          <w:rFonts w:eastAsia="Arial Unicode MS"/>
        </w:rPr>
      </w:pPr>
    </w:p>
    <w:p w:rsidR="00E412D5" w:rsidRPr="00912BBA" w:rsidRDefault="00E1131B" w:rsidP="00B942FF">
      <w:pPr>
        <w:jc w:val="both"/>
        <w:rPr>
          <w:rFonts w:eastAsia="Arial Unicode MS"/>
          <w:b/>
        </w:rPr>
      </w:pPr>
      <w:r w:rsidRPr="00912BBA">
        <w:rPr>
          <w:rFonts w:eastAsia="Arial Unicode MS"/>
          <w:b/>
        </w:rPr>
        <w:t>sgd</w:t>
      </w:r>
    </w:p>
    <w:p w:rsidR="00E412D5" w:rsidRPr="00912BBA" w:rsidRDefault="00E412D5" w:rsidP="00B942FF">
      <w:pPr>
        <w:jc w:val="both"/>
        <w:rPr>
          <w:rFonts w:eastAsia="Arial Unicode MS"/>
          <w:b/>
        </w:rPr>
      </w:pPr>
      <w:r w:rsidRPr="00912BBA">
        <w:rPr>
          <w:rFonts w:eastAsia="Arial Unicode MS"/>
          <w:b/>
        </w:rPr>
        <w:t>Murangira Joseph</w:t>
      </w:r>
    </w:p>
    <w:p w:rsidR="00E412D5" w:rsidRPr="00912BBA" w:rsidRDefault="00E412D5" w:rsidP="00B942FF">
      <w:pPr>
        <w:jc w:val="both"/>
        <w:rPr>
          <w:rFonts w:eastAsia="Arial Unicode MS"/>
          <w:b/>
        </w:rPr>
      </w:pPr>
      <w:r w:rsidRPr="00912BBA">
        <w:rPr>
          <w:rFonts w:eastAsia="Arial Unicode MS"/>
          <w:b/>
        </w:rPr>
        <w:t>Judge</w:t>
      </w:r>
    </w:p>
    <w:p w:rsidR="00E412D5" w:rsidRPr="00912BBA" w:rsidRDefault="00E412D5" w:rsidP="00E412D5">
      <w:pPr>
        <w:pStyle w:val="ListParagraph"/>
        <w:spacing w:line="360" w:lineRule="auto"/>
        <w:ind w:left="315"/>
        <w:jc w:val="both"/>
        <w:rPr>
          <w:rFonts w:eastAsia="Arial Unicode MS"/>
        </w:rPr>
      </w:pPr>
    </w:p>
    <w:sectPr w:rsidR="00E412D5" w:rsidRPr="00912BBA" w:rsidSect="009D42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27" w:rsidRDefault="00EB1727" w:rsidP="00B942FF">
      <w:r>
        <w:separator/>
      </w:r>
    </w:p>
  </w:endnote>
  <w:endnote w:type="continuationSeparator" w:id="1">
    <w:p w:rsidR="00EB1727" w:rsidRDefault="00EB1727" w:rsidP="00B9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27" w:rsidRDefault="00EB1727" w:rsidP="00B942FF">
      <w:r>
        <w:separator/>
      </w:r>
    </w:p>
  </w:footnote>
  <w:footnote w:type="continuationSeparator" w:id="1">
    <w:p w:rsidR="00EB1727" w:rsidRDefault="00EB1727" w:rsidP="00B94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472"/>
    <w:multiLevelType w:val="hybridMultilevel"/>
    <w:tmpl w:val="7B028EF6"/>
    <w:lvl w:ilvl="0" w:tplc="0874AE76">
      <w:start w:val="1"/>
      <w:numFmt w:val="decimal"/>
      <w:lvlText w:val="%1."/>
      <w:lvlJc w:val="left"/>
      <w:pPr>
        <w:ind w:left="435" w:hanging="48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
    <w:nsid w:val="0A7F55E2"/>
    <w:multiLevelType w:val="hybridMultilevel"/>
    <w:tmpl w:val="29B42C6E"/>
    <w:lvl w:ilvl="0" w:tplc="005E52D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33BD3"/>
    <w:multiLevelType w:val="hybridMultilevel"/>
    <w:tmpl w:val="6D6E91B2"/>
    <w:lvl w:ilvl="0" w:tplc="5D807A7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B6ABD"/>
    <w:multiLevelType w:val="hybridMultilevel"/>
    <w:tmpl w:val="E62E2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0874D6"/>
    <w:multiLevelType w:val="hybridMultilevel"/>
    <w:tmpl w:val="7F3A3470"/>
    <w:lvl w:ilvl="0" w:tplc="B85877D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065D3"/>
    <w:multiLevelType w:val="hybridMultilevel"/>
    <w:tmpl w:val="47F02126"/>
    <w:lvl w:ilvl="0" w:tplc="620CBBC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D92633"/>
    <w:multiLevelType w:val="hybridMultilevel"/>
    <w:tmpl w:val="268C3A42"/>
    <w:lvl w:ilvl="0" w:tplc="09820542">
      <w:start w:val="1"/>
      <w:numFmt w:val="lowerLetter"/>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7">
    <w:nsid w:val="5AB10982"/>
    <w:multiLevelType w:val="hybridMultilevel"/>
    <w:tmpl w:val="2B8CF11C"/>
    <w:lvl w:ilvl="0" w:tplc="2C0AD244">
      <w:start w:val="1"/>
      <w:numFmt w:val="decimal"/>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8">
    <w:nsid w:val="5DE90807"/>
    <w:multiLevelType w:val="hybridMultilevel"/>
    <w:tmpl w:val="EAA2C964"/>
    <w:lvl w:ilvl="0" w:tplc="FCC85180">
      <w:start w:val="1"/>
      <w:numFmt w:val="lowerLetter"/>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9">
    <w:nsid w:val="632F489B"/>
    <w:multiLevelType w:val="hybridMultilevel"/>
    <w:tmpl w:val="C624E71A"/>
    <w:lvl w:ilvl="0" w:tplc="E6D4CF0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906B9E"/>
    <w:multiLevelType w:val="hybridMultilevel"/>
    <w:tmpl w:val="78A27294"/>
    <w:lvl w:ilvl="0" w:tplc="233AA8CE">
      <w:start w:val="1"/>
      <w:numFmt w:val="lowerLetter"/>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1">
    <w:nsid w:val="7FF81C12"/>
    <w:multiLevelType w:val="multilevel"/>
    <w:tmpl w:val="60C044D6"/>
    <w:lvl w:ilvl="0">
      <w:start w:val="1"/>
      <w:numFmt w:val="decimal"/>
      <w:lvlText w:val="%1."/>
      <w:lvlJc w:val="left"/>
      <w:pPr>
        <w:ind w:left="315" w:hanging="360"/>
      </w:pPr>
      <w:rPr>
        <w:rFonts w:hint="default"/>
      </w:rPr>
    </w:lvl>
    <w:lvl w:ilvl="1">
      <w:start w:val="1"/>
      <w:numFmt w:val="decimal"/>
      <w:isLgl/>
      <w:lvlText w:val="%1.%2"/>
      <w:lvlJc w:val="left"/>
      <w:pPr>
        <w:ind w:left="675" w:hanging="720"/>
      </w:pPr>
      <w:rPr>
        <w:rFonts w:hint="default"/>
      </w:rPr>
    </w:lvl>
    <w:lvl w:ilvl="2">
      <w:start w:val="1"/>
      <w:numFmt w:val="decimal"/>
      <w:isLgl/>
      <w:lvlText w:val="%1.%2.%3"/>
      <w:lvlJc w:val="left"/>
      <w:pPr>
        <w:ind w:left="1035" w:hanging="1080"/>
      </w:pPr>
      <w:rPr>
        <w:rFonts w:hint="default"/>
      </w:rPr>
    </w:lvl>
    <w:lvl w:ilvl="3">
      <w:start w:val="1"/>
      <w:numFmt w:val="decimal"/>
      <w:isLgl/>
      <w:lvlText w:val="%1.%2.%3.%4"/>
      <w:lvlJc w:val="left"/>
      <w:pPr>
        <w:ind w:left="1035" w:hanging="1080"/>
      </w:pPr>
      <w:rPr>
        <w:rFonts w:hint="default"/>
      </w:rPr>
    </w:lvl>
    <w:lvl w:ilvl="4">
      <w:start w:val="1"/>
      <w:numFmt w:val="decimal"/>
      <w:isLgl/>
      <w:lvlText w:val="%1.%2.%3.%4.%5"/>
      <w:lvlJc w:val="left"/>
      <w:pPr>
        <w:ind w:left="1395" w:hanging="1440"/>
      </w:pPr>
      <w:rPr>
        <w:rFonts w:hint="default"/>
      </w:rPr>
    </w:lvl>
    <w:lvl w:ilvl="5">
      <w:start w:val="1"/>
      <w:numFmt w:val="decimal"/>
      <w:isLgl/>
      <w:lvlText w:val="%1.%2.%3.%4.%5.%6"/>
      <w:lvlJc w:val="left"/>
      <w:pPr>
        <w:ind w:left="1755" w:hanging="1800"/>
      </w:pPr>
      <w:rPr>
        <w:rFonts w:hint="default"/>
      </w:rPr>
    </w:lvl>
    <w:lvl w:ilvl="6">
      <w:start w:val="1"/>
      <w:numFmt w:val="decimal"/>
      <w:isLgl/>
      <w:lvlText w:val="%1.%2.%3.%4.%5.%6.%7"/>
      <w:lvlJc w:val="left"/>
      <w:pPr>
        <w:ind w:left="2115" w:hanging="2160"/>
      </w:pPr>
      <w:rPr>
        <w:rFonts w:hint="default"/>
      </w:rPr>
    </w:lvl>
    <w:lvl w:ilvl="7">
      <w:start w:val="1"/>
      <w:numFmt w:val="decimal"/>
      <w:isLgl/>
      <w:lvlText w:val="%1.%2.%3.%4.%5.%6.%7.%8"/>
      <w:lvlJc w:val="left"/>
      <w:pPr>
        <w:ind w:left="2115" w:hanging="2160"/>
      </w:pPr>
      <w:rPr>
        <w:rFonts w:hint="default"/>
      </w:rPr>
    </w:lvl>
    <w:lvl w:ilvl="8">
      <w:start w:val="1"/>
      <w:numFmt w:val="decimal"/>
      <w:isLgl/>
      <w:lvlText w:val="%1.%2.%3.%4.%5.%6.%7.%8.%9"/>
      <w:lvlJc w:val="left"/>
      <w:pPr>
        <w:ind w:left="2475" w:hanging="2520"/>
      </w:pPr>
      <w:rPr>
        <w:rFonts w:hint="default"/>
      </w:rPr>
    </w:lvl>
  </w:abstractNum>
  <w:num w:numId="1">
    <w:abstractNumId w:val="3"/>
  </w:num>
  <w:num w:numId="2">
    <w:abstractNumId w:val="11"/>
  </w:num>
  <w:num w:numId="3">
    <w:abstractNumId w:val="6"/>
  </w:num>
  <w:num w:numId="4">
    <w:abstractNumId w:val="10"/>
  </w:num>
  <w:num w:numId="5">
    <w:abstractNumId w:val="5"/>
  </w:num>
  <w:num w:numId="6">
    <w:abstractNumId w:val="9"/>
  </w:num>
  <w:num w:numId="7">
    <w:abstractNumId w:val="1"/>
  </w:num>
  <w:num w:numId="8">
    <w:abstractNumId w:val="2"/>
  </w:num>
  <w:num w:numId="9">
    <w:abstractNumId w:val="4"/>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F305A"/>
    <w:rsid w:val="000E4A1C"/>
    <w:rsid w:val="00164603"/>
    <w:rsid w:val="001A5107"/>
    <w:rsid w:val="001C4F1D"/>
    <w:rsid w:val="00201CCD"/>
    <w:rsid w:val="00233622"/>
    <w:rsid w:val="002A2B8F"/>
    <w:rsid w:val="002D6925"/>
    <w:rsid w:val="002F5B7E"/>
    <w:rsid w:val="003552FA"/>
    <w:rsid w:val="0035742F"/>
    <w:rsid w:val="003574AB"/>
    <w:rsid w:val="00390BA2"/>
    <w:rsid w:val="003D5B82"/>
    <w:rsid w:val="00546C1F"/>
    <w:rsid w:val="005A0F6F"/>
    <w:rsid w:val="005B5696"/>
    <w:rsid w:val="005C02EF"/>
    <w:rsid w:val="0061766B"/>
    <w:rsid w:val="006866B0"/>
    <w:rsid w:val="006F305A"/>
    <w:rsid w:val="00744904"/>
    <w:rsid w:val="00880F63"/>
    <w:rsid w:val="008A5ADD"/>
    <w:rsid w:val="008B250C"/>
    <w:rsid w:val="00912BBA"/>
    <w:rsid w:val="009D4253"/>
    <w:rsid w:val="00A62C12"/>
    <w:rsid w:val="00B01250"/>
    <w:rsid w:val="00B942FF"/>
    <w:rsid w:val="00C1478B"/>
    <w:rsid w:val="00C75200"/>
    <w:rsid w:val="00D12752"/>
    <w:rsid w:val="00D95439"/>
    <w:rsid w:val="00E1131B"/>
    <w:rsid w:val="00E412D5"/>
    <w:rsid w:val="00E906C2"/>
    <w:rsid w:val="00EA1FBE"/>
    <w:rsid w:val="00EA42AA"/>
    <w:rsid w:val="00EB1727"/>
    <w:rsid w:val="00F24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5A"/>
    <w:pPr>
      <w:spacing w:line="240" w:lineRule="auto"/>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5A"/>
    <w:pPr>
      <w:ind w:left="720"/>
      <w:contextualSpacing/>
    </w:pPr>
  </w:style>
  <w:style w:type="paragraph" w:styleId="Header">
    <w:name w:val="header"/>
    <w:basedOn w:val="Normal"/>
    <w:link w:val="HeaderChar"/>
    <w:uiPriority w:val="99"/>
    <w:semiHidden/>
    <w:unhideWhenUsed/>
    <w:rsid w:val="00B942FF"/>
    <w:pPr>
      <w:tabs>
        <w:tab w:val="center" w:pos="4513"/>
        <w:tab w:val="right" w:pos="9026"/>
      </w:tabs>
    </w:pPr>
  </w:style>
  <w:style w:type="character" w:customStyle="1" w:styleId="HeaderChar">
    <w:name w:val="Header Char"/>
    <w:basedOn w:val="DefaultParagraphFont"/>
    <w:link w:val="Header"/>
    <w:uiPriority w:val="99"/>
    <w:semiHidden/>
    <w:rsid w:val="00B942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42FF"/>
    <w:pPr>
      <w:tabs>
        <w:tab w:val="center" w:pos="4513"/>
        <w:tab w:val="right" w:pos="9026"/>
      </w:tabs>
    </w:pPr>
  </w:style>
  <w:style w:type="character" w:customStyle="1" w:styleId="FooterChar">
    <w:name w:val="Footer Char"/>
    <w:basedOn w:val="DefaultParagraphFont"/>
    <w:link w:val="Footer"/>
    <w:uiPriority w:val="99"/>
    <w:rsid w:val="00B942F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2013-02-19T15:03:00Z</cp:lastPrinted>
  <dcterms:created xsi:type="dcterms:W3CDTF">2013-02-26T09:58:00Z</dcterms:created>
  <dcterms:modified xsi:type="dcterms:W3CDTF">2013-02-26T09:58:00Z</dcterms:modified>
</cp:coreProperties>
</file>