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40" w:rsidRPr="00381380" w:rsidRDefault="0088618D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           </w:t>
      </w:r>
      <w:r w:rsidR="00843BD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THE REP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UBLIC OF UGANDA</w:t>
      </w:r>
      <w:bookmarkStart w:id="0" w:name="_GoBack"/>
      <w:bookmarkEnd w:id="0"/>
    </w:p>
    <w:p w:rsidR="007B5340" w:rsidRPr="00381380" w:rsidRDefault="00C46EC5" w:rsidP="0038138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                   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IN THE HIGH COURT OF UGANDA</w:t>
      </w:r>
    </w:p>
    <w:p w:rsidR="00C11047" w:rsidRPr="00381380" w:rsidRDefault="00C46EC5" w:rsidP="00381380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                    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HOLDEN AT MBALE</w:t>
      </w:r>
    </w:p>
    <w:p w:rsidR="002C196E" w:rsidRPr="00381380" w:rsidRDefault="002C196E" w:rsidP="00381380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7B5340" w:rsidRPr="00381380" w:rsidRDefault="00C46EC5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                                            </w:t>
      </w:r>
      <w:r w:rsidR="0088618D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</w:t>
      </w:r>
      <w:r w:rsidR="002C196E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HCT-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O4-FC- CS-009-2013</w:t>
      </w:r>
    </w:p>
    <w:p w:rsidR="007B5340" w:rsidRPr="00381380" w:rsidRDefault="002C196E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</w:t>
      </w:r>
      <w:r w:rsidR="00C46EC5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                   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(ARISING FROM ADMIN CAUSE NO. 10- 2011)</w:t>
      </w:r>
    </w:p>
    <w:p w:rsidR="002C196E" w:rsidRPr="00381380" w:rsidRDefault="002C196E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7B5340" w:rsidRPr="00381380" w:rsidRDefault="0038138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167640</wp:posOffset>
                </wp:positionV>
                <wp:extent cx="196850" cy="1689735"/>
                <wp:effectExtent l="8255" t="762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689735"/>
                        </a:xfrm>
                        <a:prstGeom prst="rightBrace">
                          <a:avLst>
                            <a:gd name="adj1" fmla="val 715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85.9pt;margin-top:13.2pt;width:15.5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"/>
            </w:pict>
          </mc:Fallback>
        </mc:AlternateConten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ALLISATI MIYA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ASSA NAHIRYA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NAMUDIRA ZAINABU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ZIYADA MIYA</w:t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  <w:t xml:space="preserve"> :::::::::::::::::::::::::::::::  PLAINTIFFS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WERE ZIKULA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NAKOMA JALIYA</w:t>
      </w:r>
    </w:p>
    <w:p w:rsidR="007B5340" w:rsidRPr="00381380" w:rsidRDefault="007B5340" w:rsidP="0038138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FARIDA MIYA</w:t>
      </w:r>
    </w:p>
    <w:p w:rsidR="00C71157" w:rsidRPr="00381380" w:rsidRDefault="0038138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190500</wp:posOffset>
                </wp:positionV>
                <wp:extent cx="167005" cy="603885"/>
                <wp:effectExtent l="8890" t="889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603885"/>
                        </a:xfrm>
                        <a:prstGeom prst="rightBrace">
                          <a:avLst>
                            <a:gd name="adj1" fmla="val 301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97.2pt;margin-top:15pt;width:13.1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/sgQIAAC0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"/>
            </w:pict>
          </mc:Fallback>
        </mc:AlternateConten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VERSUS</w:t>
      </w:r>
    </w:p>
    <w:p w:rsidR="007B5340" w:rsidRPr="00381380" w:rsidRDefault="007B5340" w:rsidP="0038138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HAJJI MUSA HASAHYA</w:t>
      </w:r>
    </w:p>
    <w:p w:rsidR="007B5340" w:rsidRPr="00381380" w:rsidRDefault="00684431" w:rsidP="0038138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ALI</w:t>
      </w:r>
      <w:r w:rsidR="00231E53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MIYA</w:t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 </w:t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</w:r>
      <w:r w:rsidR="00A71F9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ab/>
        <w:t xml:space="preserve">  :::::::::::::::::::::::::::: </w:t>
      </w:r>
      <w:r w:rsidR="007B534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DEFENDANTS</w:t>
      </w:r>
    </w:p>
    <w:p w:rsidR="00B04641" w:rsidRPr="00381380" w:rsidRDefault="00B04641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2110E8" w:rsidRPr="00381380" w:rsidRDefault="007B534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BEFORE: 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GB"/>
        </w:rPr>
        <w:t>HON. MR.JUSTICE HENRY I. KAWESA</w:t>
      </w:r>
    </w:p>
    <w:p w:rsidR="007B5340" w:rsidRPr="00381380" w:rsidRDefault="007B534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C80895" w:rsidRPr="00381380" w:rsidRDefault="007B534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RULING</w:t>
      </w:r>
    </w:p>
    <w:p w:rsidR="0088618D" w:rsidRPr="00381380" w:rsidRDefault="0088618D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C80895" w:rsidRPr="00381380" w:rsidRDefault="00C80895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This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matter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originally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was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file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be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tween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parties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Hajat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Hanifa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Miya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vrs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Musa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asahya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and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another 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(</w:t>
      </w:r>
      <w:r w:rsidR="00174A2E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ase </w:t>
      </w:r>
      <w:r w:rsidR="00174A2E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HCT-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04-FC-007 -2012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;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)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and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Alisati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Miya,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Assa Nahirya, N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amudira </w:t>
      </w:r>
      <w:r w:rsidR="00174A2E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Zainabu, Z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inda M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iya</w:t>
      </w:r>
      <w:r w:rsidR="00174A2E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, Were Z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ikula, Wakoma Jaliya, J</w:t>
      </w:r>
      <w:r w:rsidR="00C36E07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arida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 </w:t>
      </w:r>
      <w:r w:rsidR="00F80072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Miya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vrs Haji  M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usa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Hasahya and Ali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Al</w:t>
      </w:r>
      <w:r w:rsidR="00117311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iya</w:t>
      </w:r>
      <w:r w:rsidR="0011731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(</w:t>
      </w:r>
      <w:r w:rsidR="0011731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Civil</w:t>
      </w:r>
      <w:r w:rsidR="00FB020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uit 009-2013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) arising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from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High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F6060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ourt A</w:t>
      </w:r>
      <w:r w:rsidR="0011731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dministratio</w:t>
      </w:r>
      <w:r w:rsidR="00EB2A4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 C</w:t>
      </w:r>
      <w:r w:rsidR="0011731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ause</w:t>
      </w:r>
      <w:r w:rsidR="00EB2A4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N</w:t>
      </w:r>
      <w:r w:rsidR="00090A2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o.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10- 2011)</w:t>
      </w:r>
    </w:p>
    <w:p w:rsidR="00C46EC5" w:rsidRPr="00381380" w:rsidRDefault="00C46EC5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D55D3C" w:rsidRPr="00381380" w:rsidRDefault="00D55D3C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The 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plaint in </w:t>
      </w:r>
      <w:r w:rsidR="002C3BD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Civil S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uit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46EC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No.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099/2013 was for revocation of letters o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f </w:t>
      </w:r>
      <w:r w:rsidR="002C3BD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administration granted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under A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ministration</w:t>
      </w:r>
      <w:r w:rsidR="00F8007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-C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ause </w:t>
      </w:r>
      <w:r w:rsidR="00F8007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No.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10 of 2011 to the 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E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state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</w:t>
      </w:r>
      <w:r w:rsidR="00C46EC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late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Yunusu M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iya.</w:t>
      </w:r>
    </w:p>
    <w:p w:rsidR="00AF0EAF" w:rsidRPr="00381380" w:rsidRDefault="006C43DC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lastRenderedPageBreak/>
        <w:t xml:space="preserve">Meanwhile </w:t>
      </w:r>
      <w:r w:rsidR="00F8007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Family Cause No.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F8007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00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7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2012 was brought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for citation to bring letters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 administration.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An order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recalling the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letters was issued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on the 12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vertAlign w:val="superscript"/>
          <w:lang w:val="en-GB"/>
        </w:rPr>
        <w:t>th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July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2013.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judgment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admission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of 2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vertAlign w:val="superscript"/>
          <w:lang w:val="en-GB"/>
        </w:rPr>
        <w:t>nd</w:t>
      </w:r>
      <w:r w:rsidR="00F8007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1207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defendants’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paragraphs’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3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, 9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and 10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 W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ritten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tate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ment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efence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was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entered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in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D55D3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judgement.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The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matters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were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then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sent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for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arbitration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and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now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this ruling hereby follow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 outcomes of the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arbitration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done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BC233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so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far. This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court hereby consolidate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s both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these suits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using its in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herent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power under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section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98 of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CPA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, and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Order 11R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(1) (a) and (b) CPR. The directions given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in this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ruling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will therefore be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 reference to both</w:t>
      </w:r>
      <w:r w:rsidR="00B9398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93175B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suits in consolidation</w:t>
      </w:r>
      <w:r w:rsidR="00AF0EA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.</w:t>
      </w:r>
    </w:p>
    <w:p w:rsidR="00472737" w:rsidRPr="00381380" w:rsidRDefault="0047273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322710" w:rsidRPr="00381380" w:rsidRDefault="00AF0EAF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Both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suits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seek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rder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for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revocation of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letters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of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administration granted to </w:t>
      </w:r>
      <w:r w:rsidR="0032271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Musa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32271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Hasahya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and </w:t>
      </w:r>
      <w:r w:rsidR="0032271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Ali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32271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M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</w:t>
      </w:r>
      <w:r w:rsidR="004356C9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ya </w:t>
      </w:r>
      <w:r w:rsidR="00992FD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under administration cause,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10 of 2011 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to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estate</w:t>
      </w:r>
      <w:r w:rsidR="007F0AB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 the late </w:t>
      </w:r>
      <w:r w:rsidR="007F0AB5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</w:t>
      </w:r>
      <w:r w:rsidR="00322710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aji Yunusu M</w:t>
      </w: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iya</w:t>
      </w:r>
      <w:r w:rsidR="0032271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.</w:t>
      </w:r>
    </w:p>
    <w:p w:rsidR="00322710" w:rsidRPr="00381380" w:rsidRDefault="00322710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322710" w:rsidRPr="00381380" w:rsidRDefault="00322710" w:rsidP="0038138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This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3557B4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C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ourt having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noted the issues raised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 the pleadings, the arbitration reports, and testimonies of the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different parties, it is clear that the letters of administration that were issued </w:t>
      </w:r>
      <w:r w:rsidR="00992FD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were not used by the administrators </w:t>
      </w:r>
      <w:r w:rsidR="00667C9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to serve </w:t>
      </w:r>
      <w:r w:rsidR="00667C9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 best interest of the estate and the beneficiaries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as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:</w:t>
      </w:r>
    </w:p>
    <w:p w:rsidR="007D7C5F" w:rsidRPr="00381380" w:rsidRDefault="00667C99" w:rsidP="0038138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There are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wrangles.</w:t>
      </w:r>
    </w:p>
    <w:p w:rsidR="007D7C5F" w:rsidRPr="00381380" w:rsidRDefault="000F57ED" w:rsidP="0038138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Some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benefi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ciaries are left out.</w:t>
      </w:r>
    </w:p>
    <w:p w:rsidR="007D7C5F" w:rsidRPr="00381380" w:rsidRDefault="000F57ED" w:rsidP="0038138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two admi</w:t>
      </w:r>
      <w:r w:rsidR="00D8318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ni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strators do not agree with each other.</w:t>
      </w:r>
    </w:p>
    <w:p w:rsidR="007D7C5F" w:rsidRPr="00381380" w:rsidRDefault="000F57ED" w:rsidP="0038138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There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is no inventory filed in the court after 6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months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as required by the law.</w:t>
      </w:r>
    </w:p>
    <w:p w:rsidR="007D7C5F" w:rsidRPr="00381380" w:rsidRDefault="000F57ED" w:rsidP="0038138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Some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of the propert</w:t>
      </w:r>
      <w:r w:rsidR="007D7C5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y is gone to waste as a result of the wrangles</w:t>
      </w:r>
      <w:r w:rsidR="0091207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.</w:t>
      </w:r>
    </w:p>
    <w:p w:rsidR="0091207F" w:rsidRPr="00381380" w:rsidRDefault="0091207F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91207F" w:rsidRPr="00381380" w:rsidRDefault="0091207F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The 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administrators have failed in their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duties in accordance with 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section 234 (1)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,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(d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), (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e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) of the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uccession Act. 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This grant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is accordingly revo</w:t>
      </w:r>
      <w:r w:rsidR="00D8318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ked. Both </w:t>
      </w:r>
      <w:r w:rsidR="00D83187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Musa H</w:t>
      </w:r>
      <w:r w:rsidR="004C1CC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asahya</w:t>
      </w:r>
      <w:r w:rsidR="004C1CC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and </w:t>
      </w:r>
      <w:r w:rsidR="004C1CC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Ali </w:t>
      </w:r>
      <w:r w:rsidR="00A047A8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Miya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should cease</w:t>
      </w:r>
      <w:r w:rsidR="003557B4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forthwith </w:t>
      </w:r>
      <w:r w:rsidR="006C43D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from dealing</w:t>
      </w:r>
      <w:r w:rsidR="004C1CC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6C43D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with any estates</w:t>
      </w:r>
      <w:r w:rsidR="004C1CC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matters 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 </w:t>
      </w:r>
      <w:r w:rsidR="006C43D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of the</w:t>
      </w:r>
      <w:r w:rsidR="004C1CCF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late </w:t>
      </w:r>
      <w:r w:rsidR="004C1CCF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Yunusu</w:t>
      </w:r>
      <w:r w:rsidR="00CD0985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 xml:space="preserve"> M</w:t>
      </w:r>
      <w:r w:rsidR="00EB084D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iya</w:t>
      </w:r>
      <w:r w:rsidR="00EB084D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.</w:t>
      </w:r>
    </w:p>
    <w:p w:rsidR="003557B4" w:rsidRPr="00381380" w:rsidRDefault="003557B4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EB084D" w:rsidRPr="00381380" w:rsidRDefault="00EB084D" w:rsidP="0038138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view of the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revocation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bove,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this court hereby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invokes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provisions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of section 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4(5)</w:t>
      </w:r>
      <w:r w:rsidR="004356C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,</w:t>
      </w:r>
      <w:r w:rsidR="009C0BC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( a) of the A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dministrator General’s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Act providing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D0985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that</w:t>
      </w:r>
      <w:r w:rsidR="006E2F99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;</w:t>
      </w:r>
    </w:p>
    <w:p w:rsidR="00CD0985" w:rsidRPr="00381380" w:rsidRDefault="007B6687" w:rsidP="0038138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“When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the peculiar circumstance</w:t>
      </w:r>
      <w:r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s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of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the case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appear to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the court so to require, for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reasons recorded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in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its proceedings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, the court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may if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it thinks fit of its own 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lastRenderedPageBreak/>
        <w:t xml:space="preserve">motion or otherwise, after </w:t>
      </w:r>
      <w:r w:rsidR="000A090E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having heard the Administrator G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eneral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grant letters</w:t>
      </w:r>
      <w:r w:rsidR="00001ED3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of administration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to the</w:t>
      </w:r>
      <w:r w:rsidR="00001ED3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Administrator General</w:t>
      </w:r>
      <w:r w:rsidR="00CD0985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.</w:t>
      </w:r>
      <w:r w:rsidR="00A047A8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”</w:t>
      </w:r>
      <w:r w:rsidR="00701016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...</w:t>
      </w:r>
    </w:p>
    <w:p w:rsidR="007B6687" w:rsidRPr="00381380" w:rsidRDefault="007B6687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7B6687" w:rsidRPr="00381380" w:rsidRDefault="007B668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Sec 6(2) </w:t>
      </w:r>
      <w:r w:rsidR="009C0BC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of the 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Administrator</w:t>
      </w:r>
      <w:r w:rsidR="009C0BC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General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Act</w:t>
      </w:r>
      <w:r w:rsidR="00A047A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states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01016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“U</w:t>
      </w:r>
      <w:r w:rsidR="00BE2E08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pon application</w:t>
      </w:r>
      <w:r w:rsidR="009C0BC0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,</w:t>
      </w:r>
      <w:r w:rsidR="00BE2E08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the 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High </w:t>
      </w:r>
      <w:r w:rsidR="00701016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C</w:t>
      </w:r>
      <w:r w:rsidR="003B002A"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>ourt</w:t>
      </w:r>
      <w:r w:rsidRPr="00381380">
        <w:rPr>
          <w:rFonts w:ascii="Times New Roman" w:hAnsi="Times New Roman" w:cs="Times New Roman"/>
          <w:i/>
          <w:color w:val="C0504D" w:themeColor="accent2"/>
          <w:sz w:val="24"/>
          <w:szCs w:val="24"/>
          <w:lang w:val="en-GB"/>
        </w:rPr>
        <w:t xml:space="preserve"> may grant letters of administration to the Administration general”.</w:t>
      </w:r>
    </w:p>
    <w:p w:rsidR="007B6687" w:rsidRPr="00381380" w:rsidRDefault="007B6687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7B6687" w:rsidRPr="00381380" w:rsidRDefault="007B668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Counsel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Nabende on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behalf </w:t>
      </w:r>
      <w:r w:rsidR="00BE2E08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of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Hajat Hanifa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Miya</w:t>
      </w:r>
      <w:r w:rsidR="0070101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applied to this</w:t>
      </w:r>
      <w:r w:rsidR="009C0BC0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court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,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to have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 grant sealed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in favour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of the</w:t>
      </w:r>
      <w:r w:rsidR="0070101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dministrator General.</w:t>
      </w:r>
    </w:p>
    <w:p w:rsidR="007B6687" w:rsidRPr="00381380" w:rsidRDefault="007B6687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7B6687" w:rsidRPr="00381380" w:rsidRDefault="007B668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I do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agree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with his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p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rayer for the following reasons:</w:t>
      </w:r>
    </w:p>
    <w:p w:rsidR="007B6687" w:rsidRPr="00381380" w:rsidRDefault="007B6687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7B6687" w:rsidRPr="00381380" w:rsidRDefault="003B002A" w:rsidP="00381380">
      <w:pPr>
        <w:pStyle w:val="NoSpacing"/>
        <w:numPr>
          <w:ilvl w:val="0"/>
          <w:numId w:val="2"/>
        </w:numPr>
        <w:spacing w:line="360" w:lineRule="auto"/>
        <w:ind w:left="1440" w:hanging="54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The parties</w:t>
      </w:r>
      <w:r w:rsidR="007B668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have failed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to agree</w:t>
      </w:r>
      <w:r w:rsidR="007B668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on the any possible administrators who will serve the interest of all beneficiaries.</w:t>
      </w:r>
    </w:p>
    <w:p w:rsidR="007B6687" w:rsidRPr="00381380" w:rsidRDefault="00C71157" w:rsidP="00381380">
      <w:pPr>
        <w:pStyle w:val="NoSpacing"/>
        <w:numPr>
          <w:ilvl w:val="0"/>
          <w:numId w:val="2"/>
        </w:numPr>
        <w:spacing w:line="360" w:lineRule="auto"/>
        <w:ind w:left="1440" w:hanging="54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Peculiar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circumstances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as recorded in the various arbitration reports warrant so.</w:t>
      </w:r>
    </w:p>
    <w:p w:rsidR="00C71157" w:rsidRPr="00381380" w:rsidRDefault="00C7115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For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the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reasons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above,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it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is hereby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0101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o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rdered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in accordance with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se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ctions 4, 5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, and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6, of the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Administrator G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eneral’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 A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ct, that the letters of administration to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estate of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the late Yunusu M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iya de</w:t>
      </w:r>
      <w:r w:rsidR="00C15D43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ce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ased 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3575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of Budira,</w:t>
      </w:r>
      <w:r w:rsidR="003B002A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73575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</w:t>
      </w:r>
      <w:r w:rsidR="000A090E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Kachonga </w:t>
      </w:r>
      <w:r w:rsidR="0073575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sub- county B</w:t>
      </w:r>
      <w:r w:rsidR="00F73E1C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utale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ja district, be and are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hereby grante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 to the A</w:t>
      </w:r>
      <w:r w:rsidR="00735752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dministrato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r General. </w:t>
      </w:r>
    </w:p>
    <w:p w:rsidR="00C71157" w:rsidRPr="00381380" w:rsidRDefault="00C7115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C71157" w:rsidRPr="00381380" w:rsidRDefault="002214DE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Each party</w:t>
      </w:r>
      <w:r w:rsidR="00286976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 to </w:t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bear their own costs of this cause</w:t>
      </w:r>
      <w:r w:rsidR="007F44E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. I s</w:t>
      </w:r>
      <w:r w:rsidR="00C7115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 xml:space="preserve">o </w:t>
      </w:r>
      <w:r w:rsidR="007F44E1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O</w:t>
      </w:r>
      <w:r w:rsidR="00C71157"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>rder.</w:t>
      </w:r>
    </w:p>
    <w:p w:rsidR="002214DE" w:rsidRPr="00381380" w:rsidRDefault="00C7115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ab/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ab/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ab/>
      </w:r>
      <w:r w:rsidRPr="00381380"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  <w:tab/>
      </w:r>
    </w:p>
    <w:p w:rsidR="002214DE" w:rsidRPr="00381380" w:rsidRDefault="002214DE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C11047" w:rsidRPr="00381380" w:rsidRDefault="00C1104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</w:p>
    <w:p w:rsidR="00A55893" w:rsidRPr="00381380" w:rsidRDefault="002214DE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Henry I K</w:t>
      </w:r>
      <w:r w:rsidR="00C71157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awes</w:t>
      </w:r>
      <w:r w:rsidR="00A55893"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a</w:t>
      </w:r>
    </w:p>
    <w:p w:rsidR="00C71157" w:rsidRPr="00381380" w:rsidRDefault="00C7115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JUDGE</w:t>
      </w:r>
    </w:p>
    <w:p w:rsidR="00C71157" w:rsidRPr="00381380" w:rsidRDefault="00C71157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</w:pPr>
      <w:r w:rsidRPr="00381380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GB"/>
        </w:rPr>
        <w:t>30.07.2015</w:t>
      </w:r>
    </w:p>
    <w:p w:rsidR="007B6687" w:rsidRPr="00381380" w:rsidRDefault="007B6687" w:rsidP="0038138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2110E8" w:rsidRPr="00381380" w:rsidRDefault="002110E8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2110E8" w:rsidRPr="00381380" w:rsidRDefault="002110E8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2110E8" w:rsidRPr="00381380" w:rsidRDefault="002110E8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2110E8" w:rsidRPr="00381380" w:rsidRDefault="002110E8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  <w:lang w:val="en-GB"/>
        </w:rPr>
      </w:pPr>
    </w:p>
    <w:p w:rsidR="003532E4" w:rsidRPr="00381380" w:rsidRDefault="003532E4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p w:rsidR="009A3F7A" w:rsidRPr="00381380" w:rsidRDefault="009A3F7A" w:rsidP="00381380">
      <w:pPr>
        <w:pStyle w:val="NoSpacing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GB"/>
        </w:rPr>
      </w:pPr>
    </w:p>
    <w:sectPr w:rsidR="009A3F7A" w:rsidRPr="00381380" w:rsidSect="00C46EC5">
      <w:pgSz w:w="12240" w:h="15840"/>
      <w:pgMar w:top="900" w:right="1440" w:bottom="16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C5" w:rsidRDefault="00B267C5" w:rsidP="007F44E1">
      <w:pPr>
        <w:spacing w:after="0" w:line="240" w:lineRule="auto"/>
      </w:pPr>
      <w:r>
        <w:separator/>
      </w:r>
    </w:p>
  </w:endnote>
  <w:endnote w:type="continuationSeparator" w:id="0">
    <w:p w:rsidR="00B267C5" w:rsidRDefault="00B267C5" w:rsidP="007F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C5" w:rsidRDefault="00B267C5" w:rsidP="007F44E1">
      <w:pPr>
        <w:spacing w:after="0" w:line="240" w:lineRule="auto"/>
      </w:pPr>
      <w:r>
        <w:separator/>
      </w:r>
    </w:p>
  </w:footnote>
  <w:footnote w:type="continuationSeparator" w:id="0">
    <w:p w:rsidR="00B267C5" w:rsidRDefault="00B267C5" w:rsidP="007F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9EC"/>
    <w:multiLevelType w:val="hybridMultilevel"/>
    <w:tmpl w:val="5D9243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CB299F8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219"/>
    <w:multiLevelType w:val="hybridMultilevel"/>
    <w:tmpl w:val="3992F6EC"/>
    <w:lvl w:ilvl="0" w:tplc="7D6C31DE">
      <w:start w:val="1"/>
      <w:numFmt w:val="lowerRoman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0F3B6E"/>
    <w:multiLevelType w:val="hybridMultilevel"/>
    <w:tmpl w:val="7332A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76B5"/>
    <w:multiLevelType w:val="hybridMultilevel"/>
    <w:tmpl w:val="CD28EFCA"/>
    <w:lvl w:ilvl="0" w:tplc="70D88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282"/>
    <w:multiLevelType w:val="hybridMultilevel"/>
    <w:tmpl w:val="C660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625"/>
    <w:multiLevelType w:val="hybridMultilevel"/>
    <w:tmpl w:val="9F78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60EA"/>
    <w:multiLevelType w:val="hybridMultilevel"/>
    <w:tmpl w:val="8DE625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1"/>
    <w:rsid w:val="00001ED3"/>
    <w:rsid w:val="000071AB"/>
    <w:rsid w:val="000123C2"/>
    <w:rsid w:val="00090A21"/>
    <w:rsid w:val="000A090E"/>
    <w:rsid w:val="000F57ED"/>
    <w:rsid w:val="00117311"/>
    <w:rsid w:val="0012244D"/>
    <w:rsid w:val="00160AB3"/>
    <w:rsid w:val="001675A9"/>
    <w:rsid w:val="00174A2E"/>
    <w:rsid w:val="001F64C4"/>
    <w:rsid w:val="002110E8"/>
    <w:rsid w:val="00211406"/>
    <w:rsid w:val="002214DE"/>
    <w:rsid w:val="00231E53"/>
    <w:rsid w:val="00286976"/>
    <w:rsid w:val="002A4774"/>
    <w:rsid w:val="002C196E"/>
    <w:rsid w:val="002C3BD8"/>
    <w:rsid w:val="00301292"/>
    <w:rsid w:val="00322710"/>
    <w:rsid w:val="00325F67"/>
    <w:rsid w:val="003532E4"/>
    <w:rsid w:val="003557B4"/>
    <w:rsid w:val="003812EB"/>
    <w:rsid w:val="00381380"/>
    <w:rsid w:val="00386219"/>
    <w:rsid w:val="00392C3E"/>
    <w:rsid w:val="003B002A"/>
    <w:rsid w:val="00404535"/>
    <w:rsid w:val="00412EA3"/>
    <w:rsid w:val="004356C9"/>
    <w:rsid w:val="00462109"/>
    <w:rsid w:val="00472737"/>
    <w:rsid w:val="00485353"/>
    <w:rsid w:val="004C1CCF"/>
    <w:rsid w:val="004C4ECB"/>
    <w:rsid w:val="00510F7B"/>
    <w:rsid w:val="00641F2C"/>
    <w:rsid w:val="00660C5E"/>
    <w:rsid w:val="00667C99"/>
    <w:rsid w:val="00684431"/>
    <w:rsid w:val="006C43DC"/>
    <w:rsid w:val="006E2F99"/>
    <w:rsid w:val="006E5E18"/>
    <w:rsid w:val="00701016"/>
    <w:rsid w:val="007123B1"/>
    <w:rsid w:val="00735752"/>
    <w:rsid w:val="00775A99"/>
    <w:rsid w:val="007B5340"/>
    <w:rsid w:val="007B6687"/>
    <w:rsid w:val="007D7C5F"/>
    <w:rsid w:val="007F0AB5"/>
    <w:rsid w:val="007F44E1"/>
    <w:rsid w:val="00843BDC"/>
    <w:rsid w:val="00847044"/>
    <w:rsid w:val="00856B35"/>
    <w:rsid w:val="0088618D"/>
    <w:rsid w:val="008926E3"/>
    <w:rsid w:val="008C77B1"/>
    <w:rsid w:val="00903F03"/>
    <w:rsid w:val="0091207F"/>
    <w:rsid w:val="00913057"/>
    <w:rsid w:val="009152F5"/>
    <w:rsid w:val="0093175B"/>
    <w:rsid w:val="00992FDF"/>
    <w:rsid w:val="0099541C"/>
    <w:rsid w:val="009A3F7A"/>
    <w:rsid w:val="009C0BC0"/>
    <w:rsid w:val="00A047A8"/>
    <w:rsid w:val="00A17090"/>
    <w:rsid w:val="00A55893"/>
    <w:rsid w:val="00A71F99"/>
    <w:rsid w:val="00AF0EAF"/>
    <w:rsid w:val="00B04641"/>
    <w:rsid w:val="00B10697"/>
    <w:rsid w:val="00B2065C"/>
    <w:rsid w:val="00B267C5"/>
    <w:rsid w:val="00B46B88"/>
    <w:rsid w:val="00B93989"/>
    <w:rsid w:val="00BA5625"/>
    <w:rsid w:val="00BB6272"/>
    <w:rsid w:val="00BC2332"/>
    <w:rsid w:val="00BC26EC"/>
    <w:rsid w:val="00BD5C42"/>
    <w:rsid w:val="00BE2E08"/>
    <w:rsid w:val="00BF0AF9"/>
    <w:rsid w:val="00BF4998"/>
    <w:rsid w:val="00BF62BD"/>
    <w:rsid w:val="00C11047"/>
    <w:rsid w:val="00C15D43"/>
    <w:rsid w:val="00C36E07"/>
    <w:rsid w:val="00C46EC5"/>
    <w:rsid w:val="00C54DD6"/>
    <w:rsid w:val="00C71157"/>
    <w:rsid w:val="00C80895"/>
    <w:rsid w:val="00CA4F90"/>
    <w:rsid w:val="00CD0985"/>
    <w:rsid w:val="00CD59A3"/>
    <w:rsid w:val="00D20DF1"/>
    <w:rsid w:val="00D55D3C"/>
    <w:rsid w:val="00D80AF1"/>
    <w:rsid w:val="00D83187"/>
    <w:rsid w:val="00D93547"/>
    <w:rsid w:val="00EA3D44"/>
    <w:rsid w:val="00EB084D"/>
    <w:rsid w:val="00EB2A42"/>
    <w:rsid w:val="00F46193"/>
    <w:rsid w:val="00F6060A"/>
    <w:rsid w:val="00F73E1C"/>
    <w:rsid w:val="00F80072"/>
    <w:rsid w:val="00F87FBD"/>
    <w:rsid w:val="00FB0206"/>
    <w:rsid w:val="00FD00DB"/>
    <w:rsid w:val="00FE059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E1"/>
  </w:style>
  <w:style w:type="paragraph" w:styleId="Footer">
    <w:name w:val="footer"/>
    <w:basedOn w:val="Normal"/>
    <w:link w:val="FooterChar"/>
    <w:uiPriority w:val="99"/>
    <w:unhideWhenUsed/>
    <w:rsid w:val="007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E1"/>
  </w:style>
  <w:style w:type="paragraph" w:styleId="Footer">
    <w:name w:val="footer"/>
    <w:basedOn w:val="Normal"/>
    <w:link w:val="FooterChar"/>
    <w:uiPriority w:val="99"/>
    <w:unhideWhenUsed/>
    <w:rsid w:val="007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jmusaba</dc:creator>
  <cp:lastModifiedBy>Ben Mulingoki</cp:lastModifiedBy>
  <cp:revision>2</cp:revision>
  <cp:lastPrinted>2015-09-25T10:16:00Z</cp:lastPrinted>
  <dcterms:created xsi:type="dcterms:W3CDTF">2015-10-28T09:45:00Z</dcterms:created>
  <dcterms:modified xsi:type="dcterms:W3CDTF">2015-10-28T09:45:00Z</dcterms:modified>
</cp:coreProperties>
</file>