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F9" w:rsidRPr="00D215A7" w:rsidRDefault="00DC1A42" w:rsidP="00DC1A42">
      <w:pPr>
        <w:jc w:val="center"/>
        <w:rPr>
          <w:rFonts w:ascii="Times New Roman" w:hAnsi="Times New Roman" w:cs="Times New Roman"/>
          <w:b/>
          <w:sz w:val="28"/>
          <w:szCs w:val="28"/>
        </w:rPr>
      </w:pPr>
      <w:r w:rsidRPr="00D215A7">
        <w:rPr>
          <w:rFonts w:ascii="Times New Roman" w:hAnsi="Times New Roman" w:cs="Times New Roman"/>
          <w:b/>
          <w:sz w:val="28"/>
          <w:szCs w:val="28"/>
        </w:rPr>
        <w:t>THE REPUBLIC OF UGANDA</w:t>
      </w:r>
      <w:bookmarkStart w:id="0" w:name="_GoBack"/>
      <w:bookmarkEnd w:id="0"/>
    </w:p>
    <w:p w:rsidR="00DC1A42" w:rsidRPr="00D215A7" w:rsidRDefault="00DC1A42" w:rsidP="00DC1A42">
      <w:pPr>
        <w:jc w:val="center"/>
        <w:rPr>
          <w:rFonts w:ascii="Times New Roman" w:hAnsi="Times New Roman" w:cs="Times New Roman"/>
          <w:b/>
          <w:sz w:val="28"/>
          <w:szCs w:val="28"/>
        </w:rPr>
      </w:pPr>
      <w:r w:rsidRPr="00D215A7">
        <w:rPr>
          <w:rFonts w:ascii="Times New Roman" w:hAnsi="Times New Roman" w:cs="Times New Roman"/>
          <w:b/>
          <w:sz w:val="28"/>
          <w:szCs w:val="28"/>
        </w:rPr>
        <w:t>IN THE HIGH COURT OF UGANDA AT KAMPALA</w:t>
      </w:r>
    </w:p>
    <w:p w:rsidR="00DC1A42" w:rsidRPr="00D215A7" w:rsidRDefault="00DC1A42" w:rsidP="00DC1A42">
      <w:pPr>
        <w:jc w:val="center"/>
        <w:rPr>
          <w:rFonts w:ascii="Times New Roman" w:hAnsi="Times New Roman" w:cs="Times New Roman"/>
          <w:b/>
          <w:sz w:val="28"/>
          <w:szCs w:val="28"/>
        </w:rPr>
      </w:pPr>
      <w:r w:rsidRPr="00D215A7">
        <w:rPr>
          <w:rFonts w:ascii="Times New Roman" w:hAnsi="Times New Roman" w:cs="Times New Roman"/>
          <w:b/>
          <w:sz w:val="28"/>
          <w:szCs w:val="28"/>
        </w:rPr>
        <w:t>FAMILY DIVISION</w:t>
      </w:r>
    </w:p>
    <w:p w:rsidR="00DC1A42" w:rsidRPr="00D215A7" w:rsidRDefault="00DC1A42" w:rsidP="00DC1A42">
      <w:pPr>
        <w:jc w:val="center"/>
        <w:rPr>
          <w:rFonts w:ascii="Times New Roman" w:hAnsi="Times New Roman" w:cs="Times New Roman"/>
          <w:b/>
          <w:sz w:val="28"/>
          <w:szCs w:val="28"/>
        </w:rPr>
      </w:pPr>
      <w:r w:rsidRPr="00D215A7">
        <w:rPr>
          <w:rFonts w:ascii="Times New Roman" w:hAnsi="Times New Roman" w:cs="Times New Roman"/>
          <w:b/>
          <w:sz w:val="28"/>
          <w:szCs w:val="28"/>
        </w:rPr>
        <w:t>IN THE MATTER OF THE ESTATE OF THE LATE JUSTIN DAVID KIRUNDA</w:t>
      </w:r>
    </w:p>
    <w:p w:rsidR="00DC1A42" w:rsidRPr="00D215A7" w:rsidRDefault="00DC1A42" w:rsidP="00DC1A42">
      <w:pPr>
        <w:jc w:val="center"/>
        <w:rPr>
          <w:rFonts w:ascii="Times New Roman" w:hAnsi="Times New Roman" w:cs="Times New Roman"/>
          <w:b/>
          <w:sz w:val="28"/>
          <w:szCs w:val="28"/>
        </w:rPr>
      </w:pPr>
      <w:proofErr w:type="gramStart"/>
      <w:r w:rsidRPr="00D215A7">
        <w:rPr>
          <w:rFonts w:ascii="Times New Roman" w:hAnsi="Times New Roman" w:cs="Times New Roman"/>
          <w:b/>
          <w:sz w:val="28"/>
          <w:szCs w:val="28"/>
        </w:rPr>
        <w:t>MISCELLANEOUS APPLICATION NO.</w:t>
      </w:r>
      <w:proofErr w:type="gramEnd"/>
      <w:r w:rsidRPr="00D215A7">
        <w:rPr>
          <w:rFonts w:ascii="Times New Roman" w:hAnsi="Times New Roman" w:cs="Times New Roman"/>
          <w:b/>
          <w:sz w:val="28"/>
          <w:szCs w:val="28"/>
        </w:rPr>
        <w:t xml:space="preserve"> 252 OF 2014</w:t>
      </w:r>
    </w:p>
    <w:p w:rsidR="00DC1A42" w:rsidRPr="00D215A7" w:rsidRDefault="00DC1A42" w:rsidP="00DC1A42">
      <w:pPr>
        <w:jc w:val="center"/>
        <w:rPr>
          <w:rFonts w:ascii="Times New Roman" w:hAnsi="Times New Roman" w:cs="Times New Roman"/>
          <w:b/>
          <w:i/>
          <w:sz w:val="28"/>
          <w:szCs w:val="28"/>
        </w:rPr>
      </w:pPr>
      <w:r w:rsidRPr="00D215A7">
        <w:rPr>
          <w:rFonts w:ascii="Times New Roman" w:hAnsi="Times New Roman" w:cs="Times New Roman"/>
          <w:b/>
          <w:i/>
          <w:sz w:val="28"/>
          <w:szCs w:val="28"/>
        </w:rPr>
        <w:t>ARISING FROM CIVIL SUIT NO.147 OF 2014</w:t>
      </w:r>
    </w:p>
    <w:p w:rsidR="00DC1A42" w:rsidRPr="00D215A7" w:rsidRDefault="00DC1A42" w:rsidP="00DC1A42">
      <w:pPr>
        <w:jc w:val="center"/>
        <w:rPr>
          <w:rFonts w:ascii="Times New Roman" w:hAnsi="Times New Roman" w:cs="Times New Roman"/>
          <w:b/>
          <w:sz w:val="28"/>
          <w:szCs w:val="28"/>
        </w:rPr>
      </w:pPr>
      <w:proofErr w:type="gramStart"/>
      <w:r w:rsidRPr="00D215A7">
        <w:rPr>
          <w:rFonts w:ascii="Times New Roman" w:hAnsi="Times New Roman" w:cs="Times New Roman"/>
          <w:b/>
          <w:i/>
          <w:sz w:val="28"/>
          <w:szCs w:val="28"/>
        </w:rPr>
        <w:t>ARISING FROM PROBATE ADMINISTRATION CAUSE NO.</w:t>
      </w:r>
      <w:proofErr w:type="gramEnd"/>
      <w:r w:rsidRPr="00D215A7">
        <w:rPr>
          <w:rFonts w:ascii="Times New Roman" w:hAnsi="Times New Roman" w:cs="Times New Roman"/>
          <w:b/>
          <w:i/>
          <w:sz w:val="28"/>
          <w:szCs w:val="28"/>
        </w:rPr>
        <w:t xml:space="preserve">  631 OF 2014</w:t>
      </w:r>
    </w:p>
    <w:p w:rsidR="004B3595" w:rsidRPr="00D215A7" w:rsidRDefault="004B3595" w:rsidP="00DC1A42">
      <w:pPr>
        <w:jc w:val="center"/>
        <w:rPr>
          <w:rFonts w:ascii="Times New Roman" w:hAnsi="Times New Roman" w:cs="Times New Roman"/>
          <w:b/>
          <w:sz w:val="28"/>
          <w:szCs w:val="28"/>
        </w:rPr>
      </w:pPr>
      <w:r w:rsidRPr="00D215A7">
        <w:rPr>
          <w:rFonts w:ascii="Times New Roman" w:hAnsi="Times New Roman" w:cs="Times New Roman"/>
          <w:b/>
          <w:sz w:val="28"/>
          <w:szCs w:val="28"/>
        </w:rPr>
        <w:t>BEFORE HON. LADY JUSTICE PERCY NIGHT TUHAISE</w:t>
      </w:r>
    </w:p>
    <w:p w:rsidR="004B3595" w:rsidRPr="00D215A7" w:rsidRDefault="004B3595" w:rsidP="00DC1A42">
      <w:pPr>
        <w:jc w:val="center"/>
        <w:rPr>
          <w:rFonts w:ascii="Times New Roman" w:hAnsi="Times New Roman" w:cs="Times New Roman"/>
          <w:sz w:val="28"/>
          <w:szCs w:val="28"/>
        </w:rPr>
      </w:pPr>
      <w:r w:rsidRPr="00D215A7">
        <w:rPr>
          <w:rFonts w:ascii="Times New Roman" w:hAnsi="Times New Roman" w:cs="Times New Roman"/>
          <w:b/>
          <w:sz w:val="28"/>
          <w:szCs w:val="28"/>
        </w:rPr>
        <w:t>RULING ON A PRELIMINARY OBJECTION</w:t>
      </w:r>
    </w:p>
    <w:p w:rsidR="006471D6" w:rsidRPr="00D215A7" w:rsidRDefault="006471D6" w:rsidP="002A65AE">
      <w:pPr>
        <w:jc w:val="both"/>
        <w:rPr>
          <w:rFonts w:ascii="Times New Roman" w:hAnsi="Times New Roman" w:cs="Times New Roman"/>
          <w:sz w:val="28"/>
          <w:szCs w:val="28"/>
        </w:rPr>
      </w:pPr>
      <w:r w:rsidRPr="00D215A7">
        <w:rPr>
          <w:rFonts w:ascii="Times New Roman" w:hAnsi="Times New Roman" w:cs="Times New Roman"/>
          <w:sz w:val="28"/>
          <w:szCs w:val="28"/>
        </w:rPr>
        <w:t>When this matte</w:t>
      </w:r>
      <w:r w:rsidR="00533472" w:rsidRPr="00D215A7">
        <w:rPr>
          <w:rFonts w:ascii="Times New Roman" w:hAnsi="Times New Roman" w:cs="Times New Roman"/>
          <w:sz w:val="28"/>
          <w:szCs w:val="28"/>
        </w:rPr>
        <w:t xml:space="preserve">r came up for hearing, learned </w:t>
      </w:r>
      <w:proofErr w:type="gramStart"/>
      <w:r w:rsidR="00533472" w:rsidRPr="00D215A7">
        <w:rPr>
          <w:rFonts w:ascii="Times New Roman" w:hAnsi="Times New Roman" w:cs="Times New Roman"/>
          <w:sz w:val="28"/>
          <w:szCs w:val="28"/>
        </w:rPr>
        <w:t>c</w:t>
      </w:r>
      <w:r w:rsidRPr="00D215A7">
        <w:rPr>
          <w:rFonts w:ascii="Times New Roman" w:hAnsi="Times New Roman" w:cs="Times New Roman"/>
          <w:sz w:val="28"/>
          <w:szCs w:val="28"/>
        </w:rPr>
        <w:t>ounsel</w:t>
      </w:r>
      <w:proofErr w:type="gramEnd"/>
      <w:r w:rsidRPr="00D215A7">
        <w:rPr>
          <w:rFonts w:ascii="Times New Roman" w:hAnsi="Times New Roman" w:cs="Times New Roman"/>
          <w:sz w:val="28"/>
          <w:szCs w:val="28"/>
        </w:rPr>
        <w:t xml:space="preserve"> </w:t>
      </w:r>
      <w:proofErr w:type="spellStart"/>
      <w:r w:rsidRPr="00D215A7">
        <w:rPr>
          <w:rFonts w:ascii="Times New Roman" w:hAnsi="Times New Roman" w:cs="Times New Roman"/>
          <w:sz w:val="28"/>
          <w:szCs w:val="28"/>
        </w:rPr>
        <w:t>Sumaya</w:t>
      </w:r>
      <w:proofErr w:type="spellEnd"/>
      <w:r w:rsidRPr="00D215A7">
        <w:rPr>
          <w:rFonts w:ascii="Times New Roman" w:hAnsi="Times New Roman" w:cs="Times New Roman"/>
          <w:sz w:val="28"/>
          <w:szCs w:val="28"/>
        </w:rPr>
        <w:t xml:space="preserve"> </w:t>
      </w:r>
      <w:proofErr w:type="spellStart"/>
      <w:r w:rsidRPr="00D215A7">
        <w:rPr>
          <w:rFonts w:ascii="Times New Roman" w:hAnsi="Times New Roman" w:cs="Times New Roman"/>
          <w:sz w:val="28"/>
          <w:szCs w:val="28"/>
        </w:rPr>
        <w:t>Kasul</w:t>
      </w:r>
      <w:r w:rsidR="00D83EA4" w:rsidRPr="00D215A7">
        <w:rPr>
          <w:rFonts w:ascii="Times New Roman" w:hAnsi="Times New Roman" w:cs="Times New Roman"/>
          <w:sz w:val="28"/>
          <w:szCs w:val="28"/>
        </w:rPr>
        <w:t>e</w:t>
      </w:r>
      <w:proofErr w:type="spellEnd"/>
      <w:r w:rsidR="00D83EA4" w:rsidRPr="00D215A7">
        <w:rPr>
          <w:rFonts w:ascii="Times New Roman" w:hAnsi="Times New Roman" w:cs="Times New Roman"/>
          <w:sz w:val="28"/>
          <w:szCs w:val="28"/>
        </w:rPr>
        <w:t xml:space="preserve"> for the respondent</w:t>
      </w:r>
      <w:r w:rsidR="00FF427A" w:rsidRPr="00D215A7">
        <w:rPr>
          <w:rFonts w:ascii="Times New Roman" w:hAnsi="Times New Roman" w:cs="Times New Roman"/>
          <w:sz w:val="28"/>
          <w:szCs w:val="28"/>
        </w:rPr>
        <w:t xml:space="preserve"> raised a preliminary o</w:t>
      </w:r>
      <w:r w:rsidR="00826552" w:rsidRPr="00D215A7">
        <w:rPr>
          <w:rFonts w:ascii="Times New Roman" w:hAnsi="Times New Roman" w:cs="Times New Roman"/>
          <w:sz w:val="28"/>
          <w:szCs w:val="28"/>
        </w:rPr>
        <w:t>bjection based on Section 255 of the Succession Act</w:t>
      </w:r>
      <w:r w:rsidR="0064455E" w:rsidRPr="00D215A7">
        <w:rPr>
          <w:rFonts w:ascii="Times New Roman" w:hAnsi="Times New Roman" w:cs="Times New Roman"/>
          <w:sz w:val="28"/>
          <w:szCs w:val="28"/>
        </w:rPr>
        <w:t>. She contended</w:t>
      </w:r>
      <w:r w:rsidR="00826552" w:rsidRPr="00D215A7">
        <w:rPr>
          <w:rFonts w:ascii="Times New Roman" w:hAnsi="Times New Roman" w:cs="Times New Roman"/>
          <w:sz w:val="28"/>
          <w:szCs w:val="28"/>
        </w:rPr>
        <w:t xml:space="preserve"> that</w:t>
      </w:r>
      <w:r w:rsidR="0064455E" w:rsidRPr="00D215A7">
        <w:rPr>
          <w:rFonts w:ascii="Times New Roman" w:hAnsi="Times New Roman" w:cs="Times New Roman"/>
          <w:sz w:val="28"/>
          <w:szCs w:val="28"/>
        </w:rPr>
        <w:t xml:space="preserve"> under the said section no proceeding can </w:t>
      </w:r>
      <w:r w:rsidR="00826552" w:rsidRPr="00D215A7">
        <w:rPr>
          <w:rFonts w:ascii="Times New Roman" w:hAnsi="Times New Roman" w:cs="Times New Roman"/>
          <w:sz w:val="28"/>
          <w:szCs w:val="28"/>
        </w:rPr>
        <w:t>be taken on a petition for probate or letters of administration</w:t>
      </w:r>
      <w:r w:rsidR="00B07A97" w:rsidRPr="00D215A7">
        <w:rPr>
          <w:rFonts w:ascii="Times New Roman" w:hAnsi="Times New Roman" w:cs="Times New Roman"/>
          <w:sz w:val="28"/>
          <w:szCs w:val="28"/>
        </w:rPr>
        <w:t xml:space="preserve"> after a caveat against the grant has been entered </w:t>
      </w:r>
      <w:r w:rsidR="00530A30" w:rsidRPr="00D215A7">
        <w:rPr>
          <w:rFonts w:ascii="Times New Roman" w:hAnsi="Times New Roman" w:cs="Times New Roman"/>
          <w:sz w:val="28"/>
          <w:szCs w:val="28"/>
        </w:rPr>
        <w:t>until notice</w:t>
      </w:r>
      <w:r w:rsidR="000A4031" w:rsidRPr="00D215A7">
        <w:rPr>
          <w:rFonts w:ascii="Times New Roman" w:hAnsi="Times New Roman" w:cs="Times New Roman"/>
          <w:sz w:val="28"/>
          <w:szCs w:val="28"/>
        </w:rPr>
        <w:t xml:space="preserve"> has been given</w:t>
      </w:r>
      <w:r w:rsidR="00530A30" w:rsidRPr="00D215A7">
        <w:rPr>
          <w:rFonts w:ascii="Times New Roman" w:hAnsi="Times New Roman" w:cs="Times New Roman"/>
          <w:sz w:val="28"/>
          <w:szCs w:val="28"/>
        </w:rPr>
        <w:t xml:space="preserve"> to</w:t>
      </w:r>
      <w:r w:rsidR="000A4031" w:rsidRPr="00D215A7">
        <w:rPr>
          <w:rFonts w:ascii="Times New Roman" w:hAnsi="Times New Roman" w:cs="Times New Roman"/>
          <w:sz w:val="28"/>
          <w:szCs w:val="28"/>
        </w:rPr>
        <w:t xml:space="preserve"> the </w:t>
      </w:r>
      <w:proofErr w:type="spellStart"/>
      <w:r w:rsidR="000A4031" w:rsidRPr="00D215A7">
        <w:rPr>
          <w:rFonts w:ascii="Times New Roman" w:hAnsi="Times New Roman" w:cs="Times New Roman"/>
          <w:sz w:val="28"/>
          <w:szCs w:val="28"/>
        </w:rPr>
        <w:t>caveator</w:t>
      </w:r>
      <w:proofErr w:type="spellEnd"/>
      <w:r w:rsidR="000A4031" w:rsidRPr="00D215A7">
        <w:rPr>
          <w:rFonts w:ascii="Times New Roman" w:hAnsi="Times New Roman" w:cs="Times New Roman"/>
          <w:sz w:val="28"/>
          <w:szCs w:val="28"/>
        </w:rPr>
        <w:t>.</w:t>
      </w:r>
      <w:r w:rsidR="00530A30" w:rsidRPr="00D215A7">
        <w:rPr>
          <w:rFonts w:ascii="Times New Roman" w:hAnsi="Times New Roman" w:cs="Times New Roman"/>
          <w:sz w:val="28"/>
          <w:szCs w:val="28"/>
        </w:rPr>
        <w:t xml:space="preserve"> </w:t>
      </w:r>
      <w:r w:rsidR="0064455E" w:rsidRPr="00D215A7">
        <w:rPr>
          <w:rFonts w:ascii="Times New Roman" w:hAnsi="Times New Roman" w:cs="Times New Roman"/>
          <w:sz w:val="28"/>
          <w:szCs w:val="28"/>
        </w:rPr>
        <w:t xml:space="preserve">She maintained </w:t>
      </w:r>
      <w:r w:rsidR="002A65AE" w:rsidRPr="00D215A7">
        <w:rPr>
          <w:rFonts w:ascii="Times New Roman" w:hAnsi="Times New Roman" w:cs="Times New Roman"/>
          <w:sz w:val="28"/>
          <w:szCs w:val="28"/>
        </w:rPr>
        <w:t>that no such notice was served on the respondent. She argued that this invalidated the main suit</w:t>
      </w:r>
      <w:r w:rsidR="00651007" w:rsidRPr="00D215A7">
        <w:rPr>
          <w:rFonts w:ascii="Times New Roman" w:hAnsi="Times New Roman" w:cs="Times New Roman"/>
          <w:sz w:val="28"/>
          <w:szCs w:val="28"/>
        </w:rPr>
        <w:t>, which mean</w:t>
      </w:r>
      <w:r w:rsidR="0064455E" w:rsidRPr="00D215A7">
        <w:rPr>
          <w:rFonts w:ascii="Times New Roman" w:hAnsi="Times New Roman" w:cs="Times New Roman"/>
          <w:sz w:val="28"/>
          <w:szCs w:val="28"/>
        </w:rPr>
        <w:t>s</w:t>
      </w:r>
      <w:r w:rsidR="00651007" w:rsidRPr="00D215A7">
        <w:rPr>
          <w:rFonts w:ascii="Times New Roman" w:hAnsi="Times New Roman" w:cs="Times New Roman"/>
          <w:sz w:val="28"/>
          <w:szCs w:val="28"/>
        </w:rPr>
        <w:t xml:space="preserve"> there is no </w:t>
      </w:r>
      <w:r w:rsidR="00651007" w:rsidRPr="00D215A7">
        <w:rPr>
          <w:rFonts w:ascii="Times New Roman" w:hAnsi="Times New Roman" w:cs="Times New Roman"/>
          <w:i/>
          <w:sz w:val="28"/>
          <w:szCs w:val="28"/>
        </w:rPr>
        <w:t>prima facie</w:t>
      </w:r>
      <w:r w:rsidR="00651007" w:rsidRPr="00D215A7">
        <w:rPr>
          <w:rFonts w:ascii="Times New Roman" w:hAnsi="Times New Roman" w:cs="Times New Roman"/>
          <w:sz w:val="28"/>
          <w:szCs w:val="28"/>
        </w:rPr>
        <w:t xml:space="preserve"> case, and that consequently, the main application should be struck off as well.</w:t>
      </w:r>
      <w:r w:rsidR="00B07A97" w:rsidRPr="00D215A7">
        <w:rPr>
          <w:rFonts w:ascii="Times New Roman" w:hAnsi="Times New Roman" w:cs="Times New Roman"/>
          <w:sz w:val="28"/>
          <w:szCs w:val="28"/>
        </w:rPr>
        <w:t xml:space="preserve"> She cited </w:t>
      </w:r>
      <w:r w:rsidR="00B07A97" w:rsidRPr="00D215A7">
        <w:rPr>
          <w:rFonts w:ascii="Times New Roman" w:hAnsi="Times New Roman" w:cs="Times New Roman"/>
          <w:b/>
          <w:sz w:val="28"/>
          <w:szCs w:val="28"/>
        </w:rPr>
        <w:t xml:space="preserve">Margret </w:t>
      </w:r>
      <w:proofErr w:type="spellStart"/>
      <w:r w:rsidR="00B07A97" w:rsidRPr="00D215A7">
        <w:rPr>
          <w:rFonts w:ascii="Times New Roman" w:hAnsi="Times New Roman" w:cs="Times New Roman"/>
          <w:b/>
          <w:sz w:val="28"/>
          <w:szCs w:val="28"/>
        </w:rPr>
        <w:t>Kabahunguli</w:t>
      </w:r>
      <w:proofErr w:type="spellEnd"/>
      <w:r w:rsidR="00B07A97" w:rsidRPr="00D215A7">
        <w:rPr>
          <w:rFonts w:ascii="Times New Roman" w:hAnsi="Times New Roman" w:cs="Times New Roman"/>
          <w:b/>
          <w:sz w:val="28"/>
          <w:szCs w:val="28"/>
        </w:rPr>
        <w:t xml:space="preserve"> V </w:t>
      </w:r>
      <w:proofErr w:type="spellStart"/>
      <w:r w:rsidR="00B07A97" w:rsidRPr="00D215A7">
        <w:rPr>
          <w:rFonts w:ascii="Times New Roman" w:hAnsi="Times New Roman" w:cs="Times New Roman"/>
          <w:b/>
          <w:sz w:val="28"/>
          <w:szCs w:val="28"/>
        </w:rPr>
        <w:t>Eliazali</w:t>
      </w:r>
      <w:proofErr w:type="spellEnd"/>
      <w:r w:rsidR="00B07A97" w:rsidRPr="00D215A7">
        <w:rPr>
          <w:rFonts w:ascii="Times New Roman" w:hAnsi="Times New Roman" w:cs="Times New Roman"/>
          <w:b/>
          <w:sz w:val="28"/>
          <w:szCs w:val="28"/>
        </w:rPr>
        <w:t xml:space="preserve"> </w:t>
      </w:r>
      <w:proofErr w:type="spellStart"/>
      <w:r w:rsidR="00B07A97" w:rsidRPr="00D215A7">
        <w:rPr>
          <w:rFonts w:ascii="Times New Roman" w:hAnsi="Times New Roman" w:cs="Times New Roman"/>
          <w:b/>
          <w:sz w:val="28"/>
          <w:szCs w:val="28"/>
        </w:rPr>
        <w:t>Tibekinga</w:t>
      </w:r>
      <w:proofErr w:type="spellEnd"/>
      <w:r w:rsidR="00B07A97" w:rsidRPr="00D215A7">
        <w:rPr>
          <w:rFonts w:ascii="Times New Roman" w:hAnsi="Times New Roman" w:cs="Times New Roman"/>
          <w:b/>
          <w:sz w:val="28"/>
          <w:szCs w:val="28"/>
        </w:rPr>
        <w:t xml:space="preserve"> &amp; </w:t>
      </w:r>
      <w:proofErr w:type="gramStart"/>
      <w:r w:rsidR="00B07A97" w:rsidRPr="00D215A7">
        <w:rPr>
          <w:rFonts w:ascii="Times New Roman" w:hAnsi="Times New Roman" w:cs="Times New Roman"/>
          <w:b/>
          <w:sz w:val="28"/>
          <w:szCs w:val="28"/>
        </w:rPr>
        <w:t>Another</w:t>
      </w:r>
      <w:proofErr w:type="gramEnd"/>
      <w:r w:rsidR="00B07A97" w:rsidRPr="00D215A7">
        <w:rPr>
          <w:rFonts w:ascii="Times New Roman" w:hAnsi="Times New Roman" w:cs="Times New Roman"/>
          <w:b/>
          <w:sz w:val="28"/>
          <w:szCs w:val="28"/>
        </w:rPr>
        <w:t xml:space="preserve"> HCAC 08/95</w:t>
      </w:r>
      <w:r w:rsidR="00D81F53" w:rsidRPr="00D215A7">
        <w:rPr>
          <w:rFonts w:ascii="Times New Roman" w:hAnsi="Times New Roman" w:cs="Times New Roman"/>
          <w:b/>
          <w:sz w:val="28"/>
          <w:szCs w:val="28"/>
        </w:rPr>
        <w:t xml:space="preserve"> </w:t>
      </w:r>
      <w:r w:rsidR="00D81F53" w:rsidRPr="00D215A7">
        <w:rPr>
          <w:rFonts w:ascii="Times New Roman" w:hAnsi="Times New Roman" w:cs="Times New Roman"/>
          <w:sz w:val="28"/>
          <w:szCs w:val="28"/>
        </w:rPr>
        <w:t xml:space="preserve">and submitted that such </w:t>
      </w:r>
      <w:r w:rsidR="00B307F0" w:rsidRPr="00D215A7">
        <w:rPr>
          <w:rFonts w:ascii="Times New Roman" w:hAnsi="Times New Roman" w:cs="Times New Roman"/>
          <w:sz w:val="28"/>
          <w:szCs w:val="28"/>
        </w:rPr>
        <w:t xml:space="preserve">notice </w:t>
      </w:r>
      <w:r w:rsidR="00D81F53" w:rsidRPr="00D215A7">
        <w:rPr>
          <w:rFonts w:ascii="Times New Roman" w:hAnsi="Times New Roman" w:cs="Times New Roman"/>
          <w:sz w:val="28"/>
          <w:szCs w:val="28"/>
        </w:rPr>
        <w:t xml:space="preserve">is </w:t>
      </w:r>
      <w:r w:rsidR="00B307F0" w:rsidRPr="00D215A7">
        <w:rPr>
          <w:rFonts w:ascii="Times New Roman" w:hAnsi="Times New Roman" w:cs="Times New Roman"/>
          <w:sz w:val="28"/>
          <w:szCs w:val="28"/>
        </w:rPr>
        <w:t xml:space="preserve">mandatory. </w:t>
      </w:r>
      <w:r w:rsidR="00651007" w:rsidRPr="00D215A7">
        <w:rPr>
          <w:rFonts w:ascii="Times New Roman" w:hAnsi="Times New Roman" w:cs="Times New Roman"/>
          <w:sz w:val="28"/>
          <w:szCs w:val="28"/>
        </w:rPr>
        <w:t>She prayed that the main suit be struck off for lack of st</w:t>
      </w:r>
      <w:r w:rsidR="00594648" w:rsidRPr="00D215A7">
        <w:rPr>
          <w:rFonts w:ascii="Times New Roman" w:hAnsi="Times New Roman" w:cs="Times New Roman"/>
          <w:sz w:val="28"/>
          <w:szCs w:val="28"/>
        </w:rPr>
        <w:t>atutory notice under section 255</w:t>
      </w:r>
      <w:r w:rsidR="00651007" w:rsidRPr="00D215A7">
        <w:rPr>
          <w:rFonts w:ascii="Times New Roman" w:hAnsi="Times New Roman" w:cs="Times New Roman"/>
          <w:sz w:val="28"/>
          <w:szCs w:val="28"/>
        </w:rPr>
        <w:t xml:space="preserve"> of the Succession Act</w:t>
      </w:r>
      <w:r w:rsidR="00A15E52" w:rsidRPr="00D215A7">
        <w:rPr>
          <w:rFonts w:ascii="Times New Roman" w:hAnsi="Times New Roman" w:cs="Times New Roman"/>
          <w:sz w:val="28"/>
          <w:szCs w:val="28"/>
        </w:rPr>
        <w:t>.</w:t>
      </w:r>
    </w:p>
    <w:p w:rsidR="000478D5" w:rsidRPr="00D215A7" w:rsidRDefault="00FD50F6" w:rsidP="002A65AE">
      <w:pPr>
        <w:jc w:val="both"/>
        <w:rPr>
          <w:rFonts w:ascii="Times New Roman" w:hAnsi="Times New Roman" w:cs="Times New Roman"/>
          <w:sz w:val="28"/>
          <w:szCs w:val="28"/>
        </w:rPr>
      </w:pPr>
      <w:r w:rsidRPr="00D215A7">
        <w:rPr>
          <w:rFonts w:ascii="Times New Roman" w:hAnsi="Times New Roman" w:cs="Times New Roman"/>
          <w:sz w:val="28"/>
          <w:szCs w:val="28"/>
        </w:rPr>
        <w:t>Learned c</w:t>
      </w:r>
      <w:r w:rsidR="00A15E52" w:rsidRPr="00D215A7">
        <w:rPr>
          <w:rFonts w:ascii="Times New Roman" w:hAnsi="Times New Roman" w:cs="Times New Roman"/>
          <w:sz w:val="28"/>
          <w:szCs w:val="28"/>
        </w:rPr>
        <w:t xml:space="preserve">ounsel </w:t>
      </w:r>
      <w:proofErr w:type="spellStart"/>
      <w:r w:rsidR="00A15E52" w:rsidRPr="00D215A7">
        <w:rPr>
          <w:rFonts w:ascii="Times New Roman" w:hAnsi="Times New Roman" w:cs="Times New Roman"/>
          <w:sz w:val="28"/>
          <w:szCs w:val="28"/>
        </w:rPr>
        <w:t>Bitebekezi</w:t>
      </w:r>
      <w:proofErr w:type="spellEnd"/>
      <w:r w:rsidR="00A15E52" w:rsidRPr="00D215A7">
        <w:rPr>
          <w:rFonts w:ascii="Times New Roman" w:hAnsi="Times New Roman" w:cs="Times New Roman"/>
          <w:sz w:val="28"/>
          <w:szCs w:val="28"/>
        </w:rPr>
        <w:t xml:space="preserve"> submitted </w:t>
      </w:r>
      <w:r w:rsidR="00533472" w:rsidRPr="00D215A7">
        <w:rPr>
          <w:rFonts w:ascii="Times New Roman" w:hAnsi="Times New Roman" w:cs="Times New Roman"/>
          <w:sz w:val="28"/>
          <w:szCs w:val="28"/>
        </w:rPr>
        <w:t>in reply that the respondent’s c</w:t>
      </w:r>
      <w:r w:rsidR="00A15E52" w:rsidRPr="00D215A7">
        <w:rPr>
          <w:rFonts w:ascii="Times New Roman" w:hAnsi="Times New Roman" w:cs="Times New Roman"/>
          <w:sz w:val="28"/>
          <w:szCs w:val="28"/>
        </w:rPr>
        <w:t>ounsel had misinterpreted Section 255 of the Succession Act. He argued that the section was about</w:t>
      </w:r>
      <w:r w:rsidR="0047278F" w:rsidRPr="00D215A7">
        <w:rPr>
          <w:rFonts w:ascii="Times New Roman" w:hAnsi="Times New Roman" w:cs="Times New Roman"/>
          <w:sz w:val="28"/>
          <w:szCs w:val="28"/>
        </w:rPr>
        <w:t xml:space="preserve"> no action being taken on any application for probate or letters of administration</w:t>
      </w:r>
      <w:r w:rsidR="005B1AC3" w:rsidRPr="00D215A7">
        <w:rPr>
          <w:rFonts w:ascii="Times New Roman" w:hAnsi="Times New Roman" w:cs="Times New Roman"/>
          <w:sz w:val="28"/>
          <w:szCs w:val="28"/>
        </w:rPr>
        <w:t xml:space="preserve"> without notice to the </w:t>
      </w:r>
      <w:proofErr w:type="spellStart"/>
      <w:r w:rsidR="005B1AC3" w:rsidRPr="00D215A7">
        <w:rPr>
          <w:rFonts w:ascii="Times New Roman" w:hAnsi="Times New Roman" w:cs="Times New Roman"/>
          <w:sz w:val="28"/>
          <w:szCs w:val="28"/>
        </w:rPr>
        <w:t>c</w:t>
      </w:r>
      <w:r w:rsidR="00C9288C" w:rsidRPr="00D215A7">
        <w:rPr>
          <w:rFonts w:ascii="Times New Roman" w:hAnsi="Times New Roman" w:cs="Times New Roman"/>
          <w:sz w:val="28"/>
          <w:szCs w:val="28"/>
        </w:rPr>
        <w:t>aveator</w:t>
      </w:r>
      <w:proofErr w:type="spellEnd"/>
      <w:r w:rsidR="00C9288C" w:rsidRPr="00D215A7">
        <w:rPr>
          <w:rFonts w:ascii="Times New Roman" w:hAnsi="Times New Roman" w:cs="Times New Roman"/>
          <w:sz w:val="28"/>
          <w:szCs w:val="28"/>
        </w:rPr>
        <w:t xml:space="preserve"> </w:t>
      </w:r>
      <w:r w:rsidR="00B63C58" w:rsidRPr="00D215A7">
        <w:rPr>
          <w:rFonts w:ascii="Times New Roman" w:hAnsi="Times New Roman" w:cs="Times New Roman"/>
          <w:sz w:val="28"/>
          <w:szCs w:val="28"/>
        </w:rPr>
        <w:t>as the Court may consider appropriate</w:t>
      </w:r>
      <w:r w:rsidR="000478D5" w:rsidRPr="00D215A7">
        <w:rPr>
          <w:rFonts w:ascii="Times New Roman" w:hAnsi="Times New Roman" w:cs="Times New Roman"/>
          <w:sz w:val="28"/>
          <w:szCs w:val="28"/>
        </w:rPr>
        <w:t>, not the suit that seeks removal of a caveat</w:t>
      </w:r>
      <w:r w:rsidR="00B63C58" w:rsidRPr="00D215A7">
        <w:rPr>
          <w:rFonts w:ascii="Times New Roman" w:hAnsi="Times New Roman" w:cs="Times New Roman"/>
          <w:sz w:val="28"/>
          <w:szCs w:val="28"/>
        </w:rPr>
        <w:t>.</w:t>
      </w:r>
      <w:r w:rsidR="00CB7E11" w:rsidRPr="00D215A7">
        <w:rPr>
          <w:rFonts w:ascii="Times New Roman" w:hAnsi="Times New Roman" w:cs="Times New Roman"/>
          <w:sz w:val="28"/>
          <w:szCs w:val="28"/>
        </w:rPr>
        <w:t xml:space="preserve"> He contended that</w:t>
      </w:r>
      <w:r w:rsidR="00681692" w:rsidRPr="00D215A7">
        <w:rPr>
          <w:rFonts w:ascii="Times New Roman" w:hAnsi="Times New Roman" w:cs="Times New Roman"/>
          <w:sz w:val="28"/>
          <w:szCs w:val="28"/>
        </w:rPr>
        <w:t xml:space="preserve"> under</w:t>
      </w:r>
      <w:r w:rsidR="00CB7E11" w:rsidRPr="00D215A7">
        <w:rPr>
          <w:rFonts w:ascii="Times New Roman" w:hAnsi="Times New Roman" w:cs="Times New Roman"/>
          <w:sz w:val="28"/>
          <w:szCs w:val="28"/>
        </w:rPr>
        <w:t xml:space="preserve"> the basic ru</w:t>
      </w:r>
      <w:r w:rsidR="00681692" w:rsidRPr="00D215A7">
        <w:rPr>
          <w:rFonts w:ascii="Times New Roman" w:hAnsi="Times New Roman" w:cs="Times New Roman"/>
          <w:sz w:val="28"/>
          <w:szCs w:val="28"/>
        </w:rPr>
        <w:t>les of statutory interpretation</w:t>
      </w:r>
      <w:r w:rsidR="00CB7E11" w:rsidRPr="00D215A7">
        <w:rPr>
          <w:rFonts w:ascii="Times New Roman" w:hAnsi="Times New Roman" w:cs="Times New Roman"/>
          <w:sz w:val="28"/>
          <w:szCs w:val="28"/>
        </w:rPr>
        <w:t xml:space="preserve"> it is not logical that if someone lodges a caveat</w:t>
      </w:r>
      <w:r w:rsidR="00B65AF0" w:rsidRPr="00D215A7">
        <w:rPr>
          <w:rFonts w:ascii="Times New Roman" w:hAnsi="Times New Roman" w:cs="Times New Roman"/>
          <w:sz w:val="28"/>
          <w:szCs w:val="28"/>
        </w:rPr>
        <w:t>, it means there is something under contention</w:t>
      </w:r>
      <w:r w:rsidR="00681692" w:rsidRPr="00D215A7">
        <w:rPr>
          <w:rFonts w:ascii="Times New Roman" w:hAnsi="Times New Roman" w:cs="Times New Roman"/>
          <w:sz w:val="28"/>
          <w:szCs w:val="28"/>
        </w:rPr>
        <w:t>. He wondered</w:t>
      </w:r>
      <w:r w:rsidR="00C9288C" w:rsidRPr="00D215A7">
        <w:rPr>
          <w:rFonts w:ascii="Times New Roman" w:hAnsi="Times New Roman" w:cs="Times New Roman"/>
          <w:sz w:val="28"/>
          <w:szCs w:val="28"/>
        </w:rPr>
        <w:t xml:space="preserve"> </w:t>
      </w:r>
      <w:r w:rsidR="00681692" w:rsidRPr="00D215A7">
        <w:rPr>
          <w:rFonts w:ascii="Times New Roman" w:hAnsi="Times New Roman" w:cs="Times New Roman"/>
          <w:sz w:val="28"/>
          <w:szCs w:val="28"/>
        </w:rPr>
        <w:t>why someone w</w:t>
      </w:r>
      <w:r w:rsidR="00CB7E11" w:rsidRPr="00D215A7">
        <w:rPr>
          <w:rFonts w:ascii="Times New Roman" w:hAnsi="Times New Roman" w:cs="Times New Roman"/>
          <w:sz w:val="28"/>
          <w:szCs w:val="28"/>
        </w:rPr>
        <w:t xml:space="preserve">ould notify </w:t>
      </w:r>
      <w:r w:rsidR="00681692" w:rsidRPr="00D215A7">
        <w:rPr>
          <w:rFonts w:ascii="Times New Roman" w:hAnsi="Times New Roman" w:cs="Times New Roman"/>
          <w:sz w:val="28"/>
          <w:szCs w:val="28"/>
        </w:rPr>
        <w:t xml:space="preserve">a </w:t>
      </w:r>
      <w:proofErr w:type="spellStart"/>
      <w:r w:rsidR="00681692" w:rsidRPr="00D215A7">
        <w:rPr>
          <w:rFonts w:ascii="Times New Roman" w:hAnsi="Times New Roman" w:cs="Times New Roman"/>
          <w:sz w:val="28"/>
          <w:szCs w:val="28"/>
        </w:rPr>
        <w:t>caveator</w:t>
      </w:r>
      <w:proofErr w:type="spellEnd"/>
      <w:r w:rsidR="00681692" w:rsidRPr="00D215A7">
        <w:rPr>
          <w:rFonts w:ascii="Times New Roman" w:hAnsi="Times New Roman" w:cs="Times New Roman"/>
          <w:sz w:val="28"/>
          <w:szCs w:val="28"/>
        </w:rPr>
        <w:t xml:space="preserve"> </w:t>
      </w:r>
      <w:r w:rsidR="00CB7E11" w:rsidRPr="00D215A7">
        <w:rPr>
          <w:rFonts w:ascii="Times New Roman" w:hAnsi="Times New Roman" w:cs="Times New Roman"/>
          <w:sz w:val="28"/>
          <w:szCs w:val="28"/>
        </w:rPr>
        <w:t>that someone wants to remove</w:t>
      </w:r>
      <w:r w:rsidR="00681692" w:rsidRPr="00D215A7">
        <w:rPr>
          <w:rFonts w:ascii="Times New Roman" w:hAnsi="Times New Roman" w:cs="Times New Roman"/>
          <w:sz w:val="28"/>
          <w:szCs w:val="28"/>
        </w:rPr>
        <w:t xml:space="preserve"> his/her caveat. </w:t>
      </w:r>
    </w:p>
    <w:p w:rsidR="00D26190" w:rsidRPr="00D215A7" w:rsidRDefault="0051237E" w:rsidP="002A65AE">
      <w:pPr>
        <w:jc w:val="both"/>
        <w:rPr>
          <w:rFonts w:ascii="Times New Roman" w:hAnsi="Times New Roman" w:cs="Times New Roman"/>
          <w:sz w:val="28"/>
          <w:szCs w:val="28"/>
        </w:rPr>
      </w:pPr>
      <w:r w:rsidRPr="00D215A7">
        <w:rPr>
          <w:rFonts w:ascii="Times New Roman" w:hAnsi="Times New Roman" w:cs="Times New Roman"/>
          <w:sz w:val="28"/>
          <w:szCs w:val="28"/>
        </w:rPr>
        <w:lastRenderedPageBreak/>
        <w:t xml:space="preserve">He submitted that a </w:t>
      </w:r>
      <w:proofErr w:type="spellStart"/>
      <w:r w:rsidRPr="00D215A7">
        <w:rPr>
          <w:rFonts w:ascii="Times New Roman" w:hAnsi="Times New Roman" w:cs="Times New Roman"/>
          <w:sz w:val="28"/>
          <w:szCs w:val="28"/>
        </w:rPr>
        <w:t>c</w:t>
      </w:r>
      <w:r w:rsidR="00B65AF0" w:rsidRPr="00D215A7">
        <w:rPr>
          <w:rFonts w:ascii="Times New Roman" w:hAnsi="Times New Roman" w:cs="Times New Roman"/>
          <w:sz w:val="28"/>
          <w:szCs w:val="28"/>
        </w:rPr>
        <w:t>aveator</w:t>
      </w:r>
      <w:proofErr w:type="spellEnd"/>
      <w:r w:rsidR="00B65AF0" w:rsidRPr="00D215A7">
        <w:rPr>
          <w:rFonts w:ascii="Times New Roman" w:hAnsi="Times New Roman" w:cs="Times New Roman"/>
          <w:sz w:val="28"/>
          <w:szCs w:val="28"/>
        </w:rPr>
        <w:t xml:space="preserve"> </w:t>
      </w:r>
      <w:r w:rsidRPr="00D215A7">
        <w:rPr>
          <w:rFonts w:ascii="Times New Roman" w:hAnsi="Times New Roman" w:cs="Times New Roman"/>
          <w:sz w:val="28"/>
          <w:szCs w:val="28"/>
        </w:rPr>
        <w:t xml:space="preserve">being </w:t>
      </w:r>
      <w:r w:rsidR="00B65AF0" w:rsidRPr="00D215A7">
        <w:rPr>
          <w:rFonts w:ascii="Times New Roman" w:hAnsi="Times New Roman" w:cs="Times New Roman"/>
          <w:sz w:val="28"/>
          <w:szCs w:val="28"/>
        </w:rPr>
        <w:t>served with proceedings for removal of caveat is notice to the person that the caveat is challenged; that section 255 arises from section 25</w:t>
      </w:r>
      <w:r w:rsidR="00DC2E81" w:rsidRPr="00D215A7">
        <w:rPr>
          <w:rFonts w:ascii="Times New Roman" w:hAnsi="Times New Roman" w:cs="Times New Roman"/>
          <w:sz w:val="28"/>
          <w:szCs w:val="28"/>
        </w:rPr>
        <w:t>4 to strengthen</w:t>
      </w:r>
      <w:r w:rsidR="00A06FFD" w:rsidRPr="00D215A7">
        <w:rPr>
          <w:rFonts w:ascii="Times New Roman" w:hAnsi="Times New Roman" w:cs="Times New Roman"/>
          <w:sz w:val="28"/>
          <w:szCs w:val="28"/>
        </w:rPr>
        <w:t xml:space="preserve"> the said section 254</w:t>
      </w:r>
      <w:r w:rsidR="00DC2E81" w:rsidRPr="00D215A7">
        <w:rPr>
          <w:rFonts w:ascii="Times New Roman" w:hAnsi="Times New Roman" w:cs="Times New Roman"/>
          <w:sz w:val="28"/>
          <w:szCs w:val="28"/>
        </w:rPr>
        <w:t>; that section 255 is to bind the Court because section 254 gives a format for a caveat</w:t>
      </w:r>
      <w:r w:rsidR="009D3F43" w:rsidRPr="00D215A7">
        <w:rPr>
          <w:rFonts w:ascii="Times New Roman" w:hAnsi="Times New Roman" w:cs="Times New Roman"/>
          <w:sz w:val="28"/>
          <w:szCs w:val="28"/>
        </w:rPr>
        <w:t>.</w:t>
      </w:r>
      <w:r w:rsidR="00881728" w:rsidRPr="00D215A7">
        <w:rPr>
          <w:rFonts w:ascii="Times New Roman" w:hAnsi="Times New Roman" w:cs="Times New Roman"/>
          <w:sz w:val="28"/>
          <w:szCs w:val="28"/>
        </w:rPr>
        <w:t xml:space="preserve"> He</w:t>
      </w:r>
      <w:r w:rsidR="000478D5" w:rsidRPr="00D215A7">
        <w:rPr>
          <w:rFonts w:ascii="Times New Roman" w:hAnsi="Times New Roman" w:cs="Times New Roman"/>
          <w:sz w:val="28"/>
          <w:szCs w:val="28"/>
        </w:rPr>
        <w:t xml:space="preserve"> also</w:t>
      </w:r>
      <w:r w:rsidR="00881728" w:rsidRPr="00D215A7">
        <w:rPr>
          <w:rFonts w:ascii="Times New Roman" w:hAnsi="Times New Roman" w:cs="Times New Roman"/>
          <w:sz w:val="28"/>
          <w:szCs w:val="28"/>
        </w:rPr>
        <w:t xml:space="preserve"> submitted that the case cited by the re</w:t>
      </w:r>
      <w:r w:rsidR="00FD50F6" w:rsidRPr="00D215A7">
        <w:rPr>
          <w:rFonts w:ascii="Times New Roman" w:hAnsi="Times New Roman" w:cs="Times New Roman"/>
          <w:sz w:val="28"/>
          <w:szCs w:val="28"/>
        </w:rPr>
        <w:t>spondent’s c</w:t>
      </w:r>
      <w:r w:rsidR="00E0343D" w:rsidRPr="00D215A7">
        <w:rPr>
          <w:rFonts w:ascii="Times New Roman" w:hAnsi="Times New Roman" w:cs="Times New Roman"/>
          <w:sz w:val="28"/>
          <w:szCs w:val="28"/>
        </w:rPr>
        <w:t>ounsel was made by c</w:t>
      </w:r>
      <w:r w:rsidR="00881728" w:rsidRPr="00D215A7">
        <w:rPr>
          <w:rFonts w:ascii="Times New Roman" w:hAnsi="Times New Roman" w:cs="Times New Roman"/>
          <w:sz w:val="28"/>
          <w:szCs w:val="28"/>
        </w:rPr>
        <w:t>ourt of concurrent jurisdiction and can be departed from</w:t>
      </w:r>
      <w:r w:rsidR="00E0343D" w:rsidRPr="00D215A7">
        <w:rPr>
          <w:rFonts w:ascii="Times New Roman" w:hAnsi="Times New Roman" w:cs="Times New Roman"/>
          <w:sz w:val="28"/>
          <w:szCs w:val="28"/>
        </w:rPr>
        <w:t xml:space="preserve"> by this c</w:t>
      </w:r>
      <w:r w:rsidR="004708B8" w:rsidRPr="00D215A7">
        <w:rPr>
          <w:rFonts w:ascii="Times New Roman" w:hAnsi="Times New Roman" w:cs="Times New Roman"/>
          <w:sz w:val="28"/>
          <w:szCs w:val="28"/>
        </w:rPr>
        <w:t>ourt, and that even if it was convincing</w:t>
      </w:r>
      <w:r w:rsidR="00A06FFD" w:rsidRPr="00D215A7">
        <w:rPr>
          <w:rFonts w:ascii="Times New Roman" w:hAnsi="Times New Roman" w:cs="Times New Roman"/>
          <w:sz w:val="28"/>
          <w:szCs w:val="28"/>
        </w:rPr>
        <w:t>,</w:t>
      </w:r>
      <w:r w:rsidR="004708B8" w:rsidRPr="00D215A7">
        <w:rPr>
          <w:rFonts w:ascii="Times New Roman" w:hAnsi="Times New Roman" w:cs="Times New Roman"/>
          <w:sz w:val="28"/>
          <w:szCs w:val="28"/>
        </w:rPr>
        <w:t xml:space="preserve"> the circumstances in that case were different. He contended that in the said case, which followed an earlier decision of </w:t>
      </w:r>
      <w:proofErr w:type="spellStart"/>
      <w:r w:rsidR="004708B8" w:rsidRPr="00D215A7">
        <w:rPr>
          <w:rFonts w:ascii="Times New Roman" w:hAnsi="Times New Roman" w:cs="Times New Roman"/>
          <w:b/>
          <w:sz w:val="28"/>
          <w:szCs w:val="28"/>
        </w:rPr>
        <w:t>Namu</w:t>
      </w:r>
      <w:r w:rsidR="00476DCA" w:rsidRPr="00D215A7">
        <w:rPr>
          <w:rFonts w:ascii="Times New Roman" w:hAnsi="Times New Roman" w:cs="Times New Roman"/>
          <w:b/>
          <w:sz w:val="28"/>
          <w:szCs w:val="28"/>
        </w:rPr>
        <w:t>ngo</w:t>
      </w:r>
      <w:proofErr w:type="spellEnd"/>
      <w:r w:rsidR="00476DCA" w:rsidRPr="00D215A7">
        <w:rPr>
          <w:rFonts w:ascii="Times New Roman" w:hAnsi="Times New Roman" w:cs="Times New Roman"/>
          <w:b/>
          <w:sz w:val="28"/>
          <w:szCs w:val="28"/>
        </w:rPr>
        <w:t xml:space="preserve"> V </w:t>
      </w:r>
      <w:proofErr w:type="spellStart"/>
      <w:r w:rsidR="00476DCA" w:rsidRPr="00D215A7">
        <w:rPr>
          <w:rFonts w:ascii="Times New Roman" w:hAnsi="Times New Roman" w:cs="Times New Roman"/>
          <w:b/>
          <w:sz w:val="28"/>
          <w:szCs w:val="28"/>
        </w:rPr>
        <w:t>Kilya</w:t>
      </w:r>
      <w:r w:rsidR="00236751" w:rsidRPr="00D215A7">
        <w:rPr>
          <w:rFonts w:ascii="Times New Roman" w:hAnsi="Times New Roman" w:cs="Times New Roman"/>
          <w:b/>
          <w:sz w:val="28"/>
          <w:szCs w:val="28"/>
        </w:rPr>
        <w:t>nku</w:t>
      </w:r>
      <w:r w:rsidR="004708B8" w:rsidRPr="00D215A7">
        <w:rPr>
          <w:rFonts w:ascii="Times New Roman" w:hAnsi="Times New Roman" w:cs="Times New Roman"/>
          <w:b/>
          <w:sz w:val="28"/>
          <w:szCs w:val="28"/>
        </w:rPr>
        <w:t>sa</w:t>
      </w:r>
      <w:proofErr w:type="spellEnd"/>
      <w:r w:rsidR="004708B8" w:rsidRPr="00D215A7">
        <w:rPr>
          <w:rFonts w:ascii="Times New Roman" w:hAnsi="Times New Roman" w:cs="Times New Roman"/>
          <w:b/>
          <w:sz w:val="28"/>
          <w:szCs w:val="28"/>
        </w:rPr>
        <w:t xml:space="preserve"> [1980] HCB 66</w:t>
      </w:r>
      <w:r w:rsidR="004708B8" w:rsidRPr="00D215A7">
        <w:rPr>
          <w:rFonts w:ascii="Times New Roman" w:hAnsi="Times New Roman" w:cs="Times New Roman"/>
          <w:sz w:val="28"/>
          <w:szCs w:val="28"/>
        </w:rPr>
        <w:t>, the matter at stake was that a caveat was challenged by a Notice of Motion under section 254</w:t>
      </w:r>
      <w:r w:rsidR="003C349F" w:rsidRPr="00D215A7">
        <w:rPr>
          <w:rFonts w:ascii="Times New Roman" w:hAnsi="Times New Roman" w:cs="Times New Roman"/>
          <w:sz w:val="28"/>
          <w:szCs w:val="28"/>
        </w:rPr>
        <w:t xml:space="preserve"> (now 255)</w:t>
      </w:r>
      <w:r w:rsidR="004708B8" w:rsidRPr="00D215A7">
        <w:rPr>
          <w:rFonts w:ascii="Times New Roman" w:hAnsi="Times New Roman" w:cs="Times New Roman"/>
          <w:sz w:val="28"/>
          <w:szCs w:val="28"/>
        </w:rPr>
        <w:t xml:space="preserve"> of the Succession Act, which varies from the facts in the instant case.</w:t>
      </w:r>
      <w:r w:rsidR="00661769" w:rsidRPr="00D215A7">
        <w:rPr>
          <w:rFonts w:ascii="Times New Roman" w:hAnsi="Times New Roman" w:cs="Times New Roman"/>
          <w:sz w:val="28"/>
          <w:szCs w:val="28"/>
        </w:rPr>
        <w:t xml:space="preserve"> </w:t>
      </w:r>
      <w:r w:rsidR="00CB3FB1" w:rsidRPr="00D215A7">
        <w:rPr>
          <w:rFonts w:ascii="Times New Roman" w:hAnsi="Times New Roman" w:cs="Times New Roman"/>
          <w:sz w:val="28"/>
          <w:szCs w:val="28"/>
        </w:rPr>
        <w:t>He further submitted that s</w:t>
      </w:r>
      <w:r w:rsidR="003F502A" w:rsidRPr="00D215A7">
        <w:rPr>
          <w:rFonts w:ascii="Times New Roman" w:hAnsi="Times New Roman" w:cs="Times New Roman"/>
          <w:sz w:val="28"/>
          <w:szCs w:val="28"/>
        </w:rPr>
        <w:t>ection 265 of the Succession Act states tha</w:t>
      </w:r>
      <w:r w:rsidR="00A06FFD" w:rsidRPr="00D215A7">
        <w:rPr>
          <w:rFonts w:ascii="Times New Roman" w:hAnsi="Times New Roman" w:cs="Times New Roman"/>
          <w:sz w:val="28"/>
          <w:szCs w:val="28"/>
        </w:rPr>
        <w:t xml:space="preserve">t when a caveat is lodged, the </w:t>
      </w:r>
      <w:proofErr w:type="spellStart"/>
      <w:r w:rsidR="00A06FFD" w:rsidRPr="00D215A7">
        <w:rPr>
          <w:rFonts w:ascii="Times New Roman" w:hAnsi="Times New Roman" w:cs="Times New Roman"/>
          <w:sz w:val="28"/>
          <w:szCs w:val="28"/>
        </w:rPr>
        <w:t>c</w:t>
      </w:r>
      <w:r w:rsidR="003F502A" w:rsidRPr="00D215A7">
        <w:rPr>
          <w:rFonts w:ascii="Times New Roman" w:hAnsi="Times New Roman" w:cs="Times New Roman"/>
          <w:sz w:val="28"/>
          <w:szCs w:val="28"/>
        </w:rPr>
        <w:t>aveator</w:t>
      </w:r>
      <w:proofErr w:type="spellEnd"/>
      <w:r w:rsidR="003F502A" w:rsidRPr="00D215A7">
        <w:rPr>
          <w:rFonts w:ascii="Times New Roman" w:hAnsi="Times New Roman" w:cs="Times New Roman"/>
          <w:sz w:val="28"/>
          <w:szCs w:val="28"/>
        </w:rPr>
        <w:t xml:space="preserve"> immediately becomes defendant and proceedings are supposed to be filed along those proceedings.</w:t>
      </w:r>
    </w:p>
    <w:p w:rsidR="00FA2674" w:rsidRPr="00D215A7" w:rsidRDefault="00FA2674" w:rsidP="002A65AE">
      <w:pPr>
        <w:jc w:val="both"/>
        <w:rPr>
          <w:rFonts w:ascii="Times New Roman" w:hAnsi="Times New Roman" w:cs="Times New Roman"/>
          <w:sz w:val="28"/>
          <w:szCs w:val="28"/>
        </w:rPr>
      </w:pPr>
      <w:r w:rsidRPr="00D215A7">
        <w:rPr>
          <w:rFonts w:ascii="Times New Roman" w:hAnsi="Times New Roman" w:cs="Times New Roman"/>
          <w:sz w:val="28"/>
          <w:szCs w:val="28"/>
        </w:rPr>
        <w:t>I</w:t>
      </w:r>
      <w:r w:rsidR="007060E8" w:rsidRPr="00D215A7">
        <w:rPr>
          <w:rFonts w:ascii="Times New Roman" w:hAnsi="Times New Roman" w:cs="Times New Roman"/>
          <w:sz w:val="28"/>
          <w:szCs w:val="28"/>
        </w:rPr>
        <w:t xml:space="preserve"> have looked at the application, </w:t>
      </w:r>
      <w:r w:rsidRPr="00D215A7">
        <w:rPr>
          <w:rFonts w:ascii="Times New Roman" w:hAnsi="Times New Roman" w:cs="Times New Roman"/>
          <w:sz w:val="28"/>
          <w:szCs w:val="28"/>
        </w:rPr>
        <w:t>perused the court record and add</w:t>
      </w:r>
      <w:r w:rsidR="00E72F28" w:rsidRPr="00D215A7">
        <w:rPr>
          <w:rFonts w:ascii="Times New Roman" w:hAnsi="Times New Roman" w:cs="Times New Roman"/>
          <w:sz w:val="28"/>
          <w:szCs w:val="28"/>
        </w:rPr>
        <w:t>ressed the submissions of both c</w:t>
      </w:r>
      <w:r w:rsidRPr="00D215A7">
        <w:rPr>
          <w:rFonts w:ascii="Times New Roman" w:hAnsi="Times New Roman" w:cs="Times New Roman"/>
          <w:sz w:val="28"/>
          <w:szCs w:val="28"/>
        </w:rPr>
        <w:t>ounsel, including the law applicable.</w:t>
      </w:r>
    </w:p>
    <w:p w:rsidR="005D4810" w:rsidRPr="00D215A7" w:rsidRDefault="005E4E25" w:rsidP="002A65AE">
      <w:pPr>
        <w:jc w:val="both"/>
        <w:rPr>
          <w:rFonts w:ascii="Times New Roman" w:hAnsi="Times New Roman" w:cs="Times New Roman"/>
          <w:sz w:val="28"/>
          <w:szCs w:val="28"/>
        </w:rPr>
      </w:pPr>
      <w:r w:rsidRPr="00D215A7">
        <w:rPr>
          <w:rFonts w:ascii="Times New Roman" w:hAnsi="Times New Roman" w:cs="Times New Roman"/>
          <w:sz w:val="28"/>
          <w:szCs w:val="28"/>
        </w:rPr>
        <w:t>Section 255 of the Succession Act</w:t>
      </w:r>
      <w:r w:rsidR="00DD7977" w:rsidRPr="00D215A7">
        <w:rPr>
          <w:rFonts w:ascii="Times New Roman" w:hAnsi="Times New Roman" w:cs="Times New Roman"/>
          <w:sz w:val="28"/>
          <w:szCs w:val="28"/>
        </w:rPr>
        <w:t>, cap 162, provides as follows:-</w:t>
      </w:r>
    </w:p>
    <w:p w:rsidR="005D4810" w:rsidRPr="00D215A7" w:rsidRDefault="005D4810" w:rsidP="00EB2202">
      <w:pPr>
        <w:ind w:left="720"/>
        <w:jc w:val="both"/>
        <w:rPr>
          <w:rFonts w:ascii="Times New Roman" w:hAnsi="Times New Roman" w:cs="Times New Roman"/>
          <w:sz w:val="28"/>
          <w:szCs w:val="28"/>
        </w:rPr>
      </w:pPr>
      <w:r w:rsidRPr="00D215A7">
        <w:rPr>
          <w:rFonts w:ascii="Times New Roman" w:hAnsi="Times New Roman" w:cs="Times New Roman"/>
          <w:i/>
          <w:sz w:val="28"/>
          <w:szCs w:val="28"/>
        </w:rPr>
        <w:t>“</w:t>
      </w:r>
      <w:r w:rsidR="005B7FEA" w:rsidRPr="00D215A7">
        <w:rPr>
          <w:rFonts w:ascii="Times New Roman" w:hAnsi="Times New Roman" w:cs="Times New Roman"/>
          <w:i/>
          <w:sz w:val="28"/>
          <w:szCs w:val="28"/>
        </w:rPr>
        <w:t xml:space="preserve">no proceeding shall be taken on a petition for probate or letters of administration after a caveat against the grant of the petition has been entered with the Judge or officer to whom the application has been made, or notice has been given of its entry with some other delegate, </w:t>
      </w:r>
      <w:r w:rsidR="005B7FEA" w:rsidRPr="00D215A7">
        <w:rPr>
          <w:rFonts w:ascii="Times New Roman" w:hAnsi="Times New Roman" w:cs="Times New Roman"/>
          <w:b/>
          <w:i/>
          <w:sz w:val="28"/>
          <w:szCs w:val="28"/>
        </w:rPr>
        <w:t>until after such notice to the person by whom the same has been entered as the court shall think reasonable.</w:t>
      </w:r>
      <w:r w:rsidR="00EB2202" w:rsidRPr="00D215A7">
        <w:rPr>
          <w:rFonts w:ascii="Times New Roman" w:hAnsi="Times New Roman" w:cs="Times New Roman"/>
          <w:b/>
          <w:i/>
          <w:sz w:val="28"/>
          <w:szCs w:val="28"/>
        </w:rPr>
        <w:t>”</w:t>
      </w:r>
      <w:r w:rsidR="00D23FC2" w:rsidRPr="00D215A7">
        <w:rPr>
          <w:rFonts w:ascii="Times New Roman" w:hAnsi="Times New Roman" w:cs="Times New Roman"/>
          <w:b/>
          <w:i/>
          <w:sz w:val="28"/>
          <w:szCs w:val="28"/>
        </w:rPr>
        <w:t xml:space="preserve"> </w:t>
      </w:r>
      <w:r w:rsidR="00D23FC2" w:rsidRPr="00D215A7">
        <w:rPr>
          <w:rFonts w:ascii="Times New Roman" w:hAnsi="Times New Roman" w:cs="Times New Roman"/>
          <w:sz w:val="28"/>
          <w:szCs w:val="28"/>
        </w:rPr>
        <w:t>(</w:t>
      </w:r>
      <w:proofErr w:type="gramStart"/>
      <w:r w:rsidR="00D23FC2" w:rsidRPr="00D215A7">
        <w:rPr>
          <w:rFonts w:ascii="Times New Roman" w:hAnsi="Times New Roman" w:cs="Times New Roman"/>
          <w:sz w:val="28"/>
          <w:szCs w:val="28"/>
        </w:rPr>
        <w:t>emphasis</w:t>
      </w:r>
      <w:proofErr w:type="gramEnd"/>
      <w:r w:rsidR="00D23FC2" w:rsidRPr="00D215A7">
        <w:rPr>
          <w:rFonts w:ascii="Times New Roman" w:hAnsi="Times New Roman" w:cs="Times New Roman"/>
          <w:sz w:val="28"/>
          <w:szCs w:val="28"/>
        </w:rPr>
        <w:t xml:space="preserve"> mine</w:t>
      </w:r>
      <w:r w:rsidR="00D119C9" w:rsidRPr="00D215A7">
        <w:rPr>
          <w:rFonts w:ascii="Times New Roman" w:hAnsi="Times New Roman" w:cs="Times New Roman"/>
          <w:sz w:val="28"/>
          <w:szCs w:val="28"/>
        </w:rPr>
        <w:t>).</w:t>
      </w:r>
    </w:p>
    <w:p w:rsidR="00643B7A" w:rsidRPr="00D215A7" w:rsidRDefault="00DB518B" w:rsidP="00643B7A">
      <w:pPr>
        <w:jc w:val="both"/>
        <w:rPr>
          <w:rFonts w:ascii="Times New Roman" w:hAnsi="Times New Roman" w:cs="Times New Roman"/>
          <w:sz w:val="28"/>
          <w:szCs w:val="28"/>
        </w:rPr>
      </w:pPr>
      <w:r w:rsidRPr="00D215A7">
        <w:rPr>
          <w:rFonts w:ascii="Times New Roman" w:hAnsi="Times New Roman" w:cs="Times New Roman"/>
          <w:sz w:val="28"/>
          <w:szCs w:val="28"/>
        </w:rPr>
        <w:t>It was held in</w:t>
      </w:r>
      <w:r w:rsidRPr="00D215A7">
        <w:rPr>
          <w:rFonts w:ascii="Times New Roman" w:hAnsi="Times New Roman" w:cs="Times New Roman"/>
          <w:b/>
          <w:sz w:val="28"/>
          <w:szCs w:val="28"/>
        </w:rPr>
        <w:t xml:space="preserve"> </w:t>
      </w:r>
      <w:r w:rsidR="0040255C" w:rsidRPr="00D215A7">
        <w:rPr>
          <w:rFonts w:ascii="Times New Roman" w:hAnsi="Times New Roman" w:cs="Times New Roman"/>
          <w:b/>
          <w:sz w:val="28"/>
          <w:szCs w:val="28"/>
        </w:rPr>
        <w:t xml:space="preserve">Margret </w:t>
      </w:r>
      <w:proofErr w:type="spellStart"/>
      <w:r w:rsidR="0040255C" w:rsidRPr="00D215A7">
        <w:rPr>
          <w:rFonts w:ascii="Times New Roman" w:hAnsi="Times New Roman" w:cs="Times New Roman"/>
          <w:b/>
          <w:sz w:val="28"/>
          <w:szCs w:val="28"/>
        </w:rPr>
        <w:t>Kabahunguli</w:t>
      </w:r>
      <w:proofErr w:type="spellEnd"/>
      <w:r w:rsidR="0040255C" w:rsidRPr="00D215A7">
        <w:rPr>
          <w:rFonts w:ascii="Times New Roman" w:hAnsi="Times New Roman" w:cs="Times New Roman"/>
          <w:b/>
          <w:sz w:val="28"/>
          <w:szCs w:val="28"/>
        </w:rPr>
        <w:t xml:space="preserve"> V </w:t>
      </w:r>
      <w:proofErr w:type="spellStart"/>
      <w:r w:rsidR="0040255C" w:rsidRPr="00D215A7">
        <w:rPr>
          <w:rFonts w:ascii="Times New Roman" w:hAnsi="Times New Roman" w:cs="Times New Roman"/>
          <w:b/>
          <w:sz w:val="28"/>
          <w:szCs w:val="28"/>
        </w:rPr>
        <w:t>Eliazali</w:t>
      </w:r>
      <w:proofErr w:type="spellEnd"/>
      <w:r w:rsidR="0040255C" w:rsidRPr="00D215A7">
        <w:rPr>
          <w:rFonts w:ascii="Times New Roman" w:hAnsi="Times New Roman" w:cs="Times New Roman"/>
          <w:b/>
          <w:sz w:val="28"/>
          <w:szCs w:val="28"/>
        </w:rPr>
        <w:t xml:space="preserve"> </w:t>
      </w:r>
      <w:proofErr w:type="spellStart"/>
      <w:r w:rsidR="0040255C" w:rsidRPr="00D215A7">
        <w:rPr>
          <w:rFonts w:ascii="Times New Roman" w:hAnsi="Times New Roman" w:cs="Times New Roman"/>
          <w:b/>
          <w:sz w:val="28"/>
          <w:szCs w:val="28"/>
        </w:rPr>
        <w:t>Tibekinga</w:t>
      </w:r>
      <w:proofErr w:type="spellEnd"/>
      <w:r w:rsidR="0040255C" w:rsidRPr="00D215A7">
        <w:rPr>
          <w:rFonts w:ascii="Times New Roman" w:hAnsi="Times New Roman" w:cs="Times New Roman"/>
          <w:b/>
          <w:sz w:val="28"/>
          <w:szCs w:val="28"/>
        </w:rPr>
        <w:t xml:space="preserve"> &amp; Another HCAC 08/95</w:t>
      </w:r>
      <w:r w:rsidR="007A6ED2" w:rsidRPr="00D215A7">
        <w:rPr>
          <w:rFonts w:ascii="Times New Roman" w:hAnsi="Times New Roman" w:cs="Times New Roman"/>
          <w:sz w:val="28"/>
          <w:szCs w:val="28"/>
        </w:rPr>
        <w:t xml:space="preserve">, </w:t>
      </w:r>
      <w:proofErr w:type="spellStart"/>
      <w:r w:rsidR="0040255C" w:rsidRPr="00D215A7">
        <w:rPr>
          <w:rFonts w:ascii="Times New Roman" w:hAnsi="Times New Roman" w:cs="Times New Roman"/>
          <w:i/>
          <w:sz w:val="28"/>
          <w:szCs w:val="28"/>
        </w:rPr>
        <w:t>Karokora</w:t>
      </w:r>
      <w:proofErr w:type="spellEnd"/>
      <w:r w:rsidR="0040255C" w:rsidRPr="00D215A7">
        <w:rPr>
          <w:rFonts w:ascii="Times New Roman" w:hAnsi="Times New Roman" w:cs="Times New Roman"/>
          <w:i/>
          <w:sz w:val="28"/>
          <w:szCs w:val="28"/>
        </w:rPr>
        <w:t xml:space="preserve"> J, as he then was, </w:t>
      </w:r>
      <w:r w:rsidR="0040255C" w:rsidRPr="00D215A7">
        <w:rPr>
          <w:rFonts w:ascii="Times New Roman" w:hAnsi="Times New Roman" w:cs="Times New Roman"/>
          <w:sz w:val="28"/>
          <w:szCs w:val="28"/>
        </w:rPr>
        <w:t>that the notice in section 254 (now 255) of the</w:t>
      </w:r>
      <w:r w:rsidR="00EA68C6" w:rsidRPr="00D215A7">
        <w:rPr>
          <w:rFonts w:ascii="Times New Roman" w:hAnsi="Times New Roman" w:cs="Times New Roman"/>
          <w:sz w:val="28"/>
          <w:szCs w:val="28"/>
        </w:rPr>
        <w:t xml:space="preserve"> Succession Act is a mandatory s</w:t>
      </w:r>
      <w:r w:rsidR="0040255C" w:rsidRPr="00D215A7">
        <w:rPr>
          <w:rFonts w:ascii="Times New Roman" w:hAnsi="Times New Roman" w:cs="Times New Roman"/>
          <w:sz w:val="28"/>
          <w:szCs w:val="28"/>
        </w:rPr>
        <w:t xml:space="preserve">tatutory notice which must be effected on the </w:t>
      </w:r>
      <w:proofErr w:type="spellStart"/>
      <w:r w:rsidR="0040255C" w:rsidRPr="00D215A7">
        <w:rPr>
          <w:rFonts w:ascii="Times New Roman" w:hAnsi="Times New Roman" w:cs="Times New Roman"/>
          <w:sz w:val="28"/>
          <w:szCs w:val="28"/>
        </w:rPr>
        <w:t>caveator</w:t>
      </w:r>
      <w:proofErr w:type="spellEnd"/>
      <w:r w:rsidR="0040255C" w:rsidRPr="00D215A7">
        <w:rPr>
          <w:rFonts w:ascii="Times New Roman" w:hAnsi="Times New Roman" w:cs="Times New Roman"/>
          <w:sz w:val="28"/>
          <w:szCs w:val="28"/>
        </w:rPr>
        <w:t xml:space="preserve"> notifying him of an intended suit should he fail or refuse to remove the caveat.</w:t>
      </w:r>
      <w:r w:rsidR="002F409E" w:rsidRPr="00D215A7">
        <w:rPr>
          <w:rFonts w:ascii="Times New Roman" w:hAnsi="Times New Roman" w:cs="Times New Roman"/>
          <w:sz w:val="28"/>
          <w:szCs w:val="28"/>
        </w:rPr>
        <w:t xml:space="preserve"> In reaching the decision, </w:t>
      </w:r>
      <w:r w:rsidR="00356770" w:rsidRPr="00D215A7">
        <w:rPr>
          <w:rFonts w:ascii="Times New Roman" w:hAnsi="Times New Roman" w:cs="Times New Roman"/>
          <w:sz w:val="28"/>
          <w:szCs w:val="28"/>
        </w:rPr>
        <w:t>c</w:t>
      </w:r>
      <w:r w:rsidR="00643B7A" w:rsidRPr="00D215A7">
        <w:rPr>
          <w:rFonts w:ascii="Times New Roman" w:hAnsi="Times New Roman" w:cs="Times New Roman"/>
          <w:sz w:val="28"/>
          <w:szCs w:val="28"/>
        </w:rPr>
        <w:t>ourt</w:t>
      </w:r>
      <w:r w:rsidR="002F409E" w:rsidRPr="00D215A7">
        <w:rPr>
          <w:rFonts w:ascii="Times New Roman" w:hAnsi="Times New Roman" w:cs="Times New Roman"/>
          <w:sz w:val="28"/>
          <w:szCs w:val="28"/>
        </w:rPr>
        <w:t xml:space="preserve"> followed </w:t>
      </w:r>
      <w:proofErr w:type="spellStart"/>
      <w:r w:rsidR="002F409E" w:rsidRPr="00D215A7">
        <w:rPr>
          <w:rFonts w:ascii="Times New Roman" w:hAnsi="Times New Roman" w:cs="Times New Roman"/>
          <w:b/>
          <w:sz w:val="28"/>
          <w:szCs w:val="28"/>
        </w:rPr>
        <w:t>Namu</w:t>
      </w:r>
      <w:r w:rsidR="00356770" w:rsidRPr="00D215A7">
        <w:rPr>
          <w:rFonts w:ascii="Times New Roman" w:hAnsi="Times New Roman" w:cs="Times New Roman"/>
          <w:b/>
          <w:sz w:val="28"/>
          <w:szCs w:val="28"/>
        </w:rPr>
        <w:t>ngo</w:t>
      </w:r>
      <w:proofErr w:type="spellEnd"/>
      <w:r w:rsidR="00356770" w:rsidRPr="00D215A7">
        <w:rPr>
          <w:rFonts w:ascii="Times New Roman" w:hAnsi="Times New Roman" w:cs="Times New Roman"/>
          <w:b/>
          <w:sz w:val="28"/>
          <w:szCs w:val="28"/>
        </w:rPr>
        <w:t xml:space="preserve"> V </w:t>
      </w:r>
      <w:proofErr w:type="spellStart"/>
      <w:r w:rsidR="00356770" w:rsidRPr="00D215A7">
        <w:rPr>
          <w:rFonts w:ascii="Times New Roman" w:hAnsi="Times New Roman" w:cs="Times New Roman"/>
          <w:b/>
          <w:sz w:val="28"/>
          <w:szCs w:val="28"/>
        </w:rPr>
        <w:t>Kiryanku</w:t>
      </w:r>
      <w:r w:rsidR="002F409E" w:rsidRPr="00D215A7">
        <w:rPr>
          <w:rFonts w:ascii="Times New Roman" w:hAnsi="Times New Roman" w:cs="Times New Roman"/>
          <w:b/>
          <w:sz w:val="28"/>
          <w:szCs w:val="28"/>
        </w:rPr>
        <w:t>sa</w:t>
      </w:r>
      <w:proofErr w:type="spellEnd"/>
      <w:r w:rsidR="002F409E" w:rsidRPr="00D215A7">
        <w:rPr>
          <w:rFonts w:ascii="Times New Roman" w:hAnsi="Times New Roman" w:cs="Times New Roman"/>
          <w:b/>
          <w:sz w:val="28"/>
          <w:szCs w:val="28"/>
        </w:rPr>
        <w:t xml:space="preserve"> [1980] HCB 66 </w:t>
      </w:r>
      <w:r w:rsidR="0020741A" w:rsidRPr="00D215A7">
        <w:rPr>
          <w:rFonts w:ascii="Times New Roman" w:hAnsi="Times New Roman" w:cs="Times New Roman"/>
          <w:sz w:val="28"/>
          <w:szCs w:val="28"/>
        </w:rPr>
        <w:t>where it was held</w:t>
      </w:r>
      <w:r w:rsidR="0020741A" w:rsidRPr="00D215A7">
        <w:rPr>
          <w:rFonts w:ascii="Times New Roman" w:hAnsi="Times New Roman" w:cs="Times New Roman"/>
          <w:b/>
          <w:sz w:val="28"/>
          <w:szCs w:val="28"/>
        </w:rPr>
        <w:t xml:space="preserve"> </w:t>
      </w:r>
      <w:r w:rsidR="002F409E" w:rsidRPr="00D215A7">
        <w:rPr>
          <w:rFonts w:ascii="Times New Roman" w:hAnsi="Times New Roman" w:cs="Times New Roman"/>
          <w:sz w:val="28"/>
          <w:szCs w:val="28"/>
        </w:rPr>
        <w:t xml:space="preserve">that after service of the notice of intention to sue, and after the </w:t>
      </w:r>
      <w:proofErr w:type="spellStart"/>
      <w:r w:rsidR="002F409E" w:rsidRPr="00D215A7">
        <w:rPr>
          <w:rFonts w:ascii="Times New Roman" w:hAnsi="Times New Roman" w:cs="Times New Roman"/>
          <w:sz w:val="28"/>
          <w:szCs w:val="28"/>
        </w:rPr>
        <w:t>caveator</w:t>
      </w:r>
      <w:proofErr w:type="spellEnd"/>
      <w:r w:rsidR="002F409E" w:rsidRPr="00D215A7">
        <w:rPr>
          <w:rFonts w:ascii="Times New Roman" w:hAnsi="Times New Roman" w:cs="Times New Roman"/>
          <w:sz w:val="28"/>
          <w:szCs w:val="28"/>
        </w:rPr>
        <w:t xml:space="preserve"> has been served, the </w:t>
      </w:r>
      <w:proofErr w:type="spellStart"/>
      <w:r w:rsidR="002F409E" w:rsidRPr="00D215A7">
        <w:rPr>
          <w:rFonts w:ascii="Times New Roman" w:hAnsi="Times New Roman" w:cs="Times New Roman"/>
          <w:sz w:val="28"/>
          <w:szCs w:val="28"/>
        </w:rPr>
        <w:t>caveator</w:t>
      </w:r>
      <w:proofErr w:type="spellEnd"/>
      <w:r w:rsidR="002F409E" w:rsidRPr="00D215A7">
        <w:rPr>
          <w:rFonts w:ascii="Times New Roman" w:hAnsi="Times New Roman" w:cs="Times New Roman"/>
          <w:sz w:val="28"/>
          <w:szCs w:val="28"/>
        </w:rPr>
        <w:t xml:space="preserve"> would be served with the normal papers in a regular civil suit provided under section 265 of the Succession Act. The a</w:t>
      </w:r>
      <w:r w:rsidR="007060E8" w:rsidRPr="00D215A7">
        <w:rPr>
          <w:rFonts w:ascii="Times New Roman" w:hAnsi="Times New Roman" w:cs="Times New Roman"/>
          <w:sz w:val="28"/>
          <w:szCs w:val="28"/>
        </w:rPr>
        <w:t>pplicant in the administration c</w:t>
      </w:r>
      <w:r w:rsidR="002F409E" w:rsidRPr="00D215A7">
        <w:rPr>
          <w:rFonts w:ascii="Times New Roman" w:hAnsi="Times New Roman" w:cs="Times New Roman"/>
          <w:sz w:val="28"/>
          <w:szCs w:val="28"/>
        </w:rPr>
        <w:t xml:space="preserve">ause would become the plaintiff while the </w:t>
      </w:r>
      <w:proofErr w:type="spellStart"/>
      <w:r w:rsidR="002F409E" w:rsidRPr="00D215A7">
        <w:rPr>
          <w:rFonts w:ascii="Times New Roman" w:hAnsi="Times New Roman" w:cs="Times New Roman"/>
          <w:sz w:val="28"/>
          <w:szCs w:val="28"/>
        </w:rPr>
        <w:t>caveator</w:t>
      </w:r>
      <w:proofErr w:type="spellEnd"/>
      <w:r w:rsidR="002F409E" w:rsidRPr="00D215A7">
        <w:rPr>
          <w:rFonts w:ascii="Times New Roman" w:hAnsi="Times New Roman" w:cs="Times New Roman"/>
          <w:sz w:val="28"/>
          <w:szCs w:val="28"/>
        </w:rPr>
        <w:t xml:space="preserve"> would become the defendant</w:t>
      </w:r>
      <w:r w:rsidR="000E75CE" w:rsidRPr="00D215A7">
        <w:rPr>
          <w:rFonts w:ascii="Times New Roman" w:hAnsi="Times New Roman" w:cs="Times New Roman"/>
          <w:sz w:val="28"/>
          <w:szCs w:val="28"/>
        </w:rPr>
        <w:t>.</w:t>
      </w:r>
    </w:p>
    <w:p w:rsidR="0040255C" w:rsidRPr="00D215A7" w:rsidRDefault="00DB518B" w:rsidP="002A65AE">
      <w:pPr>
        <w:jc w:val="both"/>
        <w:rPr>
          <w:rFonts w:ascii="Times New Roman" w:hAnsi="Times New Roman" w:cs="Times New Roman"/>
          <w:sz w:val="28"/>
          <w:szCs w:val="28"/>
        </w:rPr>
      </w:pPr>
      <w:r w:rsidRPr="00D215A7">
        <w:rPr>
          <w:rFonts w:ascii="Times New Roman" w:hAnsi="Times New Roman" w:cs="Times New Roman"/>
          <w:sz w:val="28"/>
          <w:szCs w:val="28"/>
        </w:rPr>
        <w:lastRenderedPageBreak/>
        <w:t xml:space="preserve">The circumstances </w:t>
      </w:r>
      <w:r w:rsidR="00132DC2" w:rsidRPr="00D215A7">
        <w:rPr>
          <w:rFonts w:ascii="Times New Roman" w:hAnsi="Times New Roman" w:cs="Times New Roman"/>
          <w:sz w:val="28"/>
          <w:szCs w:val="28"/>
        </w:rPr>
        <w:t>of</w:t>
      </w:r>
      <w:r w:rsidRPr="00D215A7">
        <w:rPr>
          <w:rFonts w:ascii="Times New Roman" w:hAnsi="Times New Roman" w:cs="Times New Roman"/>
          <w:sz w:val="28"/>
          <w:szCs w:val="28"/>
        </w:rPr>
        <w:t xml:space="preserve"> the instant PO are similar</w:t>
      </w:r>
      <w:r w:rsidR="00D119C9" w:rsidRPr="00D215A7">
        <w:rPr>
          <w:rFonts w:ascii="Times New Roman" w:hAnsi="Times New Roman" w:cs="Times New Roman"/>
          <w:sz w:val="28"/>
          <w:szCs w:val="28"/>
        </w:rPr>
        <w:t>, on all fours,</w:t>
      </w:r>
      <w:r w:rsidRPr="00D215A7">
        <w:rPr>
          <w:rFonts w:ascii="Times New Roman" w:hAnsi="Times New Roman" w:cs="Times New Roman"/>
          <w:sz w:val="28"/>
          <w:szCs w:val="28"/>
        </w:rPr>
        <w:t xml:space="preserve"> to those in</w:t>
      </w:r>
      <w:r w:rsidR="00C529FF" w:rsidRPr="00D215A7">
        <w:rPr>
          <w:rFonts w:ascii="Times New Roman" w:hAnsi="Times New Roman" w:cs="Times New Roman"/>
          <w:b/>
          <w:sz w:val="28"/>
          <w:szCs w:val="28"/>
        </w:rPr>
        <w:t xml:space="preserve"> Margret </w:t>
      </w:r>
      <w:proofErr w:type="spellStart"/>
      <w:r w:rsidR="00C529FF" w:rsidRPr="00D215A7">
        <w:rPr>
          <w:rFonts w:ascii="Times New Roman" w:hAnsi="Times New Roman" w:cs="Times New Roman"/>
          <w:b/>
          <w:sz w:val="28"/>
          <w:szCs w:val="28"/>
        </w:rPr>
        <w:t>Kabahunguli</w:t>
      </w:r>
      <w:proofErr w:type="spellEnd"/>
      <w:r w:rsidR="00C529FF" w:rsidRPr="00D215A7">
        <w:rPr>
          <w:rFonts w:ascii="Times New Roman" w:hAnsi="Times New Roman" w:cs="Times New Roman"/>
          <w:b/>
          <w:sz w:val="28"/>
          <w:szCs w:val="28"/>
        </w:rPr>
        <w:t xml:space="preserve"> V </w:t>
      </w:r>
      <w:proofErr w:type="spellStart"/>
      <w:r w:rsidR="00C529FF" w:rsidRPr="00D215A7">
        <w:rPr>
          <w:rFonts w:ascii="Times New Roman" w:hAnsi="Times New Roman" w:cs="Times New Roman"/>
          <w:b/>
          <w:sz w:val="28"/>
          <w:szCs w:val="28"/>
        </w:rPr>
        <w:t>Eliazali</w:t>
      </w:r>
      <w:proofErr w:type="spellEnd"/>
      <w:r w:rsidR="00C529FF" w:rsidRPr="00D215A7">
        <w:rPr>
          <w:rFonts w:ascii="Times New Roman" w:hAnsi="Times New Roman" w:cs="Times New Roman"/>
          <w:b/>
          <w:sz w:val="28"/>
          <w:szCs w:val="28"/>
        </w:rPr>
        <w:t xml:space="preserve"> </w:t>
      </w:r>
      <w:proofErr w:type="spellStart"/>
      <w:r w:rsidR="00C529FF" w:rsidRPr="00D215A7">
        <w:rPr>
          <w:rFonts w:ascii="Times New Roman" w:hAnsi="Times New Roman" w:cs="Times New Roman"/>
          <w:b/>
          <w:sz w:val="28"/>
          <w:szCs w:val="28"/>
        </w:rPr>
        <w:t>Tibekinga</w:t>
      </w:r>
      <w:proofErr w:type="spellEnd"/>
      <w:r w:rsidR="00C529FF" w:rsidRPr="00D215A7">
        <w:rPr>
          <w:rFonts w:ascii="Times New Roman" w:hAnsi="Times New Roman" w:cs="Times New Roman"/>
          <w:b/>
          <w:sz w:val="28"/>
          <w:szCs w:val="28"/>
        </w:rPr>
        <w:t xml:space="preserve"> &amp; Another</w:t>
      </w:r>
      <w:r w:rsidR="00C529FF" w:rsidRPr="00D215A7">
        <w:rPr>
          <w:rFonts w:ascii="Times New Roman" w:hAnsi="Times New Roman" w:cs="Times New Roman"/>
          <w:sz w:val="28"/>
          <w:szCs w:val="28"/>
        </w:rPr>
        <w:t xml:space="preserve"> cited above. It is clear from the said case decision</w:t>
      </w:r>
      <w:r w:rsidR="00073217" w:rsidRPr="00D215A7">
        <w:rPr>
          <w:rFonts w:ascii="Times New Roman" w:hAnsi="Times New Roman" w:cs="Times New Roman"/>
          <w:sz w:val="28"/>
          <w:szCs w:val="28"/>
        </w:rPr>
        <w:t>,</w:t>
      </w:r>
      <w:r w:rsidR="00C529FF" w:rsidRPr="00D215A7">
        <w:rPr>
          <w:rFonts w:ascii="Times New Roman" w:hAnsi="Times New Roman" w:cs="Times New Roman"/>
          <w:sz w:val="28"/>
          <w:szCs w:val="28"/>
        </w:rPr>
        <w:t xml:space="preserve"> and section 255 of the Succession Act</w:t>
      </w:r>
      <w:r w:rsidR="00073217" w:rsidRPr="00D215A7">
        <w:rPr>
          <w:rFonts w:ascii="Times New Roman" w:hAnsi="Times New Roman" w:cs="Times New Roman"/>
          <w:sz w:val="28"/>
          <w:szCs w:val="28"/>
        </w:rPr>
        <w:t>,</w:t>
      </w:r>
      <w:r w:rsidR="00C529FF" w:rsidRPr="00D215A7">
        <w:rPr>
          <w:rFonts w:ascii="Times New Roman" w:hAnsi="Times New Roman" w:cs="Times New Roman"/>
          <w:sz w:val="28"/>
          <w:szCs w:val="28"/>
        </w:rPr>
        <w:t xml:space="preserve"> that before the suit is filed</w:t>
      </w:r>
      <w:r w:rsidR="00073217" w:rsidRPr="00D215A7">
        <w:rPr>
          <w:rFonts w:ascii="Times New Roman" w:hAnsi="Times New Roman" w:cs="Times New Roman"/>
          <w:sz w:val="28"/>
          <w:szCs w:val="28"/>
        </w:rPr>
        <w:t>,</w:t>
      </w:r>
      <w:r w:rsidR="00C529FF" w:rsidRPr="00D215A7">
        <w:rPr>
          <w:rFonts w:ascii="Times New Roman" w:hAnsi="Times New Roman" w:cs="Times New Roman"/>
          <w:sz w:val="28"/>
          <w:szCs w:val="28"/>
        </w:rPr>
        <w:t xml:space="preserve"> the </w:t>
      </w:r>
      <w:proofErr w:type="spellStart"/>
      <w:r w:rsidR="00C529FF" w:rsidRPr="00D215A7">
        <w:rPr>
          <w:rFonts w:ascii="Times New Roman" w:hAnsi="Times New Roman" w:cs="Times New Roman"/>
          <w:sz w:val="28"/>
          <w:szCs w:val="28"/>
        </w:rPr>
        <w:t>caveator</w:t>
      </w:r>
      <w:proofErr w:type="spellEnd"/>
      <w:r w:rsidR="00C529FF" w:rsidRPr="00D215A7">
        <w:rPr>
          <w:rFonts w:ascii="Times New Roman" w:hAnsi="Times New Roman" w:cs="Times New Roman"/>
          <w:sz w:val="28"/>
          <w:szCs w:val="28"/>
        </w:rPr>
        <w:t xml:space="preserve"> must be served with notice of the intended suit to compel him/her to remove the caveat if he</w:t>
      </w:r>
      <w:r w:rsidR="00132DC2" w:rsidRPr="00D215A7">
        <w:rPr>
          <w:rFonts w:ascii="Times New Roman" w:hAnsi="Times New Roman" w:cs="Times New Roman"/>
          <w:sz w:val="28"/>
          <w:szCs w:val="28"/>
        </w:rPr>
        <w:t>/she</w:t>
      </w:r>
      <w:r w:rsidR="00C529FF" w:rsidRPr="00D215A7">
        <w:rPr>
          <w:rFonts w:ascii="Times New Roman" w:hAnsi="Times New Roman" w:cs="Times New Roman"/>
          <w:sz w:val="28"/>
          <w:szCs w:val="28"/>
        </w:rPr>
        <w:t xml:space="preserve"> does not lift it on his</w:t>
      </w:r>
      <w:r w:rsidR="00E50015" w:rsidRPr="00D215A7">
        <w:rPr>
          <w:rFonts w:ascii="Times New Roman" w:hAnsi="Times New Roman" w:cs="Times New Roman"/>
          <w:sz w:val="28"/>
          <w:szCs w:val="28"/>
        </w:rPr>
        <w:t>/her</w:t>
      </w:r>
      <w:r w:rsidR="00C529FF" w:rsidRPr="00D215A7">
        <w:rPr>
          <w:rFonts w:ascii="Times New Roman" w:hAnsi="Times New Roman" w:cs="Times New Roman"/>
          <w:sz w:val="28"/>
          <w:szCs w:val="28"/>
        </w:rPr>
        <w:t xml:space="preserve"> own. The notice </w:t>
      </w:r>
      <w:r w:rsidR="002B2EBC" w:rsidRPr="00D215A7">
        <w:rPr>
          <w:rFonts w:ascii="Times New Roman" w:hAnsi="Times New Roman" w:cs="Times New Roman"/>
          <w:sz w:val="28"/>
          <w:szCs w:val="28"/>
        </w:rPr>
        <w:t xml:space="preserve">is </w:t>
      </w:r>
      <w:r w:rsidR="00C529FF" w:rsidRPr="00D215A7">
        <w:rPr>
          <w:rFonts w:ascii="Times New Roman" w:hAnsi="Times New Roman" w:cs="Times New Roman"/>
          <w:sz w:val="28"/>
          <w:szCs w:val="28"/>
        </w:rPr>
        <w:t xml:space="preserve">served on the </w:t>
      </w:r>
      <w:proofErr w:type="spellStart"/>
      <w:r w:rsidR="00C529FF" w:rsidRPr="00D215A7">
        <w:rPr>
          <w:rFonts w:ascii="Times New Roman" w:hAnsi="Times New Roman" w:cs="Times New Roman"/>
          <w:sz w:val="28"/>
          <w:szCs w:val="28"/>
        </w:rPr>
        <w:t>caveator</w:t>
      </w:r>
      <w:proofErr w:type="spellEnd"/>
      <w:r w:rsidR="00C529FF" w:rsidRPr="00D215A7">
        <w:rPr>
          <w:rFonts w:ascii="Times New Roman" w:hAnsi="Times New Roman" w:cs="Times New Roman"/>
          <w:sz w:val="28"/>
          <w:szCs w:val="28"/>
        </w:rPr>
        <w:t>/intended defendant</w:t>
      </w:r>
      <w:r w:rsidR="005E68EB" w:rsidRPr="00D215A7">
        <w:rPr>
          <w:rFonts w:ascii="Times New Roman" w:hAnsi="Times New Roman" w:cs="Times New Roman"/>
          <w:sz w:val="28"/>
          <w:szCs w:val="28"/>
        </w:rPr>
        <w:t xml:space="preserve">, stating the matter in dispute and referring to the caveat. When the notice expires before the </w:t>
      </w:r>
      <w:proofErr w:type="spellStart"/>
      <w:r w:rsidR="005E68EB" w:rsidRPr="00D215A7">
        <w:rPr>
          <w:rFonts w:ascii="Times New Roman" w:hAnsi="Times New Roman" w:cs="Times New Roman"/>
          <w:sz w:val="28"/>
          <w:szCs w:val="28"/>
        </w:rPr>
        <w:t>caveator</w:t>
      </w:r>
      <w:proofErr w:type="spellEnd"/>
      <w:r w:rsidR="005E68EB" w:rsidRPr="00D215A7">
        <w:rPr>
          <w:rFonts w:ascii="Times New Roman" w:hAnsi="Times New Roman" w:cs="Times New Roman"/>
          <w:sz w:val="28"/>
          <w:szCs w:val="28"/>
        </w:rPr>
        <w:t xml:space="preserve"> has removed the caveat</w:t>
      </w:r>
      <w:r w:rsidR="009E738C" w:rsidRPr="00D215A7">
        <w:rPr>
          <w:rFonts w:ascii="Times New Roman" w:hAnsi="Times New Roman" w:cs="Times New Roman"/>
          <w:sz w:val="28"/>
          <w:szCs w:val="28"/>
        </w:rPr>
        <w:t>,</w:t>
      </w:r>
      <w:r w:rsidR="005E68EB" w:rsidRPr="00D215A7">
        <w:rPr>
          <w:rFonts w:ascii="Times New Roman" w:hAnsi="Times New Roman" w:cs="Times New Roman"/>
          <w:sz w:val="28"/>
          <w:szCs w:val="28"/>
        </w:rPr>
        <w:t xml:space="preserve"> the applicant would then file the suit becoming the pla</w:t>
      </w:r>
      <w:r w:rsidR="009E738C" w:rsidRPr="00D215A7">
        <w:rPr>
          <w:rFonts w:ascii="Times New Roman" w:hAnsi="Times New Roman" w:cs="Times New Roman"/>
          <w:sz w:val="28"/>
          <w:szCs w:val="28"/>
        </w:rPr>
        <w:t xml:space="preserve">intiff against the </w:t>
      </w:r>
      <w:proofErr w:type="spellStart"/>
      <w:r w:rsidR="009E738C" w:rsidRPr="00D215A7">
        <w:rPr>
          <w:rFonts w:ascii="Times New Roman" w:hAnsi="Times New Roman" w:cs="Times New Roman"/>
          <w:sz w:val="28"/>
          <w:szCs w:val="28"/>
        </w:rPr>
        <w:t>caveator</w:t>
      </w:r>
      <w:proofErr w:type="spellEnd"/>
      <w:r w:rsidR="009E738C" w:rsidRPr="00D215A7">
        <w:rPr>
          <w:rFonts w:ascii="Times New Roman" w:hAnsi="Times New Roman" w:cs="Times New Roman"/>
          <w:sz w:val="28"/>
          <w:szCs w:val="28"/>
        </w:rPr>
        <w:t xml:space="preserve"> who</w:t>
      </w:r>
      <w:r w:rsidR="005E68EB" w:rsidRPr="00D215A7">
        <w:rPr>
          <w:rFonts w:ascii="Times New Roman" w:hAnsi="Times New Roman" w:cs="Times New Roman"/>
          <w:sz w:val="28"/>
          <w:szCs w:val="28"/>
        </w:rPr>
        <w:t xml:space="preserve"> would become the defendant. The suit would then proceed as a normal suit as envisaged by section 265 of the Succession Act.</w:t>
      </w:r>
      <w:r w:rsidR="004A7D03" w:rsidRPr="00D215A7">
        <w:rPr>
          <w:rFonts w:ascii="Times New Roman" w:hAnsi="Times New Roman" w:cs="Times New Roman"/>
          <w:sz w:val="28"/>
          <w:szCs w:val="28"/>
        </w:rPr>
        <w:t xml:space="preserve"> I find no reason to depart from th</w:t>
      </w:r>
      <w:r w:rsidR="008E7849" w:rsidRPr="00D215A7">
        <w:rPr>
          <w:rFonts w:ascii="Times New Roman" w:hAnsi="Times New Roman" w:cs="Times New Roman"/>
          <w:sz w:val="28"/>
          <w:szCs w:val="28"/>
        </w:rPr>
        <w:t>is</w:t>
      </w:r>
      <w:r w:rsidR="004A7D03" w:rsidRPr="00D215A7">
        <w:rPr>
          <w:rFonts w:ascii="Times New Roman" w:hAnsi="Times New Roman" w:cs="Times New Roman"/>
          <w:sz w:val="28"/>
          <w:szCs w:val="28"/>
        </w:rPr>
        <w:t xml:space="preserve"> decision.</w:t>
      </w:r>
    </w:p>
    <w:p w:rsidR="003D7D8B" w:rsidRPr="00D215A7" w:rsidRDefault="00D368B0" w:rsidP="003D7D8B">
      <w:pPr>
        <w:jc w:val="both"/>
        <w:rPr>
          <w:rFonts w:ascii="Times New Roman" w:hAnsi="Times New Roman" w:cs="Times New Roman"/>
          <w:sz w:val="28"/>
          <w:szCs w:val="28"/>
        </w:rPr>
      </w:pPr>
      <w:r w:rsidRPr="00D215A7">
        <w:rPr>
          <w:rFonts w:ascii="Times New Roman" w:hAnsi="Times New Roman" w:cs="Times New Roman"/>
          <w:sz w:val="28"/>
          <w:szCs w:val="28"/>
        </w:rPr>
        <w:t xml:space="preserve">I do not agree with </w:t>
      </w:r>
      <w:r w:rsidR="00147D93" w:rsidRPr="00D215A7">
        <w:rPr>
          <w:rFonts w:ascii="Times New Roman" w:hAnsi="Times New Roman" w:cs="Times New Roman"/>
          <w:sz w:val="28"/>
          <w:szCs w:val="28"/>
        </w:rPr>
        <w:t>the applicants/plaintiff</w:t>
      </w:r>
      <w:r w:rsidRPr="00D215A7">
        <w:rPr>
          <w:rFonts w:ascii="Times New Roman" w:hAnsi="Times New Roman" w:cs="Times New Roman"/>
          <w:sz w:val="28"/>
          <w:szCs w:val="28"/>
        </w:rPr>
        <w:t>s</w:t>
      </w:r>
      <w:r w:rsidR="00147D93" w:rsidRPr="00D215A7">
        <w:rPr>
          <w:rFonts w:ascii="Times New Roman" w:hAnsi="Times New Roman" w:cs="Times New Roman"/>
          <w:sz w:val="28"/>
          <w:szCs w:val="28"/>
        </w:rPr>
        <w:t>’</w:t>
      </w:r>
      <w:r w:rsidRPr="00D215A7">
        <w:rPr>
          <w:rFonts w:ascii="Times New Roman" w:hAnsi="Times New Roman" w:cs="Times New Roman"/>
          <w:sz w:val="28"/>
          <w:szCs w:val="28"/>
        </w:rPr>
        <w:t xml:space="preserve"> counsel</w:t>
      </w:r>
      <w:r w:rsidR="00147D93" w:rsidRPr="00D215A7">
        <w:rPr>
          <w:rFonts w:ascii="Times New Roman" w:hAnsi="Times New Roman" w:cs="Times New Roman"/>
          <w:sz w:val="28"/>
          <w:szCs w:val="28"/>
        </w:rPr>
        <w:t>’s</w:t>
      </w:r>
      <w:r w:rsidRPr="00D215A7">
        <w:rPr>
          <w:rFonts w:ascii="Times New Roman" w:hAnsi="Times New Roman" w:cs="Times New Roman"/>
          <w:sz w:val="28"/>
          <w:szCs w:val="28"/>
        </w:rPr>
        <w:t xml:space="preserve"> </w:t>
      </w:r>
      <w:r w:rsidR="00147D93" w:rsidRPr="00D215A7">
        <w:rPr>
          <w:rFonts w:ascii="Times New Roman" w:hAnsi="Times New Roman" w:cs="Times New Roman"/>
          <w:sz w:val="28"/>
          <w:szCs w:val="28"/>
        </w:rPr>
        <w:t>arguments</w:t>
      </w:r>
      <w:r w:rsidR="007B56A2" w:rsidRPr="00D215A7">
        <w:rPr>
          <w:rFonts w:ascii="Times New Roman" w:hAnsi="Times New Roman" w:cs="Times New Roman"/>
          <w:sz w:val="28"/>
          <w:szCs w:val="28"/>
        </w:rPr>
        <w:t>, with respect,</w:t>
      </w:r>
      <w:r w:rsidR="00147D93" w:rsidRPr="00D215A7">
        <w:rPr>
          <w:rFonts w:ascii="Times New Roman" w:hAnsi="Times New Roman" w:cs="Times New Roman"/>
          <w:sz w:val="28"/>
          <w:szCs w:val="28"/>
        </w:rPr>
        <w:t xml:space="preserve"> </w:t>
      </w:r>
      <w:r w:rsidRPr="00D215A7">
        <w:rPr>
          <w:rFonts w:ascii="Times New Roman" w:hAnsi="Times New Roman" w:cs="Times New Roman"/>
          <w:sz w:val="28"/>
          <w:szCs w:val="28"/>
        </w:rPr>
        <w:t>that</w:t>
      </w:r>
      <w:r w:rsidR="00B2610F" w:rsidRPr="00D215A7">
        <w:rPr>
          <w:rFonts w:ascii="Times New Roman" w:hAnsi="Times New Roman" w:cs="Times New Roman"/>
          <w:sz w:val="28"/>
          <w:szCs w:val="28"/>
        </w:rPr>
        <w:t xml:space="preserve"> the</w:t>
      </w:r>
      <w:r w:rsidRPr="00D215A7">
        <w:rPr>
          <w:rFonts w:ascii="Times New Roman" w:hAnsi="Times New Roman" w:cs="Times New Roman"/>
          <w:sz w:val="28"/>
          <w:szCs w:val="28"/>
        </w:rPr>
        <w:t xml:space="preserve"> </w:t>
      </w:r>
      <w:r w:rsidR="003D7D8B" w:rsidRPr="00D215A7">
        <w:rPr>
          <w:rFonts w:ascii="Times New Roman" w:hAnsi="Times New Roman" w:cs="Times New Roman"/>
          <w:sz w:val="28"/>
          <w:szCs w:val="28"/>
        </w:rPr>
        <w:t xml:space="preserve">section was about no action being taken on any application for probate or letters of administration without notice to the </w:t>
      </w:r>
      <w:proofErr w:type="spellStart"/>
      <w:r w:rsidR="003D7D8B" w:rsidRPr="00D215A7">
        <w:rPr>
          <w:rFonts w:ascii="Times New Roman" w:hAnsi="Times New Roman" w:cs="Times New Roman"/>
          <w:sz w:val="28"/>
          <w:szCs w:val="28"/>
        </w:rPr>
        <w:t>caveator</w:t>
      </w:r>
      <w:proofErr w:type="spellEnd"/>
      <w:r w:rsidR="00AD0885" w:rsidRPr="00D215A7">
        <w:rPr>
          <w:rFonts w:ascii="Times New Roman" w:hAnsi="Times New Roman" w:cs="Times New Roman"/>
          <w:sz w:val="28"/>
          <w:szCs w:val="28"/>
        </w:rPr>
        <w:t xml:space="preserve"> and</w:t>
      </w:r>
      <w:r w:rsidR="003D7D8B" w:rsidRPr="00D215A7">
        <w:rPr>
          <w:rFonts w:ascii="Times New Roman" w:hAnsi="Times New Roman" w:cs="Times New Roman"/>
          <w:sz w:val="28"/>
          <w:szCs w:val="28"/>
        </w:rPr>
        <w:t xml:space="preserve"> not the suit that seeks removal of a caveat. This very </w:t>
      </w:r>
      <w:r w:rsidR="00A21289" w:rsidRPr="00D215A7">
        <w:rPr>
          <w:rFonts w:ascii="Times New Roman" w:hAnsi="Times New Roman" w:cs="Times New Roman"/>
          <w:sz w:val="28"/>
          <w:szCs w:val="28"/>
        </w:rPr>
        <w:t xml:space="preserve">submission </w:t>
      </w:r>
      <w:r w:rsidR="00CE36D2" w:rsidRPr="00D215A7">
        <w:rPr>
          <w:rFonts w:ascii="Times New Roman" w:hAnsi="Times New Roman" w:cs="Times New Roman"/>
          <w:sz w:val="28"/>
          <w:szCs w:val="28"/>
        </w:rPr>
        <w:t xml:space="preserve">was </w:t>
      </w:r>
      <w:r w:rsidR="004E5A13" w:rsidRPr="00D215A7">
        <w:rPr>
          <w:rFonts w:ascii="Times New Roman" w:hAnsi="Times New Roman" w:cs="Times New Roman"/>
          <w:sz w:val="28"/>
          <w:szCs w:val="28"/>
        </w:rPr>
        <w:t xml:space="preserve">made </w:t>
      </w:r>
      <w:r w:rsidR="00CE36D2" w:rsidRPr="00D215A7">
        <w:rPr>
          <w:rFonts w:ascii="Times New Roman" w:hAnsi="Times New Roman" w:cs="Times New Roman"/>
          <w:sz w:val="28"/>
          <w:szCs w:val="28"/>
        </w:rPr>
        <w:t>by</w:t>
      </w:r>
      <w:r w:rsidR="003D7D8B" w:rsidRPr="00D215A7">
        <w:rPr>
          <w:rFonts w:ascii="Times New Roman" w:hAnsi="Times New Roman" w:cs="Times New Roman"/>
          <w:sz w:val="28"/>
          <w:szCs w:val="28"/>
        </w:rPr>
        <w:t xml:space="preserve"> the respondent’s counsel in the cited case of </w:t>
      </w:r>
      <w:r w:rsidR="003D7D8B" w:rsidRPr="00D215A7">
        <w:rPr>
          <w:rFonts w:ascii="Times New Roman" w:hAnsi="Times New Roman" w:cs="Times New Roman"/>
          <w:b/>
          <w:sz w:val="28"/>
          <w:szCs w:val="28"/>
        </w:rPr>
        <w:t xml:space="preserve">Margret </w:t>
      </w:r>
      <w:proofErr w:type="spellStart"/>
      <w:r w:rsidR="003D7D8B" w:rsidRPr="00D215A7">
        <w:rPr>
          <w:rFonts w:ascii="Times New Roman" w:hAnsi="Times New Roman" w:cs="Times New Roman"/>
          <w:b/>
          <w:sz w:val="28"/>
          <w:szCs w:val="28"/>
        </w:rPr>
        <w:t>Kabahunguli</w:t>
      </w:r>
      <w:proofErr w:type="spellEnd"/>
      <w:r w:rsidR="003D7D8B" w:rsidRPr="00D215A7">
        <w:rPr>
          <w:rFonts w:ascii="Times New Roman" w:hAnsi="Times New Roman" w:cs="Times New Roman"/>
          <w:b/>
          <w:sz w:val="28"/>
          <w:szCs w:val="28"/>
        </w:rPr>
        <w:t xml:space="preserve"> </w:t>
      </w:r>
      <w:r w:rsidR="003D7D8B" w:rsidRPr="00D215A7">
        <w:rPr>
          <w:rFonts w:ascii="Times New Roman" w:hAnsi="Times New Roman" w:cs="Times New Roman"/>
          <w:sz w:val="28"/>
          <w:szCs w:val="28"/>
        </w:rPr>
        <w:t xml:space="preserve">and was rejected by the Judge. </w:t>
      </w:r>
      <w:r w:rsidR="000478D5" w:rsidRPr="00D215A7">
        <w:rPr>
          <w:rFonts w:ascii="Times New Roman" w:hAnsi="Times New Roman" w:cs="Times New Roman"/>
          <w:sz w:val="28"/>
          <w:szCs w:val="28"/>
        </w:rPr>
        <w:t>The essence of section 255 is that once a caveat is lodged on a petition for probate or letters of administration</w:t>
      </w:r>
      <w:r w:rsidR="004458BD" w:rsidRPr="00D215A7">
        <w:rPr>
          <w:rFonts w:ascii="Times New Roman" w:hAnsi="Times New Roman" w:cs="Times New Roman"/>
          <w:sz w:val="28"/>
          <w:szCs w:val="28"/>
        </w:rPr>
        <w:t>,</w:t>
      </w:r>
      <w:r w:rsidR="000478D5" w:rsidRPr="00D215A7">
        <w:rPr>
          <w:rFonts w:ascii="Times New Roman" w:hAnsi="Times New Roman" w:cs="Times New Roman"/>
          <w:sz w:val="28"/>
          <w:szCs w:val="28"/>
        </w:rPr>
        <w:t xml:space="preserve"> no action in</w:t>
      </w:r>
      <w:r w:rsidR="00EF597E" w:rsidRPr="00D215A7">
        <w:rPr>
          <w:rFonts w:ascii="Times New Roman" w:hAnsi="Times New Roman" w:cs="Times New Roman"/>
          <w:sz w:val="28"/>
          <w:szCs w:val="28"/>
        </w:rPr>
        <w:t xml:space="preserve"> whatever form or manner can be </w:t>
      </w:r>
      <w:r w:rsidR="000478D5" w:rsidRPr="00D215A7">
        <w:rPr>
          <w:rFonts w:ascii="Times New Roman" w:hAnsi="Times New Roman" w:cs="Times New Roman"/>
          <w:sz w:val="28"/>
          <w:szCs w:val="28"/>
        </w:rPr>
        <w:t>commenced</w:t>
      </w:r>
      <w:r w:rsidR="00E75234" w:rsidRPr="00D215A7">
        <w:rPr>
          <w:rFonts w:ascii="Times New Roman" w:hAnsi="Times New Roman" w:cs="Times New Roman"/>
          <w:sz w:val="28"/>
          <w:szCs w:val="28"/>
        </w:rPr>
        <w:t xml:space="preserve"> on the matter without prior notice having been given to the </w:t>
      </w:r>
      <w:proofErr w:type="spellStart"/>
      <w:r w:rsidR="00E75234" w:rsidRPr="00D215A7">
        <w:rPr>
          <w:rFonts w:ascii="Times New Roman" w:hAnsi="Times New Roman" w:cs="Times New Roman"/>
          <w:sz w:val="28"/>
          <w:szCs w:val="28"/>
        </w:rPr>
        <w:t>caveator</w:t>
      </w:r>
      <w:proofErr w:type="spellEnd"/>
      <w:r w:rsidR="00E75234" w:rsidRPr="00D215A7">
        <w:rPr>
          <w:rFonts w:ascii="Times New Roman" w:hAnsi="Times New Roman" w:cs="Times New Roman"/>
          <w:sz w:val="28"/>
          <w:szCs w:val="28"/>
        </w:rPr>
        <w:t>.</w:t>
      </w:r>
      <w:r w:rsidR="00533472" w:rsidRPr="00D215A7">
        <w:rPr>
          <w:rFonts w:ascii="Times New Roman" w:hAnsi="Times New Roman" w:cs="Times New Roman"/>
          <w:sz w:val="28"/>
          <w:szCs w:val="28"/>
        </w:rPr>
        <w:t xml:space="preserve"> In my opinion, this renders the matter contentious.</w:t>
      </w:r>
      <w:r w:rsidR="00E75234" w:rsidRPr="00D215A7">
        <w:rPr>
          <w:rFonts w:ascii="Times New Roman" w:hAnsi="Times New Roman" w:cs="Times New Roman"/>
          <w:sz w:val="28"/>
          <w:szCs w:val="28"/>
        </w:rPr>
        <w:t xml:space="preserve"> Thus</w:t>
      </w:r>
      <w:r w:rsidR="00621D0F" w:rsidRPr="00D215A7">
        <w:rPr>
          <w:rFonts w:ascii="Times New Roman" w:hAnsi="Times New Roman" w:cs="Times New Roman"/>
          <w:sz w:val="28"/>
          <w:szCs w:val="28"/>
        </w:rPr>
        <w:t>,</w:t>
      </w:r>
      <w:r w:rsidR="00E75234" w:rsidRPr="00D215A7">
        <w:rPr>
          <w:rFonts w:ascii="Times New Roman" w:hAnsi="Times New Roman" w:cs="Times New Roman"/>
          <w:sz w:val="28"/>
          <w:szCs w:val="28"/>
        </w:rPr>
        <w:t xml:space="preserve"> there can be no identification of the applicants by the Registrar of the court (prelim</w:t>
      </w:r>
      <w:r w:rsidR="00856D16" w:rsidRPr="00D215A7">
        <w:rPr>
          <w:rFonts w:ascii="Times New Roman" w:hAnsi="Times New Roman" w:cs="Times New Roman"/>
          <w:sz w:val="28"/>
          <w:szCs w:val="28"/>
        </w:rPr>
        <w:t>inary proceedings to the grant)</w:t>
      </w:r>
      <w:r w:rsidR="00831632" w:rsidRPr="00D215A7">
        <w:rPr>
          <w:rFonts w:ascii="Times New Roman" w:hAnsi="Times New Roman" w:cs="Times New Roman"/>
          <w:sz w:val="28"/>
          <w:szCs w:val="28"/>
        </w:rPr>
        <w:t xml:space="preserve">, </w:t>
      </w:r>
      <w:r w:rsidR="00621D0F" w:rsidRPr="00D215A7">
        <w:rPr>
          <w:rFonts w:ascii="Times New Roman" w:hAnsi="Times New Roman" w:cs="Times New Roman"/>
          <w:sz w:val="28"/>
          <w:szCs w:val="28"/>
        </w:rPr>
        <w:t>the file would accordingly not be forwarded to a Judge to make a grant,</w:t>
      </w:r>
      <w:r w:rsidR="009A770B" w:rsidRPr="00D215A7">
        <w:rPr>
          <w:rFonts w:ascii="Times New Roman" w:hAnsi="Times New Roman" w:cs="Times New Roman"/>
          <w:sz w:val="28"/>
          <w:szCs w:val="28"/>
        </w:rPr>
        <w:t xml:space="preserve"> and no suit would be instituted,</w:t>
      </w:r>
      <w:r w:rsidR="00E75234" w:rsidRPr="00D215A7">
        <w:rPr>
          <w:rFonts w:ascii="Times New Roman" w:hAnsi="Times New Roman" w:cs="Times New Roman"/>
          <w:sz w:val="28"/>
          <w:szCs w:val="28"/>
        </w:rPr>
        <w:t xml:space="preserve"> since both would be based on the petition that has been caveated</w:t>
      </w:r>
      <w:r w:rsidR="00147D93" w:rsidRPr="00D215A7">
        <w:rPr>
          <w:rFonts w:ascii="Times New Roman" w:hAnsi="Times New Roman" w:cs="Times New Roman"/>
          <w:sz w:val="28"/>
          <w:szCs w:val="28"/>
        </w:rPr>
        <w:t>.</w:t>
      </w:r>
      <w:r w:rsidR="004E79FE" w:rsidRPr="00D215A7">
        <w:rPr>
          <w:rFonts w:ascii="Times New Roman" w:hAnsi="Times New Roman" w:cs="Times New Roman"/>
          <w:sz w:val="28"/>
          <w:szCs w:val="28"/>
        </w:rPr>
        <w:t xml:space="preserve"> </w:t>
      </w:r>
      <w:r w:rsidR="009A770B" w:rsidRPr="00D215A7">
        <w:rPr>
          <w:rFonts w:ascii="Times New Roman" w:hAnsi="Times New Roman" w:cs="Times New Roman"/>
          <w:sz w:val="28"/>
          <w:szCs w:val="28"/>
        </w:rPr>
        <w:t xml:space="preserve">In my opinion, </w:t>
      </w:r>
      <w:r w:rsidR="00D45CD3" w:rsidRPr="00D215A7">
        <w:rPr>
          <w:rFonts w:ascii="Times New Roman" w:hAnsi="Times New Roman" w:cs="Times New Roman"/>
          <w:sz w:val="28"/>
          <w:szCs w:val="28"/>
        </w:rPr>
        <w:t xml:space="preserve">considering </w:t>
      </w:r>
      <w:r w:rsidR="009A770B" w:rsidRPr="00D215A7">
        <w:rPr>
          <w:rFonts w:ascii="Times New Roman" w:hAnsi="Times New Roman" w:cs="Times New Roman"/>
          <w:sz w:val="28"/>
          <w:szCs w:val="28"/>
        </w:rPr>
        <w:t>the statutory provisions and case law</w:t>
      </w:r>
      <w:r w:rsidR="00D45CD3" w:rsidRPr="00D215A7">
        <w:rPr>
          <w:rFonts w:ascii="Times New Roman" w:hAnsi="Times New Roman" w:cs="Times New Roman"/>
          <w:sz w:val="28"/>
          <w:szCs w:val="28"/>
        </w:rPr>
        <w:t xml:space="preserve"> on the matter</w:t>
      </w:r>
      <w:r w:rsidR="004E79FE" w:rsidRPr="00D215A7">
        <w:rPr>
          <w:rFonts w:ascii="Times New Roman" w:hAnsi="Times New Roman" w:cs="Times New Roman"/>
          <w:sz w:val="28"/>
          <w:szCs w:val="28"/>
        </w:rPr>
        <w:t xml:space="preserve">, </w:t>
      </w:r>
      <w:r w:rsidR="009A770B" w:rsidRPr="00D215A7">
        <w:rPr>
          <w:rFonts w:ascii="Times New Roman" w:hAnsi="Times New Roman" w:cs="Times New Roman"/>
          <w:sz w:val="28"/>
          <w:szCs w:val="28"/>
        </w:rPr>
        <w:t>t</w:t>
      </w:r>
      <w:r w:rsidR="0025360D" w:rsidRPr="00D215A7">
        <w:rPr>
          <w:rFonts w:ascii="Times New Roman" w:hAnsi="Times New Roman" w:cs="Times New Roman"/>
          <w:sz w:val="28"/>
          <w:szCs w:val="28"/>
        </w:rPr>
        <w:t xml:space="preserve">hese are the </w:t>
      </w:r>
      <w:r w:rsidR="00E75234" w:rsidRPr="00D215A7">
        <w:rPr>
          <w:rFonts w:ascii="Times New Roman" w:hAnsi="Times New Roman" w:cs="Times New Roman"/>
          <w:sz w:val="28"/>
          <w:szCs w:val="28"/>
        </w:rPr>
        <w:t>proceedings</w:t>
      </w:r>
      <w:r w:rsidR="0025360D" w:rsidRPr="00D215A7">
        <w:rPr>
          <w:rFonts w:ascii="Times New Roman" w:hAnsi="Times New Roman" w:cs="Times New Roman"/>
          <w:sz w:val="28"/>
          <w:szCs w:val="28"/>
        </w:rPr>
        <w:t xml:space="preserve"> that are prohibited by section 255</w:t>
      </w:r>
      <w:r w:rsidR="00E75234" w:rsidRPr="00D215A7">
        <w:rPr>
          <w:rFonts w:ascii="Times New Roman" w:hAnsi="Times New Roman" w:cs="Times New Roman"/>
          <w:sz w:val="28"/>
          <w:szCs w:val="28"/>
        </w:rPr>
        <w:t xml:space="preserve"> after the caveat </w:t>
      </w:r>
      <w:r w:rsidR="007C4B0C" w:rsidRPr="00D215A7">
        <w:rPr>
          <w:rFonts w:ascii="Times New Roman" w:hAnsi="Times New Roman" w:cs="Times New Roman"/>
          <w:sz w:val="28"/>
          <w:szCs w:val="28"/>
        </w:rPr>
        <w:t>h</w:t>
      </w:r>
      <w:r w:rsidR="00E75234" w:rsidRPr="00D215A7">
        <w:rPr>
          <w:rFonts w:ascii="Times New Roman" w:hAnsi="Times New Roman" w:cs="Times New Roman"/>
          <w:sz w:val="28"/>
          <w:szCs w:val="28"/>
        </w:rPr>
        <w:t>as</w:t>
      </w:r>
      <w:r w:rsidR="0025360D" w:rsidRPr="00D215A7">
        <w:rPr>
          <w:rFonts w:ascii="Times New Roman" w:hAnsi="Times New Roman" w:cs="Times New Roman"/>
          <w:sz w:val="28"/>
          <w:szCs w:val="28"/>
        </w:rPr>
        <w:t xml:space="preserve"> been</w:t>
      </w:r>
      <w:r w:rsidR="00E75234" w:rsidRPr="00D215A7">
        <w:rPr>
          <w:rFonts w:ascii="Times New Roman" w:hAnsi="Times New Roman" w:cs="Times New Roman"/>
          <w:sz w:val="28"/>
          <w:szCs w:val="28"/>
        </w:rPr>
        <w:t xml:space="preserve"> lodged</w:t>
      </w:r>
      <w:r w:rsidR="003D7D8B" w:rsidRPr="00D215A7">
        <w:rPr>
          <w:rFonts w:ascii="Times New Roman" w:hAnsi="Times New Roman" w:cs="Times New Roman"/>
          <w:sz w:val="28"/>
          <w:szCs w:val="28"/>
        </w:rPr>
        <w:t xml:space="preserve"> and before the intended plaintiff has given notice to the intended defendant</w:t>
      </w:r>
      <w:r w:rsidR="00E75234" w:rsidRPr="00D215A7">
        <w:rPr>
          <w:rFonts w:ascii="Times New Roman" w:hAnsi="Times New Roman" w:cs="Times New Roman"/>
          <w:sz w:val="28"/>
          <w:szCs w:val="28"/>
        </w:rPr>
        <w:t>. As correctly submitt</w:t>
      </w:r>
      <w:r w:rsidR="00EF597E" w:rsidRPr="00D215A7">
        <w:rPr>
          <w:rFonts w:ascii="Times New Roman" w:hAnsi="Times New Roman" w:cs="Times New Roman"/>
          <w:sz w:val="28"/>
          <w:szCs w:val="28"/>
        </w:rPr>
        <w:t>ed by the respondent’s counsel</w:t>
      </w:r>
      <w:r w:rsidR="00D901DF" w:rsidRPr="00D215A7">
        <w:rPr>
          <w:rFonts w:ascii="Times New Roman" w:hAnsi="Times New Roman" w:cs="Times New Roman"/>
          <w:sz w:val="28"/>
          <w:szCs w:val="28"/>
        </w:rPr>
        <w:t>,</w:t>
      </w:r>
      <w:r w:rsidR="00EF597E" w:rsidRPr="00D215A7">
        <w:rPr>
          <w:rFonts w:ascii="Times New Roman" w:hAnsi="Times New Roman" w:cs="Times New Roman"/>
          <w:sz w:val="28"/>
          <w:szCs w:val="28"/>
        </w:rPr>
        <w:t xml:space="preserve"> </w:t>
      </w:r>
      <w:r w:rsidR="00E75234" w:rsidRPr="00D215A7">
        <w:rPr>
          <w:rFonts w:ascii="Times New Roman" w:hAnsi="Times New Roman" w:cs="Times New Roman"/>
          <w:sz w:val="28"/>
          <w:szCs w:val="28"/>
        </w:rPr>
        <w:t xml:space="preserve">the instant suit would be premature without notice first being given to the </w:t>
      </w:r>
      <w:proofErr w:type="spellStart"/>
      <w:r w:rsidR="00E75234" w:rsidRPr="00D215A7">
        <w:rPr>
          <w:rFonts w:ascii="Times New Roman" w:hAnsi="Times New Roman" w:cs="Times New Roman"/>
          <w:sz w:val="28"/>
          <w:szCs w:val="28"/>
        </w:rPr>
        <w:t>caveator</w:t>
      </w:r>
      <w:proofErr w:type="spellEnd"/>
      <w:r w:rsidR="00E75234" w:rsidRPr="00D215A7">
        <w:rPr>
          <w:rFonts w:ascii="Times New Roman" w:hAnsi="Times New Roman" w:cs="Times New Roman"/>
          <w:sz w:val="28"/>
          <w:szCs w:val="28"/>
        </w:rPr>
        <w:t xml:space="preserve"> under section 255 of the Succession Act.</w:t>
      </w:r>
    </w:p>
    <w:p w:rsidR="00D2442D" w:rsidRPr="00D215A7" w:rsidRDefault="00B606F3" w:rsidP="00D368B0">
      <w:pPr>
        <w:jc w:val="both"/>
        <w:rPr>
          <w:rFonts w:ascii="Times New Roman" w:hAnsi="Times New Roman" w:cs="Times New Roman"/>
          <w:sz w:val="28"/>
          <w:szCs w:val="28"/>
        </w:rPr>
      </w:pPr>
      <w:r w:rsidRPr="00D215A7">
        <w:rPr>
          <w:rFonts w:ascii="Times New Roman" w:hAnsi="Times New Roman" w:cs="Times New Roman"/>
          <w:sz w:val="28"/>
          <w:szCs w:val="28"/>
        </w:rPr>
        <w:t>For the same</w:t>
      </w:r>
      <w:r w:rsidR="00AA4C4B" w:rsidRPr="00D215A7">
        <w:rPr>
          <w:rFonts w:ascii="Times New Roman" w:hAnsi="Times New Roman" w:cs="Times New Roman"/>
          <w:sz w:val="28"/>
          <w:szCs w:val="28"/>
        </w:rPr>
        <w:t xml:space="preserve"> foregoing</w:t>
      </w:r>
      <w:r w:rsidRPr="00D215A7">
        <w:rPr>
          <w:rFonts w:ascii="Times New Roman" w:hAnsi="Times New Roman" w:cs="Times New Roman"/>
          <w:sz w:val="28"/>
          <w:szCs w:val="28"/>
        </w:rPr>
        <w:t xml:space="preserve"> reasons, I do not agree with the respondent’s counsel’s submissions that a </w:t>
      </w:r>
      <w:proofErr w:type="spellStart"/>
      <w:r w:rsidRPr="00D215A7">
        <w:rPr>
          <w:rFonts w:ascii="Times New Roman" w:hAnsi="Times New Roman" w:cs="Times New Roman"/>
          <w:sz w:val="28"/>
          <w:szCs w:val="28"/>
        </w:rPr>
        <w:t>caveator</w:t>
      </w:r>
      <w:proofErr w:type="spellEnd"/>
      <w:r w:rsidRPr="00D215A7">
        <w:rPr>
          <w:rFonts w:ascii="Times New Roman" w:hAnsi="Times New Roman" w:cs="Times New Roman"/>
          <w:sz w:val="28"/>
          <w:szCs w:val="28"/>
        </w:rPr>
        <w:t xml:space="preserve"> being served with proceedings for removal of caveat is notice to the person that the caveat is challenged. I </w:t>
      </w:r>
      <w:r w:rsidR="00363E0B" w:rsidRPr="00D215A7">
        <w:rPr>
          <w:rFonts w:ascii="Times New Roman" w:hAnsi="Times New Roman" w:cs="Times New Roman"/>
          <w:sz w:val="28"/>
          <w:szCs w:val="28"/>
        </w:rPr>
        <w:t xml:space="preserve">also </w:t>
      </w:r>
      <w:r w:rsidRPr="00D215A7">
        <w:rPr>
          <w:rFonts w:ascii="Times New Roman" w:hAnsi="Times New Roman" w:cs="Times New Roman"/>
          <w:sz w:val="28"/>
          <w:szCs w:val="28"/>
        </w:rPr>
        <w:t xml:space="preserve">find no reason to depart from the decision in </w:t>
      </w:r>
      <w:proofErr w:type="spellStart"/>
      <w:r w:rsidR="00767260" w:rsidRPr="00D215A7">
        <w:rPr>
          <w:rFonts w:ascii="Times New Roman" w:hAnsi="Times New Roman" w:cs="Times New Roman"/>
          <w:b/>
          <w:sz w:val="28"/>
          <w:szCs w:val="28"/>
        </w:rPr>
        <w:t>Kabahunguli</w:t>
      </w:r>
      <w:proofErr w:type="spellEnd"/>
      <w:r w:rsidR="00767260" w:rsidRPr="00D215A7">
        <w:rPr>
          <w:rFonts w:ascii="Times New Roman" w:hAnsi="Times New Roman" w:cs="Times New Roman"/>
          <w:sz w:val="28"/>
          <w:szCs w:val="28"/>
        </w:rPr>
        <w:t xml:space="preserve"> as r</w:t>
      </w:r>
      <w:r w:rsidRPr="00D215A7">
        <w:rPr>
          <w:rFonts w:ascii="Times New Roman" w:hAnsi="Times New Roman" w:cs="Times New Roman"/>
          <w:sz w:val="28"/>
          <w:szCs w:val="28"/>
        </w:rPr>
        <w:t>eque</w:t>
      </w:r>
      <w:r w:rsidR="00363E0B" w:rsidRPr="00D215A7">
        <w:rPr>
          <w:rFonts w:ascii="Times New Roman" w:hAnsi="Times New Roman" w:cs="Times New Roman"/>
          <w:sz w:val="28"/>
          <w:szCs w:val="28"/>
        </w:rPr>
        <w:t>sted by the applicants’ counsel.</w:t>
      </w:r>
      <w:r w:rsidRPr="00D215A7">
        <w:rPr>
          <w:rFonts w:ascii="Times New Roman" w:hAnsi="Times New Roman" w:cs="Times New Roman"/>
          <w:sz w:val="28"/>
          <w:szCs w:val="28"/>
        </w:rPr>
        <w:t xml:space="preserve"> </w:t>
      </w:r>
      <w:r w:rsidR="00363E0B" w:rsidRPr="00D215A7">
        <w:rPr>
          <w:rFonts w:ascii="Times New Roman" w:hAnsi="Times New Roman" w:cs="Times New Roman"/>
          <w:sz w:val="28"/>
          <w:szCs w:val="28"/>
        </w:rPr>
        <w:t xml:space="preserve">As </w:t>
      </w:r>
      <w:r w:rsidRPr="00D215A7">
        <w:rPr>
          <w:rFonts w:ascii="Times New Roman" w:hAnsi="Times New Roman" w:cs="Times New Roman"/>
          <w:sz w:val="28"/>
          <w:szCs w:val="28"/>
        </w:rPr>
        <w:t xml:space="preserve">stated above, the situation within which the PO was raised in the instant case </w:t>
      </w:r>
      <w:r w:rsidR="00363E0B" w:rsidRPr="00D215A7">
        <w:rPr>
          <w:rFonts w:ascii="Times New Roman" w:hAnsi="Times New Roman" w:cs="Times New Roman"/>
          <w:sz w:val="28"/>
          <w:szCs w:val="28"/>
        </w:rPr>
        <w:t xml:space="preserve">is </w:t>
      </w:r>
      <w:r w:rsidRPr="00D215A7">
        <w:rPr>
          <w:rFonts w:ascii="Times New Roman" w:hAnsi="Times New Roman" w:cs="Times New Roman"/>
          <w:sz w:val="28"/>
          <w:szCs w:val="28"/>
        </w:rPr>
        <w:lastRenderedPageBreak/>
        <w:t xml:space="preserve">similar, on all fours, </w:t>
      </w:r>
      <w:r w:rsidR="00363E0B" w:rsidRPr="00D215A7">
        <w:rPr>
          <w:rFonts w:ascii="Times New Roman" w:hAnsi="Times New Roman" w:cs="Times New Roman"/>
          <w:sz w:val="28"/>
          <w:szCs w:val="28"/>
        </w:rPr>
        <w:t>to that</w:t>
      </w:r>
      <w:r w:rsidRPr="00D215A7">
        <w:rPr>
          <w:rFonts w:ascii="Times New Roman" w:hAnsi="Times New Roman" w:cs="Times New Roman"/>
          <w:sz w:val="28"/>
          <w:szCs w:val="28"/>
        </w:rPr>
        <w:t xml:space="preserve"> the </w:t>
      </w:r>
      <w:proofErr w:type="spellStart"/>
      <w:r w:rsidRPr="00D215A7">
        <w:rPr>
          <w:rFonts w:ascii="Times New Roman" w:hAnsi="Times New Roman" w:cs="Times New Roman"/>
          <w:b/>
          <w:sz w:val="28"/>
          <w:szCs w:val="28"/>
        </w:rPr>
        <w:t>Kabahunguli</w:t>
      </w:r>
      <w:proofErr w:type="spellEnd"/>
      <w:r w:rsidRPr="00D215A7">
        <w:rPr>
          <w:rFonts w:ascii="Times New Roman" w:hAnsi="Times New Roman" w:cs="Times New Roman"/>
          <w:b/>
          <w:sz w:val="28"/>
          <w:szCs w:val="28"/>
        </w:rPr>
        <w:t xml:space="preserve"> </w:t>
      </w:r>
      <w:r w:rsidRPr="00D215A7">
        <w:rPr>
          <w:rFonts w:ascii="Times New Roman" w:hAnsi="Times New Roman" w:cs="Times New Roman"/>
          <w:sz w:val="28"/>
          <w:szCs w:val="28"/>
        </w:rPr>
        <w:t>case. I do not agree with</w:t>
      </w:r>
      <w:r w:rsidR="0022689E" w:rsidRPr="00D215A7">
        <w:rPr>
          <w:rFonts w:ascii="Times New Roman" w:hAnsi="Times New Roman" w:cs="Times New Roman"/>
          <w:sz w:val="28"/>
          <w:szCs w:val="28"/>
        </w:rPr>
        <w:t xml:space="preserve"> the respondent’s</w:t>
      </w:r>
      <w:r w:rsidRPr="00D215A7">
        <w:rPr>
          <w:rFonts w:ascii="Times New Roman" w:hAnsi="Times New Roman" w:cs="Times New Roman"/>
          <w:sz w:val="28"/>
          <w:szCs w:val="28"/>
        </w:rPr>
        <w:t xml:space="preserve"> counsel that circumstances in </w:t>
      </w:r>
      <w:r w:rsidR="0022689E" w:rsidRPr="00D215A7">
        <w:rPr>
          <w:rFonts w:ascii="Times New Roman" w:hAnsi="Times New Roman" w:cs="Times New Roman"/>
          <w:sz w:val="28"/>
          <w:szCs w:val="28"/>
        </w:rPr>
        <w:t xml:space="preserve">the </w:t>
      </w:r>
      <w:proofErr w:type="spellStart"/>
      <w:r w:rsidR="0022689E" w:rsidRPr="00D215A7">
        <w:rPr>
          <w:rFonts w:ascii="Times New Roman" w:hAnsi="Times New Roman" w:cs="Times New Roman"/>
          <w:b/>
          <w:sz w:val="28"/>
          <w:szCs w:val="28"/>
        </w:rPr>
        <w:t>Kabahunguli</w:t>
      </w:r>
      <w:proofErr w:type="spellEnd"/>
      <w:r w:rsidR="0022689E" w:rsidRPr="00D215A7">
        <w:rPr>
          <w:rFonts w:ascii="Times New Roman" w:hAnsi="Times New Roman" w:cs="Times New Roman"/>
          <w:b/>
          <w:sz w:val="28"/>
          <w:szCs w:val="28"/>
        </w:rPr>
        <w:t xml:space="preserve"> </w:t>
      </w:r>
      <w:r w:rsidR="0022689E" w:rsidRPr="00D215A7">
        <w:rPr>
          <w:rFonts w:ascii="Times New Roman" w:hAnsi="Times New Roman" w:cs="Times New Roman"/>
          <w:sz w:val="28"/>
          <w:szCs w:val="28"/>
        </w:rPr>
        <w:t>and the</w:t>
      </w:r>
      <w:r w:rsidR="0022689E" w:rsidRPr="00D215A7">
        <w:rPr>
          <w:rFonts w:ascii="Times New Roman" w:hAnsi="Times New Roman" w:cs="Times New Roman"/>
          <w:b/>
          <w:sz w:val="28"/>
          <w:szCs w:val="28"/>
        </w:rPr>
        <w:t xml:space="preserve"> </w:t>
      </w:r>
      <w:proofErr w:type="spellStart"/>
      <w:r w:rsidR="0022689E" w:rsidRPr="00D215A7">
        <w:rPr>
          <w:rFonts w:ascii="Times New Roman" w:hAnsi="Times New Roman" w:cs="Times New Roman"/>
          <w:b/>
          <w:sz w:val="28"/>
          <w:szCs w:val="28"/>
        </w:rPr>
        <w:t>Namungo</w:t>
      </w:r>
      <w:proofErr w:type="spellEnd"/>
      <w:r w:rsidR="0022689E" w:rsidRPr="00D215A7">
        <w:rPr>
          <w:rFonts w:ascii="Times New Roman" w:hAnsi="Times New Roman" w:cs="Times New Roman"/>
          <w:b/>
          <w:sz w:val="28"/>
          <w:szCs w:val="28"/>
        </w:rPr>
        <w:t xml:space="preserve"> </w:t>
      </w:r>
      <w:r w:rsidR="0022689E" w:rsidRPr="00D215A7">
        <w:rPr>
          <w:rFonts w:ascii="Times New Roman" w:hAnsi="Times New Roman" w:cs="Times New Roman"/>
          <w:sz w:val="28"/>
          <w:szCs w:val="28"/>
        </w:rPr>
        <w:t xml:space="preserve">cases </w:t>
      </w:r>
      <w:r w:rsidRPr="00D215A7">
        <w:rPr>
          <w:rFonts w:ascii="Times New Roman" w:hAnsi="Times New Roman" w:cs="Times New Roman"/>
          <w:sz w:val="28"/>
          <w:szCs w:val="28"/>
        </w:rPr>
        <w:t>were different</w:t>
      </w:r>
      <w:r w:rsidR="0022689E" w:rsidRPr="00D215A7">
        <w:rPr>
          <w:rFonts w:ascii="Times New Roman" w:hAnsi="Times New Roman" w:cs="Times New Roman"/>
          <w:sz w:val="28"/>
          <w:szCs w:val="28"/>
        </w:rPr>
        <w:t xml:space="preserve"> from the instant case</w:t>
      </w:r>
      <w:r w:rsidRPr="00D215A7">
        <w:rPr>
          <w:rFonts w:ascii="Times New Roman" w:hAnsi="Times New Roman" w:cs="Times New Roman"/>
          <w:sz w:val="28"/>
          <w:szCs w:val="28"/>
        </w:rPr>
        <w:t>.</w:t>
      </w:r>
      <w:r w:rsidR="00EF58E7" w:rsidRPr="00D215A7">
        <w:rPr>
          <w:rFonts w:ascii="Times New Roman" w:hAnsi="Times New Roman" w:cs="Times New Roman"/>
          <w:sz w:val="28"/>
          <w:szCs w:val="28"/>
        </w:rPr>
        <w:t xml:space="preserve"> Though</w:t>
      </w:r>
      <w:r w:rsidR="00EC2AB9" w:rsidRPr="00D215A7">
        <w:rPr>
          <w:rFonts w:ascii="Times New Roman" w:hAnsi="Times New Roman" w:cs="Times New Roman"/>
          <w:sz w:val="28"/>
          <w:szCs w:val="28"/>
        </w:rPr>
        <w:t xml:space="preserve"> it is correct, as submitted by</w:t>
      </w:r>
      <w:r w:rsidR="00EF58E7" w:rsidRPr="00D215A7">
        <w:rPr>
          <w:rFonts w:ascii="Times New Roman" w:hAnsi="Times New Roman" w:cs="Times New Roman"/>
          <w:sz w:val="28"/>
          <w:szCs w:val="28"/>
        </w:rPr>
        <w:t xml:space="preserve"> </w:t>
      </w:r>
      <w:r w:rsidR="008F046A" w:rsidRPr="00D215A7">
        <w:rPr>
          <w:rFonts w:ascii="Times New Roman" w:hAnsi="Times New Roman" w:cs="Times New Roman"/>
          <w:sz w:val="28"/>
          <w:szCs w:val="28"/>
        </w:rPr>
        <w:t xml:space="preserve">the respondent’s counsel </w:t>
      </w:r>
      <w:r w:rsidR="00EF58E7" w:rsidRPr="00D215A7">
        <w:rPr>
          <w:rFonts w:ascii="Times New Roman" w:hAnsi="Times New Roman" w:cs="Times New Roman"/>
          <w:sz w:val="28"/>
          <w:szCs w:val="28"/>
        </w:rPr>
        <w:t>that in</w:t>
      </w:r>
      <w:r w:rsidRPr="00D215A7">
        <w:rPr>
          <w:rFonts w:ascii="Times New Roman" w:hAnsi="Times New Roman" w:cs="Times New Roman"/>
          <w:sz w:val="28"/>
          <w:szCs w:val="28"/>
        </w:rPr>
        <w:t xml:space="preserve"> </w:t>
      </w:r>
      <w:proofErr w:type="spellStart"/>
      <w:r w:rsidR="00EF58E7" w:rsidRPr="00D215A7">
        <w:rPr>
          <w:rFonts w:ascii="Times New Roman" w:hAnsi="Times New Roman" w:cs="Times New Roman"/>
          <w:b/>
          <w:sz w:val="28"/>
          <w:szCs w:val="28"/>
        </w:rPr>
        <w:t>Namungo</w:t>
      </w:r>
      <w:proofErr w:type="spellEnd"/>
      <w:r w:rsidR="00EF58E7" w:rsidRPr="00D215A7">
        <w:rPr>
          <w:rFonts w:ascii="Times New Roman" w:hAnsi="Times New Roman" w:cs="Times New Roman"/>
          <w:b/>
          <w:sz w:val="28"/>
          <w:szCs w:val="28"/>
        </w:rPr>
        <w:t xml:space="preserve"> V </w:t>
      </w:r>
      <w:proofErr w:type="spellStart"/>
      <w:r w:rsidR="00EF58E7" w:rsidRPr="00D215A7">
        <w:rPr>
          <w:rFonts w:ascii="Times New Roman" w:hAnsi="Times New Roman" w:cs="Times New Roman"/>
          <w:b/>
          <w:sz w:val="28"/>
          <w:szCs w:val="28"/>
        </w:rPr>
        <w:t>Kilyankusa</w:t>
      </w:r>
      <w:proofErr w:type="spellEnd"/>
      <w:r w:rsidR="00EF58E7" w:rsidRPr="00D215A7">
        <w:rPr>
          <w:rFonts w:ascii="Times New Roman" w:hAnsi="Times New Roman" w:cs="Times New Roman"/>
          <w:b/>
          <w:sz w:val="28"/>
          <w:szCs w:val="28"/>
        </w:rPr>
        <w:t xml:space="preserve"> [1980] HCB 66</w:t>
      </w:r>
      <w:r w:rsidR="00EF58E7" w:rsidRPr="00D215A7">
        <w:rPr>
          <w:rFonts w:ascii="Times New Roman" w:hAnsi="Times New Roman" w:cs="Times New Roman"/>
          <w:sz w:val="28"/>
          <w:szCs w:val="28"/>
        </w:rPr>
        <w:t xml:space="preserve"> the matter at stake was that a caveat was challenged by a Notice of Motion</w:t>
      </w:r>
      <w:r w:rsidR="00EC2AB9" w:rsidRPr="00D215A7">
        <w:rPr>
          <w:rFonts w:ascii="Times New Roman" w:hAnsi="Times New Roman" w:cs="Times New Roman"/>
          <w:sz w:val="28"/>
          <w:szCs w:val="28"/>
        </w:rPr>
        <w:t xml:space="preserve"> unlike in the instant case</w:t>
      </w:r>
      <w:r w:rsidR="0022689E" w:rsidRPr="00D215A7">
        <w:rPr>
          <w:rFonts w:ascii="Times New Roman" w:hAnsi="Times New Roman" w:cs="Times New Roman"/>
          <w:sz w:val="28"/>
          <w:szCs w:val="28"/>
        </w:rPr>
        <w:t>,</w:t>
      </w:r>
      <w:r w:rsidR="00162FCB" w:rsidRPr="00D215A7">
        <w:rPr>
          <w:rFonts w:ascii="Times New Roman" w:hAnsi="Times New Roman" w:cs="Times New Roman"/>
          <w:sz w:val="28"/>
          <w:szCs w:val="28"/>
        </w:rPr>
        <w:t xml:space="preserve"> the fact remains that</w:t>
      </w:r>
      <w:r w:rsidR="0022689E" w:rsidRPr="00D215A7">
        <w:rPr>
          <w:rFonts w:ascii="Times New Roman" w:hAnsi="Times New Roman" w:cs="Times New Roman"/>
          <w:sz w:val="28"/>
          <w:szCs w:val="28"/>
        </w:rPr>
        <w:t xml:space="preserve"> court</w:t>
      </w:r>
      <w:r w:rsidR="00EC2230" w:rsidRPr="00D215A7">
        <w:rPr>
          <w:rFonts w:ascii="Times New Roman" w:hAnsi="Times New Roman" w:cs="Times New Roman"/>
          <w:sz w:val="28"/>
          <w:szCs w:val="28"/>
        </w:rPr>
        <w:t xml:space="preserve"> reiterated the preliminary procedure to be followed by the applicant before instituting a suit to remove a caveat as including the usual notice of an intended suit (as opposed to the notice of motion filed by the applicant in that case). The same court stated that after the notice</w:t>
      </w:r>
      <w:r w:rsidR="00EC2AB9" w:rsidRPr="00D215A7">
        <w:rPr>
          <w:rFonts w:ascii="Times New Roman" w:hAnsi="Times New Roman" w:cs="Times New Roman"/>
          <w:sz w:val="28"/>
          <w:szCs w:val="28"/>
        </w:rPr>
        <w:t xml:space="preserve"> to the </w:t>
      </w:r>
      <w:proofErr w:type="spellStart"/>
      <w:r w:rsidR="00EC2AB9" w:rsidRPr="00D215A7">
        <w:rPr>
          <w:rFonts w:ascii="Times New Roman" w:hAnsi="Times New Roman" w:cs="Times New Roman"/>
          <w:sz w:val="28"/>
          <w:szCs w:val="28"/>
        </w:rPr>
        <w:t>caveator</w:t>
      </w:r>
      <w:proofErr w:type="spellEnd"/>
      <w:r w:rsidR="00EC2AB9" w:rsidRPr="00D215A7">
        <w:rPr>
          <w:rFonts w:ascii="Times New Roman" w:hAnsi="Times New Roman" w:cs="Times New Roman"/>
          <w:sz w:val="28"/>
          <w:szCs w:val="28"/>
        </w:rPr>
        <w:t xml:space="preserve">, </w:t>
      </w:r>
      <w:r w:rsidR="005A16D8" w:rsidRPr="00D215A7">
        <w:rPr>
          <w:rFonts w:ascii="Times New Roman" w:hAnsi="Times New Roman" w:cs="Times New Roman"/>
          <w:sz w:val="28"/>
          <w:szCs w:val="28"/>
        </w:rPr>
        <w:t xml:space="preserve">the applicant would then institute a regular suit against the </w:t>
      </w:r>
      <w:proofErr w:type="spellStart"/>
      <w:r w:rsidR="005A16D8" w:rsidRPr="00D215A7">
        <w:rPr>
          <w:rFonts w:ascii="Times New Roman" w:hAnsi="Times New Roman" w:cs="Times New Roman"/>
          <w:sz w:val="28"/>
          <w:szCs w:val="28"/>
        </w:rPr>
        <w:t>caveator</w:t>
      </w:r>
      <w:proofErr w:type="spellEnd"/>
      <w:r w:rsidR="005A16D8" w:rsidRPr="00D215A7">
        <w:rPr>
          <w:rFonts w:ascii="Times New Roman" w:hAnsi="Times New Roman" w:cs="Times New Roman"/>
          <w:sz w:val="28"/>
          <w:szCs w:val="28"/>
        </w:rPr>
        <w:t xml:space="preserve"> under section 265 of the Succession Act where the applicant would become the plaintiff and the </w:t>
      </w:r>
      <w:proofErr w:type="spellStart"/>
      <w:r w:rsidR="005A16D8" w:rsidRPr="00D215A7">
        <w:rPr>
          <w:rFonts w:ascii="Times New Roman" w:hAnsi="Times New Roman" w:cs="Times New Roman"/>
          <w:sz w:val="28"/>
          <w:szCs w:val="28"/>
        </w:rPr>
        <w:t>caveator</w:t>
      </w:r>
      <w:proofErr w:type="spellEnd"/>
      <w:r w:rsidR="005A16D8" w:rsidRPr="00D215A7">
        <w:rPr>
          <w:rFonts w:ascii="Times New Roman" w:hAnsi="Times New Roman" w:cs="Times New Roman"/>
          <w:sz w:val="28"/>
          <w:szCs w:val="28"/>
        </w:rPr>
        <w:t xml:space="preserve"> the defendant.</w:t>
      </w:r>
      <w:r w:rsidR="00EC2230" w:rsidRPr="00D215A7">
        <w:rPr>
          <w:rFonts w:ascii="Times New Roman" w:hAnsi="Times New Roman" w:cs="Times New Roman"/>
          <w:sz w:val="28"/>
          <w:szCs w:val="28"/>
        </w:rPr>
        <w:t xml:space="preserve"> </w:t>
      </w:r>
    </w:p>
    <w:p w:rsidR="00A60CC3" w:rsidRPr="00D215A7" w:rsidRDefault="00D2442D" w:rsidP="00A60CC3">
      <w:pPr>
        <w:jc w:val="both"/>
        <w:rPr>
          <w:rFonts w:ascii="Times New Roman" w:hAnsi="Times New Roman" w:cs="Times New Roman"/>
          <w:sz w:val="28"/>
          <w:szCs w:val="28"/>
        </w:rPr>
      </w:pPr>
      <w:r w:rsidRPr="00D215A7">
        <w:rPr>
          <w:rFonts w:ascii="Times New Roman" w:hAnsi="Times New Roman" w:cs="Times New Roman"/>
          <w:sz w:val="28"/>
          <w:szCs w:val="28"/>
        </w:rPr>
        <w:t xml:space="preserve">I would, in the foregoing circumstances </w:t>
      </w:r>
      <w:r w:rsidR="009E21CE" w:rsidRPr="00D215A7">
        <w:rPr>
          <w:rFonts w:ascii="Times New Roman" w:hAnsi="Times New Roman" w:cs="Times New Roman"/>
          <w:sz w:val="28"/>
          <w:szCs w:val="28"/>
        </w:rPr>
        <w:t xml:space="preserve">uphold </w:t>
      </w:r>
      <w:r w:rsidRPr="00D215A7">
        <w:rPr>
          <w:rFonts w:ascii="Times New Roman" w:hAnsi="Times New Roman" w:cs="Times New Roman"/>
          <w:sz w:val="28"/>
          <w:szCs w:val="28"/>
        </w:rPr>
        <w:t>the preliminary objection</w:t>
      </w:r>
      <w:r w:rsidR="00A60CC3" w:rsidRPr="00D215A7">
        <w:rPr>
          <w:rFonts w:ascii="Times New Roman" w:hAnsi="Times New Roman" w:cs="Times New Roman"/>
          <w:sz w:val="28"/>
          <w:szCs w:val="28"/>
        </w:rPr>
        <w:t xml:space="preserve"> and grant the respondent’s counsel’s prayers</w:t>
      </w:r>
      <w:r w:rsidRPr="00D215A7">
        <w:rPr>
          <w:rFonts w:ascii="Times New Roman" w:hAnsi="Times New Roman" w:cs="Times New Roman"/>
          <w:sz w:val="28"/>
          <w:szCs w:val="28"/>
        </w:rPr>
        <w:t>.</w:t>
      </w:r>
      <w:r w:rsidR="00E75234" w:rsidRPr="00D215A7">
        <w:rPr>
          <w:rFonts w:ascii="Times New Roman" w:hAnsi="Times New Roman" w:cs="Times New Roman"/>
          <w:sz w:val="28"/>
          <w:szCs w:val="28"/>
        </w:rPr>
        <w:t xml:space="preserve"> </w:t>
      </w:r>
      <w:r w:rsidR="009E21CE" w:rsidRPr="00D215A7">
        <w:rPr>
          <w:rFonts w:ascii="Times New Roman" w:hAnsi="Times New Roman" w:cs="Times New Roman"/>
          <w:sz w:val="28"/>
          <w:szCs w:val="28"/>
        </w:rPr>
        <w:t>T</w:t>
      </w:r>
      <w:r w:rsidR="00A60CC3" w:rsidRPr="00D215A7">
        <w:rPr>
          <w:rFonts w:ascii="Times New Roman" w:hAnsi="Times New Roman" w:cs="Times New Roman"/>
          <w:sz w:val="28"/>
          <w:szCs w:val="28"/>
        </w:rPr>
        <w:t xml:space="preserve">he main suit </w:t>
      </w:r>
      <w:r w:rsidR="00471170" w:rsidRPr="00D215A7">
        <w:rPr>
          <w:rFonts w:ascii="Times New Roman" w:hAnsi="Times New Roman" w:cs="Times New Roman"/>
          <w:sz w:val="28"/>
          <w:szCs w:val="28"/>
        </w:rPr>
        <w:t>is</w:t>
      </w:r>
      <w:r w:rsidR="009E21CE" w:rsidRPr="00D215A7">
        <w:rPr>
          <w:rFonts w:ascii="Times New Roman" w:hAnsi="Times New Roman" w:cs="Times New Roman"/>
          <w:sz w:val="28"/>
          <w:szCs w:val="28"/>
        </w:rPr>
        <w:t xml:space="preserve"> accordingly </w:t>
      </w:r>
      <w:r w:rsidR="00A60CC3" w:rsidRPr="00D215A7">
        <w:rPr>
          <w:rFonts w:ascii="Times New Roman" w:hAnsi="Times New Roman" w:cs="Times New Roman"/>
          <w:sz w:val="28"/>
          <w:szCs w:val="28"/>
        </w:rPr>
        <w:t>struck off</w:t>
      </w:r>
      <w:r w:rsidR="00EC2AB9" w:rsidRPr="00D215A7">
        <w:rPr>
          <w:rFonts w:ascii="Times New Roman" w:hAnsi="Times New Roman" w:cs="Times New Roman"/>
          <w:sz w:val="28"/>
          <w:szCs w:val="28"/>
        </w:rPr>
        <w:t xml:space="preserve"> the record</w:t>
      </w:r>
      <w:r w:rsidR="00A60CC3" w:rsidRPr="00D215A7">
        <w:rPr>
          <w:rFonts w:ascii="Times New Roman" w:hAnsi="Times New Roman" w:cs="Times New Roman"/>
          <w:sz w:val="28"/>
          <w:szCs w:val="28"/>
        </w:rPr>
        <w:t xml:space="preserve"> for</w:t>
      </w:r>
      <w:r w:rsidR="005B2596" w:rsidRPr="00D215A7">
        <w:rPr>
          <w:rFonts w:ascii="Times New Roman" w:hAnsi="Times New Roman" w:cs="Times New Roman"/>
          <w:sz w:val="28"/>
          <w:szCs w:val="28"/>
        </w:rPr>
        <w:t xml:space="preserve"> having been prematurely filed, in that there was no</w:t>
      </w:r>
      <w:r w:rsidR="00A60CC3" w:rsidRPr="00D215A7">
        <w:rPr>
          <w:rFonts w:ascii="Times New Roman" w:hAnsi="Times New Roman" w:cs="Times New Roman"/>
          <w:sz w:val="28"/>
          <w:szCs w:val="28"/>
        </w:rPr>
        <w:t xml:space="preserve"> </w:t>
      </w:r>
      <w:r w:rsidR="009E21CE" w:rsidRPr="00D215A7">
        <w:rPr>
          <w:rFonts w:ascii="Times New Roman" w:hAnsi="Times New Roman" w:cs="Times New Roman"/>
          <w:sz w:val="28"/>
          <w:szCs w:val="28"/>
        </w:rPr>
        <w:t xml:space="preserve">notice to the </w:t>
      </w:r>
      <w:proofErr w:type="spellStart"/>
      <w:r w:rsidR="009E21CE" w:rsidRPr="00D215A7">
        <w:rPr>
          <w:rFonts w:ascii="Times New Roman" w:hAnsi="Times New Roman" w:cs="Times New Roman"/>
          <w:sz w:val="28"/>
          <w:szCs w:val="28"/>
        </w:rPr>
        <w:t>caveator</w:t>
      </w:r>
      <w:proofErr w:type="spellEnd"/>
      <w:r w:rsidR="009E21CE" w:rsidRPr="00D215A7">
        <w:rPr>
          <w:rFonts w:ascii="Times New Roman" w:hAnsi="Times New Roman" w:cs="Times New Roman"/>
          <w:sz w:val="28"/>
          <w:szCs w:val="28"/>
        </w:rPr>
        <w:t xml:space="preserve"> </w:t>
      </w:r>
      <w:r w:rsidR="005B2596" w:rsidRPr="00D215A7">
        <w:rPr>
          <w:rFonts w:ascii="Times New Roman" w:hAnsi="Times New Roman" w:cs="Times New Roman"/>
          <w:sz w:val="28"/>
          <w:szCs w:val="28"/>
        </w:rPr>
        <w:t xml:space="preserve">as required </w:t>
      </w:r>
      <w:r w:rsidR="009E21CE" w:rsidRPr="00D215A7">
        <w:rPr>
          <w:rFonts w:ascii="Times New Roman" w:hAnsi="Times New Roman" w:cs="Times New Roman"/>
          <w:sz w:val="28"/>
          <w:szCs w:val="28"/>
        </w:rPr>
        <w:t>under section 255</w:t>
      </w:r>
      <w:r w:rsidR="00A60CC3" w:rsidRPr="00D215A7">
        <w:rPr>
          <w:rFonts w:ascii="Times New Roman" w:hAnsi="Times New Roman" w:cs="Times New Roman"/>
          <w:sz w:val="28"/>
          <w:szCs w:val="28"/>
        </w:rPr>
        <w:t xml:space="preserve"> of the Succession Act.</w:t>
      </w:r>
      <w:r w:rsidR="006C3BEF" w:rsidRPr="00D215A7">
        <w:rPr>
          <w:rFonts w:ascii="Times New Roman" w:hAnsi="Times New Roman" w:cs="Times New Roman"/>
          <w:sz w:val="28"/>
          <w:szCs w:val="28"/>
        </w:rPr>
        <w:t xml:space="preserve"> Miscellaneous Application No. 252 of 2014 can</w:t>
      </w:r>
      <w:r w:rsidR="00EC2AB9" w:rsidRPr="00D215A7">
        <w:rPr>
          <w:rFonts w:ascii="Times New Roman" w:hAnsi="Times New Roman" w:cs="Times New Roman"/>
          <w:sz w:val="28"/>
          <w:szCs w:val="28"/>
        </w:rPr>
        <w:t>not accordingly stand without t</w:t>
      </w:r>
      <w:r w:rsidR="006C3BEF" w:rsidRPr="00D215A7">
        <w:rPr>
          <w:rFonts w:ascii="Times New Roman" w:hAnsi="Times New Roman" w:cs="Times New Roman"/>
          <w:sz w:val="28"/>
          <w:szCs w:val="28"/>
        </w:rPr>
        <w:t>he main suit. It is also struck off</w:t>
      </w:r>
      <w:r w:rsidR="00CA36E6" w:rsidRPr="00D215A7">
        <w:rPr>
          <w:rFonts w:ascii="Times New Roman" w:hAnsi="Times New Roman" w:cs="Times New Roman"/>
          <w:sz w:val="28"/>
          <w:szCs w:val="28"/>
        </w:rPr>
        <w:t xml:space="preserve"> the record</w:t>
      </w:r>
      <w:r w:rsidR="006C3BEF" w:rsidRPr="00D215A7">
        <w:rPr>
          <w:rFonts w:ascii="Times New Roman" w:hAnsi="Times New Roman" w:cs="Times New Roman"/>
          <w:sz w:val="28"/>
          <w:szCs w:val="28"/>
        </w:rPr>
        <w:t>.</w:t>
      </w:r>
    </w:p>
    <w:p w:rsidR="001827C3" w:rsidRPr="00D215A7" w:rsidRDefault="001827C3" w:rsidP="00A60CC3">
      <w:pPr>
        <w:jc w:val="both"/>
        <w:rPr>
          <w:rFonts w:ascii="Times New Roman" w:hAnsi="Times New Roman" w:cs="Times New Roman"/>
          <w:sz w:val="28"/>
          <w:szCs w:val="28"/>
        </w:rPr>
      </w:pPr>
      <w:r w:rsidRPr="00D215A7">
        <w:rPr>
          <w:rFonts w:ascii="Times New Roman" w:hAnsi="Times New Roman" w:cs="Times New Roman"/>
          <w:b/>
          <w:sz w:val="28"/>
          <w:szCs w:val="28"/>
        </w:rPr>
        <w:t xml:space="preserve">Dated at Kampala </w:t>
      </w:r>
      <w:r w:rsidRPr="00D215A7">
        <w:rPr>
          <w:rFonts w:ascii="Times New Roman" w:hAnsi="Times New Roman" w:cs="Times New Roman"/>
          <w:sz w:val="28"/>
          <w:szCs w:val="28"/>
        </w:rPr>
        <w:t>this 23</w:t>
      </w:r>
      <w:r w:rsidRPr="00D215A7">
        <w:rPr>
          <w:rFonts w:ascii="Times New Roman" w:hAnsi="Times New Roman" w:cs="Times New Roman"/>
          <w:sz w:val="28"/>
          <w:szCs w:val="28"/>
          <w:vertAlign w:val="superscript"/>
        </w:rPr>
        <w:t>rd</w:t>
      </w:r>
      <w:r w:rsidRPr="00D215A7">
        <w:rPr>
          <w:rFonts w:ascii="Times New Roman" w:hAnsi="Times New Roman" w:cs="Times New Roman"/>
          <w:sz w:val="28"/>
          <w:szCs w:val="28"/>
        </w:rPr>
        <w:t xml:space="preserve"> day of March 2015</w:t>
      </w:r>
      <w:r w:rsidR="00425BF1" w:rsidRPr="00D215A7">
        <w:rPr>
          <w:rFonts w:ascii="Times New Roman" w:hAnsi="Times New Roman" w:cs="Times New Roman"/>
          <w:sz w:val="28"/>
          <w:szCs w:val="28"/>
        </w:rPr>
        <w:t>.</w:t>
      </w:r>
    </w:p>
    <w:p w:rsidR="001827C3" w:rsidRPr="00D215A7" w:rsidRDefault="001827C3" w:rsidP="00A60CC3">
      <w:pPr>
        <w:jc w:val="both"/>
        <w:rPr>
          <w:rFonts w:ascii="Times New Roman" w:hAnsi="Times New Roman" w:cs="Times New Roman"/>
          <w:sz w:val="28"/>
          <w:szCs w:val="28"/>
        </w:rPr>
      </w:pPr>
      <w:r w:rsidRPr="00D215A7">
        <w:rPr>
          <w:rFonts w:ascii="Times New Roman" w:hAnsi="Times New Roman" w:cs="Times New Roman"/>
          <w:sz w:val="28"/>
          <w:szCs w:val="28"/>
        </w:rPr>
        <w:t xml:space="preserve">Percy Night </w:t>
      </w:r>
      <w:proofErr w:type="spellStart"/>
      <w:r w:rsidRPr="00D215A7">
        <w:rPr>
          <w:rFonts w:ascii="Times New Roman" w:hAnsi="Times New Roman" w:cs="Times New Roman"/>
          <w:sz w:val="28"/>
          <w:szCs w:val="28"/>
        </w:rPr>
        <w:t>Tuhaise</w:t>
      </w:r>
      <w:proofErr w:type="spellEnd"/>
    </w:p>
    <w:p w:rsidR="001827C3" w:rsidRPr="00D215A7" w:rsidRDefault="001827C3" w:rsidP="00A60CC3">
      <w:pPr>
        <w:jc w:val="both"/>
        <w:rPr>
          <w:rFonts w:ascii="Times New Roman" w:hAnsi="Times New Roman" w:cs="Times New Roman"/>
          <w:b/>
          <w:sz w:val="28"/>
          <w:szCs w:val="28"/>
        </w:rPr>
      </w:pPr>
      <w:proofErr w:type="gramStart"/>
      <w:r w:rsidRPr="00D215A7">
        <w:rPr>
          <w:rFonts w:ascii="Times New Roman" w:hAnsi="Times New Roman" w:cs="Times New Roman"/>
          <w:b/>
          <w:sz w:val="28"/>
          <w:szCs w:val="28"/>
        </w:rPr>
        <w:t>Judge.</w:t>
      </w:r>
      <w:proofErr w:type="gramEnd"/>
    </w:p>
    <w:p w:rsidR="000478D5" w:rsidRPr="00D215A7" w:rsidRDefault="000478D5" w:rsidP="00D368B0">
      <w:pPr>
        <w:jc w:val="both"/>
        <w:rPr>
          <w:rFonts w:ascii="Times New Roman" w:hAnsi="Times New Roman" w:cs="Times New Roman"/>
          <w:sz w:val="28"/>
          <w:szCs w:val="28"/>
        </w:rPr>
      </w:pPr>
    </w:p>
    <w:p w:rsidR="00D368B0" w:rsidRPr="00D215A7" w:rsidRDefault="00D368B0" w:rsidP="00D368B0">
      <w:pPr>
        <w:jc w:val="both"/>
        <w:rPr>
          <w:rFonts w:ascii="Times New Roman" w:hAnsi="Times New Roman" w:cs="Times New Roman"/>
          <w:sz w:val="28"/>
          <w:szCs w:val="28"/>
        </w:rPr>
      </w:pPr>
    </w:p>
    <w:p w:rsidR="00D368B0" w:rsidRPr="00D215A7" w:rsidRDefault="00D368B0" w:rsidP="002A65AE">
      <w:pPr>
        <w:jc w:val="both"/>
        <w:rPr>
          <w:rFonts w:ascii="Times New Roman" w:hAnsi="Times New Roman" w:cs="Times New Roman"/>
          <w:sz w:val="28"/>
          <w:szCs w:val="28"/>
        </w:rPr>
      </w:pPr>
    </w:p>
    <w:sectPr w:rsidR="00D368B0" w:rsidRPr="00D215A7" w:rsidSect="007F38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6F3" w:rsidRDefault="00B606F3" w:rsidP="00B41AF6">
      <w:pPr>
        <w:spacing w:after="0" w:line="240" w:lineRule="auto"/>
      </w:pPr>
      <w:r>
        <w:separator/>
      </w:r>
    </w:p>
  </w:endnote>
  <w:endnote w:type="continuationSeparator" w:id="0">
    <w:p w:rsidR="00B606F3" w:rsidRDefault="00B606F3" w:rsidP="00B4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6F3" w:rsidRDefault="00B606F3">
    <w:pPr>
      <w:pStyle w:val="Footer"/>
      <w:jc w:val="center"/>
    </w:pPr>
  </w:p>
  <w:p w:rsidR="00B606F3" w:rsidRDefault="00B60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6F3" w:rsidRDefault="00B606F3" w:rsidP="00B41AF6">
      <w:pPr>
        <w:spacing w:after="0" w:line="240" w:lineRule="auto"/>
      </w:pPr>
      <w:r>
        <w:separator/>
      </w:r>
    </w:p>
  </w:footnote>
  <w:footnote w:type="continuationSeparator" w:id="0">
    <w:p w:rsidR="00B606F3" w:rsidRDefault="00B606F3" w:rsidP="00B41A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42"/>
    <w:rsid w:val="000478D5"/>
    <w:rsid w:val="000600EC"/>
    <w:rsid w:val="00073217"/>
    <w:rsid w:val="000A4031"/>
    <w:rsid w:val="000E75CE"/>
    <w:rsid w:val="00132DC2"/>
    <w:rsid w:val="00147D93"/>
    <w:rsid w:val="00153F65"/>
    <w:rsid w:val="00162FCB"/>
    <w:rsid w:val="0017519C"/>
    <w:rsid w:val="001827C3"/>
    <w:rsid w:val="001C5C4D"/>
    <w:rsid w:val="0020741A"/>
    <w:rsid w:val="0022689E"/>
    <w:rsid w:val="00236751"/>
    <w:rsid w:val="0025360D"/>
    <w:rsid w:val="002946DB"/>
    <w:rsid w:val="002A65AE"/>
    <w:rsid w:val="002B2EBC"/>
    <w:rsid w:val="002D79DD"/>
    <w:rsid w:val="002F409E"/>
    <w:rsid w:val="00356770"/>
    <w:rsid w:val="00363E0B"/>
    <w:rsid w:val="00387C76"/>
    <w:rsid w:val="003C349F"/>
    <w:rsid w:val="003D7D8B"/>
    <w:rsid w:val="003F502A"/>
    <w:rsid w:val="0040255C"/>
    <w:rsid w:val="00425BF1"/>
    <w:rsid w:val="004458BD"/>
    <w:rsid w:val="004708B8"/>
    <w:rsid w:val="00471170"/>
    <w:rsid w:val="0047278F"/>
    <w:rsid w:val="00476DCA"/>
    <w:rsid w:val="004A7D03"/>
    <w:rsid w:val="004B3595"/>
    <w:rsid w:val="004E5A13"/>
    <w:rsid w:val="004E79FE"/>
    <w:rsid w:val="004F16DE"/>
    <w:rsid w:val="0051237E"/>
    <w:rsid w:val="00530A30"/>
    <w:rsid w:val="00533472"/>
    <w:rsid w:val="00594648"/>
    <w:rsid w:val="005A16D8"/>
    <w:rsid w:val="005B1AC3"/>
    <w:rsid w:val="005B2596"/>
    <w:rsid w:val="005B7FEA"/>
    <w:rsid w:val="005D4810"/>
    <w:rsid w:val="005E4E25"/>
    <w:rsid w:val="005E68EB"/>
    <w:rsid w:val="00621D0F"/>
    <w:rsid w:val="00637A1B"/>
    <w:rsid w:val="00643B7A"/>
    <w:rsid w:val="0064455E"/>
    <w:rsid w:val="006471D6"/>
    <w:rsid w:val="00651007"/>
    <w:rsid w:val="00661769"/>
    <w:rsid w:val="00681692"/>
    <w:rsid w:val="006C3BEF"/>
    <w:rsid w:val="007060E8"/>
    <w:rsid w:val="00752B17"/>
    <w:rsid w:val="00767260"/>
    <w:rsid w:val="007A6ED2"/>
    <w:rsid w:val="007B56A2"/>
    <w:rsid w:val="007C4B0C"/>
    <w:rsid w:val="007F38F9"/>
    <w:rsid w:val="00804A9F"/>
    <w:rsid w:val="00826552"/>
    <w:rsid w:val="00831632"/>
    <w:rsid w:val="0084652A"/>
    <w:rsid w:val="00853F13"/>
    <w:rsid w:val="00856D16"/>
    <w:rsid w:val="008803E4"/>
    <w:rsid w:val="00881728"/>
    <w:rsid w:val="008E3BD0"/>
    <w:rsid w:val="008E7849"/>
    <w:rsid w:val="008F046A"/>
    <w:rsid w:val="0092585C"/>
    <w:rsid w:val="00932C2F"/>
    <w:rsid w:val="009A770B"/>
    <w:rsid w:val="009B4E57"/>
    <w:rsid w:val="009D3F43"/>
    <w:rsid w:val="009E21CE"/>
    <w:rsid w:val="009E738C"/>
    <w:rsid w:val="00A06FFD"/>
    <w:rsid w:val="00A15E52"/>
    <w:rsid w:val="00A21289"/>
    <w:rsid w:val="00A60CC3"/>
    <w:rsid w:val="00A80278"/>
    <w:rsid w:val="00A9169E"/>
    <w:rsid w:val="00AA4C4B"/>
    <w:rsid w:val="00AD0885"/>
    <w:rsid w:val="00AD54B9"/>
    <w:rsid w:val="00AF5139"/>
    <w:rsid w:val="00B07A97"/>
    <w:rsid w:val="00B2610F"/>
    <w:rsid w:val="00B307F0"/>
    <w:rsid w:val="00B41AF6"/>
    <w:rsid w:val="00B606F3"/>
    <w:rsid w:val="00B63C58"/>
    <w:rsid w:val="00B65AF0"/>
    <w:rsid w:val="00C116D7"/>
    <w:rsid w:val="00C529FF"/>
    <w:rsid w:val="00C67B82"/>
    <w:rsid w:val="00C9288C"/>
    <w:rsid w:val="00CA36E6"/>
    <w:rsid w:val="00CB3FB1"/>
    <w:rsid w:val="00CB7E11"/>
    <w:rsid w:val="00CD7E7F"/>
    <w:rsid w:val="00CE36D2"/>
    <w:rsid w:val="00D024A4"/>
    <w:rsid w:val="00D10AB7"/>
    <w:rsid w:val="00D119C9"/>
    <w:rsid w:val="00D215A7"/>
    <w:rsid w:val="00D23FC2"/>
    <w:rsid w:val="00D2442D"/>
    <w:rsid w:val="00D25F6C"/>
    <w:rsid w:val="00D26190"/>
    <w:rsid w:val="00D368B0"/>
    <w:rsid w:val="00D45CD3"/>
    <w:rsid w:val="00D81F53"/>
    <w:rsid w:val="00D83EA4"/>
    <w:rsid w:val="00D901DF"/>
    <w:rsid w:val="00DB518B"/>
    <w:rsid w:val="00DC1A42"/>
    <w:rsid w:val="00DC2E81"/>
    <w:rsid w:val="00DD7977"/>
    <w:rsid w:val="00DE2ADF"/>
    <w:rsid w:val="00E0343D"/>
    <w:rsid w:val="00E50015"/>
    <w:rsid w:val="00E72F28"/>
    <w:rsid w:val="00E75234"/>
    <w:rsid w:val="00EA68C6"/>
    <w:rsid w:val="00EB2202"/>
    <w:rsid w:val="00EC2230"/>
    <w:rsid w:val="00EC2AB9"/>
    <w:rsid w:val="00EF58E7"/>
    <w:rsid w:val="00EF597E"/>
    <w:rsid w:val="00EF760D"/>
    <w:rsid w:val="00F06447"/>
    <w:rsid w:val="00F22EBC"/>
    <w:rsid w:val="00F319BC"/>
    <w:rsid w:val="00F57ACF"/>
    <w:rsid w:val="00FA2674"/>
    <w:rsid w:val="00FD50F6"/>
    <w:rsid w:val="00FD5365"/>
    <w:rsid w:val="00FF42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1A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1AF6"/>
  </w:style>
  <w:style w:type="paragraph" w:styleId="Footer">
    <w:name w:val="footer"/>
    <w:basedOn w:val="Normal"/>
    <w:link w:val="FooterChar"/>
    <w:uiPriority w:val="99"/>
    <w:unhideWhenUsed/>
    <w:rsid w:val="00B41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1A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1AF6"/>
  </w:style>
  <w:style w:type="paragraph" w:styleId="Footer">
    <w:name w:val="footer"/>
    <w:basedOn w:val="Normal"/>
    <w:link w:val="FooterChar"/>
    <w:uiPriority w:val="99"/>
    <w:unhideWhenUsed/>
    <w:rsid w:val="00B41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dcterms:created xsi:type="dcterms:W3CDTF">2015-03-25T10:36:00Z</dcterms:created>
  <dcterms:modified xsi:type="dcterms:W3CDTF">2015-03-25T10:36:00Z</dcterms:modified>
</cp:coreProperties>
</file>