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63" w:rsidRDefault="00522763">
      <w:pPr>
        <w:pStyle w:val="BodyText8"/>
        <w:shd w:val="clear" w:color="auto" w:fill="auto"/>
        <w:ind w:left="40" w:firstLine="0"/>
        <w:rPr>
          <w:rStyle w:val="BodyText1"/>
        </w:rPr>
      </w:pPr>
      <w:r>
        <w:rPr>
          <w:rStyle w:val="BodyText1"/>
        </w:rPr>
        <w:t xml:space="preserve"> THE REPUBLIC OF UGANDA</w:t>
      </w:r>
    </w:p>
    <w:p w:rsidR="00522763" w:rsidRDefault="00522763">
      <w:pPr>
        <w:pStyle w:val="BodyText8"/>
        <w:shd w:val="clear" w:color="auto" w:fill="auto"/>
        <w:ind w:left="40" w:firstLine="0"/>
        <w:rPr>
          <w:rStyle w:val="BodyText1"/>
        </w:rPr>
      </w:pPr>
      <w:r>
        <w:rPr>
          <w:rStyle w:val="BodyText1"/>
        </w:rPr>
        <w:t>IN THE HIGHCOURT OF UGANDA AT KAMPALA</w:t>
      </w:r>
    </w:p>
    <w:p w:rsidR="00522763" w:rsidRDefault="00522763">
      <w:pPr>
        <w:pStyle w:val="BodyText8"/>
        <w:shd w:val="clear" w:color="auto" w:fill="auto"/>
        <w:ind w:left="40" w:firstLine="0"/>
        <w:rPr>
          <w:rStyle w:val="BodyText1"/>
        </w:rPr>
      </w:pPr>
      <w:r>
        <w:rPr>
          <w:rStyle w:val="BodyText1"/>
        </w:rPr>
        <w:t>CRIM.REV.NO.157 OF 1976</w:t>
      </w:r>
    </w:p>
    <w:p w:rsidR="00716F00" w:rsidRDefault="00B10B33">
      <w:pPr>
        <w:pStyle w:val="BodyText8"/>
        <w:shd w:val="clear" w:color="auto" w:fill="auto"/>
        <w:ind w:left="40" w:firstLine="0"/>
        <w:rPr>
          <w:rStyle w:val="BodyText1"/>
        </w:rPr>
      </w:pPr>
      <w:r>
        <w:rPr>
          <w:rStyle w:val="BodyText1"/>
        </w:rPr>
        <w:t xml:space="preserve">Uganda v. </w:t>
      </w:r>
      <w:proofErr w:type="spellStart"/>
      <w:r>
        <w:rPr>
          <w:rStyle w:val="BodyText1"/>
        </w:rPr>
        <w:t>Oloya</w:t>
      </w:r>
      <w:proofErr w:type="spellEnd"/>
      <w:r>
        <w:rPr>
          <w:rStyle w:val="BodyText1"/>
        </w:rPr>
        <w:t xml:space="preserve"> s/o </w:t>
      </w:r>
      <w:proofErr w:type="spellStart"/>
      <w:r>
        <w:rPr>
          <w:rStyle w:val="BodyText1"/>
        </w:rPr>
        <w:t>Yovani</w:t>
      </w:r>
      <w:proofErr w:type="spellEnd"/>
      <w:r>
        <w:rPr>
          <w:rStyle w:val="BodyText1"/>
        </w:rPr>
        <w:t xml:space="preserve"> </w:t>
      </w:r>
      <w:proofErr w:type="spellStart"/>
      <w:r>
        <w:rPr>
          <w:rStyle w:val="BodyText1"/>
        </w:rPr>
        <w:t>Omeke</w:t>
      </w:r>
      <w:proofErr w:type="spellEnd"/>
    </w:p>
    <w:p w:rsidR="00B10B33" w:rsidRDefault="00B10B33">
      <w:pPr>
        <w:pStyle w:val="BodyText8"/>
        <w:shd w:val="clear" w:color="auto" w:fill="auto"/>
        <w:ind w:left="40" w:firstLine="0"/>
      </w:pPr>
      <w:r>
        <w:rPr>
          <w:rStyle w:val="BodyText1"/>
        </w:rPr>
        <w:t>JUDGEMENT</w:t>
      </w:r>
    </w:p>
    <w:p w:rsidR="00716F00" w:rsidRDefault="00B10B33">
      <w:pPr>
        <w:pStyle w:val="BodyText8"/>
        <w:shd w:val="clear" w:color="auto" w:fill="auto"/>
        <w:spacing w:after="240" w:line="274" w:lineRule="exact"/>
        <w:ind w:left="20" w:right="20" w:firstLine="0"/>
        <w:jc w:val="both"/>
      </w:pPr>
      <w:r>
        <w:rPr>
          <w:rStyle w:val="BodyText20"/>
        </w:rPr>
        <w:t xml:space="preserve">Criminal law </w:t>
      </w:r>
      <w:r>
        <w:rPr>
          <w:rStyle w:val="BodyText3"/>
        </w:rPr>
        <w:t xml:space="preserve">- </w:t>
      </w:r>
      <w:r>
        <w:rPr>
          <w:rStyle w:val="BodyText20"/>
        </w:rPr>
        <w:t xml:space="preserve">Sentencing </w:t>
      </w:r>
      <w:r>
        <w:rPr>
          <w:rStyle w:val="BodyText4"/>
        </w:rPr>
        <w:t xml:space="preserve">- </w:t>
      </w:r>
      <w:r>
        <w:rPr>
          <w:rStyle w:val="BodyText20"/>
        </w:rPr>
        <w:t>Corporal Punishment imposed on accused whose age was</w:t>
      </w:r>
      <w:r>
        <w:rPr>
          <w:rStyle w:val="BodyText1"/>
        </w:rPr>
        <w:t xml:space="preserve"> </w:t>
      </w:r>
      <w:r>
        <w:rPr>
          <w:rStyle w:val="BodyText4"/>
        </w:rPr>
        <w:t xml:space="preserve">16 years </w:t>
      </w:r>
      <w:r>
        <w:rPr>
          <w:rStyle w:val="BodyText20"/>
        </w:rPr>
        <w:t>Corporal punishment to be imposed only on a male person</w:t>
      </w:r>
      <w:r>
        <w:rPr>
          <w:rStyle w:val="BodyText20"/>
        </w:rPr>
        <w:t xml:space="preserve"> under the age of 16</w:t>
      </w:r>
      <w:r>
        <w:rPr>
          <w:rStyle w:val="BodyText1"/>
        </w:rPr>
        <w:t xml:space="preserve"> </w:t>
      </w:r>
      <w:r>
        <w:rPr>
          <w:rStyle w:val="BodyText20"/>
        </w:rPr>
        <w:t xml:space="preserve">years s. 191(3) M.C.A. </w:t>
      </w:r>
      <w:r>
        <w:rPr>
          <w:rStyle w:val="BodyText3"/>
        </w:rPr>
        <w:t xml:space="preserve">- </w:t>
      </w:r>
      <w:r>
        <w:rPr>
          <w:rStyle w:val="BodyText20"/>
        </w:rPr>
        <w:t>Duty of court to ascertain age of accused where there is doubt.</w:t>
      </w:r>
    </w:p>
    <w:p w:rsidR="00716F00" w:rsidRDefault="00B10B33">
      <w:pPr>
        <w:pStyle w:val="BodyText8"/>
        <w:shd w:val="clear" w:color="auto" w:fill="auto"/>
        <w:spacing w:after="240" w:line="274" w:lineRule="exact"/>
        <w:ind w:left="20" w:right="20" w:firstLine="0"/>
        <w:jc w:val="both"/>
      </w:pPr>
      <w:r>
        <w:rPr>
          <w:rStyle w:val="BodyText20"/>
        </w:rPr>
        <w:t xml:space="preserve">Evidence </w:t>
      </w:r>
      <w:r>
        <w:rPr>
          <w:rStyle w:val="BodyText4"/>
        </w:rPr>
        <w:t xml:space="preserve">- </w:t>
      </w:r>
      <w:r>
        <w:rPr>
          <w:rStyle w:val="BodyText20"/>
        </w:rPr>
        <w:t xml:space="preserve">Burden </w:t>
      </w:r>
      <w:r>
        <w:rPr>
          <w:rStyle w:val="BodyText4"/>
        </w:rPr>
        <w:t xml:space="preserve">of </w:t>
      </w:r>
      <w:r>
        <w:rPr>
          <w:rStyle w:val="BodyText20"/>
        </w:rPr>
        <w:t xml:space="preserve">Proof </w:t>
      </w:r>
      <w:r>
        <w:rPr>
          <w:rStyle w:val="BodyText4"/>
        </w:rPr>
        <w:t xml:space="preserve">- </w:t>
      </w:r>
      <w:r>
        <w:rPr>
          <w:rStyle w:val="BodyText20"/>
        </w:rPr>
        <w:t>Burden lies on prosecution to prove case beyond</w:t>
      </w:r>
      <w:r>
        <w:rPr>
          <w:rStyle w:val="BodyText1"/>
        </w:rPr>
        <w:t xml:space="preserve"> </w:t>
      </w:r>
      <w:r>
        <w:rPr>
          <w:rStyle w:val="BodyText20"/>
        </w:rPr>
        <w:t xml:space="preserve">reasonable doubt </w:t>
      </w:r>
      <w:r>
        <w:rPr>
          <w:rStyle w:val="BodyText4"/>
        </w:rPr>
        <w:t xml:space="preserve">- </w:t>
      </w:r>
      <w:r>
        <w:rPr>
          <w:rStyle w:val="BodyText20"/>
        </w:rPr>
        <w:t>Accused not to be convicted on the weakness of the</w:t>
      </w:r>
      <w:r>
        <w:rPr>
          <w:rStyle w:val="BodyText20"/>
        </w:rPr>
        <w:t xml:space="preserve"> </w:t>
      </w:r>
      <w:proofErr w:type="spellStart"/>
      <w:r>
        <w:rPr>
          <w:rStyle w:val="BodyText20"/>
        </w:rPr>
        <w:t>defence</w:t>
      </w:r>
      <w:proofErr w:type="spellEnd"/>
      <w:r>
        <w:rPr>
          <w:rStyle w:val="BodyText20"/>
        </w:rPr>
        <w:t xml:space="preserve"> but on</w:t>
      </w:r>
      <w:r>
        <w:rPr>
          <w:rStyle w:val="BodyText1"/>
        </w:rPr>
        <w:t xml:space="preserve"> </w:t>
      </w:r>
      <w:r>
        <w:rPr>
          <w:rStyle w:val="BodyText20"/>
        </w:rPr>
        <w:t xml:space="preserve">the strength </w:t>
      </w:r>
      <w:r>
        <w:rPr>
          <w:rStyle w:val="BodyText5"/>
        </w:rPr>
        <w:t xml:space="preserve">of </w:t>
      </w:r>
      <w:r>
        <w:rPr>
          <w:rStyle w:val="BodyText20"/>
        </w:rPr>
        <w:t xml:space="preserve">prosecution case </w:t>
      </w:r>
      <w:r>
        <w:rPr>
          <w:rStyle w:val="BodyText4"/>
        </w:rPr>
        <w:t xml:space="preserve">- </w:t>
      </w:r>
      <w:r>
        <w:rPr>
          <w:rStyle w:val="BodyText20"/>
        </w:rPr>
        <w:t xml:space="preserve">Duty </w:t>
      </w:r>
      <w:r>
        <w:rPr>
          <w:rStyle w:val="BodyText5"/>
        </w:rPr>
        <w:t xml:space="preserve">of </w:t>
      </w:r>
      <w:r>
        <w:rPr>
          <w:rStyle w:val="BodyText20"/>
        </w:rPr>
        <w:t>court to look at evidence as a whole.</w:t>
      </w:r>
    </w:p>
    <w:p w:rsidR="00716F00" w:rsidRDefault="00B10B33">
      <w:pPr>
        <w:pStyle w:val="BodyText8"/>
        <w:shd w:val="clear" w:color="auto" w:fill="auto"/>
        <w:spacing w:line="274" w:lineRule="exact"/>
        <w:ind w:left="20" w:right="20" w:firstLine="0"/>
        <w:jc w:val="both"/>
      </w:pPr>
      <w:r>
        <w:rPr>
          <w:rStyle w:val="BodyText20"/>
        </w:rPr>
        <w:t xml:space="preserve">Evidence </w:t>
      </w:r>
      <w:r>
        <w:rPr>
          <w:rStyle w:val="BodyText4"/>
        </w:rPr>
        <w:t xml:space="preserve">- </w:t>
      </w:r>
      <w:r>
        <w:rPr>
          <w:rStyle w:val="BodyText20"/>
        </w:rPr>
        <w:t xml:space="preserve">Evidence of child of tender years </w:t>
      </w:r>
      <w:r>
        <w:rPr>
          <w:rStyle w:val="BodyText4"/>
        </w:rPr>
        <w:t xml:space="preserve">- </w:t>
      </w:r>
      <w:r>
        <w:rPr>
          <w:rStyle w:val="BodyText20"/>
        </w:rPr>
        <w:t>Court to ascertain whether child</w:t>
      </w:r>
      <w:r>
        <w:rPr>
          <w:rStyle w:val="BodyText1"/>
        </w:rPr>
        <w:t xml:space="preserve"> </w:t>
      </w:r>
      <w:r>
        <w:rPr>
          <w:rStyle w:val="BodyText20"/>
        </w:rPr>
        <w:t xml:space="preserve">understands nature </w:t>
      </w:r>
      <w:proofErr w:type="gramStart"/>
      <w:r>
        <w:rPr>
          <w:rStyle w:val="BodyText20"/>
        </w:rPr>
        <w:t>of</w:t>
      </w:r>
      <w:proofErr w:type="gramEnd"/>
      <w:r>
        <w:rPr>
          <w:rStyle w:val="BodyText20"/>
        </w:rPr>
        <w:t xml:space="preserve"> oath </w:t>
      </w:r>
      <w:r>
        <w:rPr>
          <w:rStyle w:val="BodyText4"/>
        </w:rPr>
        <w:t xml:space="preserve">- </w:t>
      </w:r>
      <w:r>
        <w:rPr>
          <w:rStyle w:val="BodyText20"/>
        </w:rPr>
        <w:t>if child is refused swearing - court should record</w:t>
      </w:r>
      <w:r>
        <w:rPr>
          <w:rStyle w:val="BodyText20"/>
        </w:rPr>
        <w:t xml:space="preserve"> that factor</w:t>
      </w:r>
    </w:p>
    <w:p w:rsidR="00716F00" w:rsidRDefault="00B10B33">
      <w:pPr>
        <w:pStyle w:val="BodyText8"/>
        <w:numPr>
          <w:ilvl w:val="0"/>
          <w:numId w:val="1"/>
        </w:numPr>
        <w:shd w:val="clear" w:color="auto" w:fill="auto"/>
        <w:tabs>
          <w:tab w:val="left" w:pos="183"/>
        </w:tabs>
        <w:spacing w:line="274" w:lineRule="exact"/>
        <w:ind w:left="20" w:right="20" w:firstLine="0"/>
        <w:jc w:val="both"/>
      </w:pPr>
      <w:r>
        <w:rPr>
          <w:rStyle w:val="BodyText20"/>
        </w:rPr>
        <w:t xml:space="preserve">where child is possessed </w:t>
      </w:r>
      <w:r>
        <w:rPr>
          <w:rStyle w:val="BodyText4"/>
        </w:rPr>
        <w:t>with enough intelligence to understand duty of telling truth his</w:t>
      </w:r>
      <w:r>
        <w:rPr>
          <w:rStyle w:val="BodyText6"/>
        </w:rPr>
        <w:t xml:space="preserve"> </w:t>
      </w:r>
      <w:r>
        <w:rPr>
          <w:rStyle w:val="BodyText20"/>
        </w:rPr>
        <w:t xml:space="preserve">evidence should </w:t>
      </w:r>
      <w:r>
        <w:rPr>
          <w:rStyle w:val="BodyText4"/>
        </w:rPr>
        <w:t>be taken - court to warn itself that such evidence requires corroboration</w:t>
      </w:r>
    </w:p>
    <w:p w:rsidR="00716F00" w:rsidRDefault="00B10B33">
      <w:pPr>
        <w:pStyle w:val="BodyText8"/>
        <w:numPr>
          <w:ilvl w:val="0"/>
          <w:numId w:val="1"/>
        </w:numPr>
        <w:shd w:val="clear" w:color="auto" w:fill="auto"/>
        <w:tabs>
          <w:tab w:val="left" w:pos="193"/>
        </w:tabs>
        <w:spacing w:after="240" w:line="274" w:lineRule="exact"/>
        <w:ind w:left="760"/>
        <w:jc w:val="both"/>
      </w:pPr>
      <w:proofErr w:type="gramStart"/>
      <w:r>
        <w:rPr>
          <w:rStyle w:val="BodyText20"/>
        </w:rPr>
        <w:t>court</w:t>
      </w:r>
      <w:proofErr w:type="gramEnd"/>
      <w:r>
        <w:rPr>
          <w:rStyle w:val="BodyText20"/>
        </w:rPr>
        <w:t xml:space="preserve"> to record clearly that </w:t>
      </w:r>
      <w:proofErr w:type="spellStart"/>
      <w:r>
        <w:rPr>
          <w:rStyle w:val="BodyText4"/>
        </w:rPr>
        <w:t>voire</w:t>
      </w:r>
      <w:proofErr w:type="spellEnd"/>
      <w:r>
        <w:rPr>
          <w:rStyle w:val="BodyText4"/>
        </w:rPr>
        <w:t xml:space="preserve"> </w:t>
      </w:r>
      <w:r>
        <w:rPr>
          <w:rStyle w:val="BodyText20"/>
        </w:rPr>
        <w:t xml:space="preserve">dire is </w:t>
      </w:r>
      <w:r>
        <w:rPr>
          <w:rStyle w:val="BodyText4"/>
        </w:rPr>
        <w:t>done.</w:t>
      </w:r>
    </w:p>
    <w:p w:rsidR="00716F00" w:rsidRDefault="00B10B33">
      <w:pPr>
        <w:pStyle w:val="BodyText8"/>
        <w:shd w:val="clear" w:color="auto" w:fill="auto"/>
        <w:spacing w:after="240" w:line="274" w:lineRule="exact"/>
        <w:ind w:left="20" w:right="20" w:firstLine="0"/>
        <w:jc w:val="both"/>
      </w:pPr>
      <w:r>
        <w:rPr>
          <w:rStyle w:val="BodyText1"/>
        </w:rPr>
        <w:t>The accused ag</w:t>
      </w:r>
      <w:r>
        <w:rPr>
          <w:rStyle w:val="BodyText1"/>
        </w:rPr>
        <w:t xml:space="preserve">ed 16 years, was charged with the offence of </w:t>
      </w:r>
      <w:r>
        <w:rPr>
          <w:rStyle w:val="BodyText6"/>
        </w:rPr>
        <w:t xml:space="preserve">failing to </w:t>
      </w:r>
      <w:r>
        <w:rPr>
          <w:rStyle w:val="BodyText1"/>
        </w:rPr>
        <w:t xml:space="preserve">prevent </w:t>
      </w:r>
      <w:r>
        <w:rPr>
          <w:rStyle w:val="BodyText6"/>
        </w:rPr>
        <w:t xml:space="preserve">a </w:t>
      </w:r>
      <w:r>
        <w:rPr>
          <w:rStyle w:val="BodyText1"/>
        </w:rPr>
        <w:t xml:space="preserve">fire from spreading c/s 311(c) of Penal Code. He pleaded not </w:t>
      </w:r>
      <w:r>
        <w:rPr>
          <w:rStyle w:val="BodyText6"/>
        </w:rPr>
        <w:t xml:space="preserve">guilty </w:t>
      </w:r>
      <w:r>
        <w:rPr>
          <w:rStyle w:val="BodyText1"/>
        </w:rPr>
        <w:t xml:space="preserve">but </w:t>
      </w:r>
      <w:r>
        <w:rPr>
          <w:rStyle w:val="BodyText6"/>
        </w:rPr>
        <w:t xml:space="preserve">was </w:t>
      </w:r>
      <w:r>
        <w:rPr>
          <w:rStyle w:val="BodyText1"/>
        </w:rPr>
        <w:t xml:space="preserve">later convicted and sentenced to corporal punishment of 4 strokes in accordance </w:t>
      </w:r>
      <w:r>
        <w:rPr>
          <w:rStyle w:val="BodyText6"/>
        </w:rPr>
        <w:t xml:space="preserve">with s. </w:t>
      </w:r>
      <w:r>
        <w:rPr>
          <w:rStyle w:val="BodyText1"/>
        </w:rPr>
        <w:t>191(3) of M.C.A.</w:t>
      </w:r>
    </w:p>
    <w:p w:rsidR="00716F00" w:rsidRDefault="00B10B33">
      <w:pPr>
        <w:pStyle w:val="BodyText8"/>
        <w:shd w:val="clear" w:color="auto" w:fill="auto"/>
        <w:spacing w:after="240" w:line="274" w:lineRule="exact"/>
        <w:ind w:left="20" w:right="20" w:firstLine="0"/>
        <w:jc w:val="both"/>
      </w:pPr>
      <w:r>
        <w:rPr>
          <w:rStyle w:val="BodyText1"/>
        </w:rPr>
        <w:t>There had</w:t>
      </w:r>
      <w:r>
        <w:rPr>
          <w:rStyle w:val="BodyText1"/>
        </w:rPr>
        <w:t xml:space="preserve"> been a big bush fire blazing from the direction of a road and </w:t>
      </w:r>
      <w:r>
        <w:rPr>
          <w:rStyle w:val="BodyText6"/>
        </w:rPr>
        <w:t xml:space="preserve">to </w:t>
      </w:r>
      <w:r>
        <w:rPr>
          <w:rStyle w:val="BodyText1"/>
        </w:rPr>
        <w:t xml:space="preserve">save </w:t>
      </w:r>
      <w:r>
        <w:rPr>
          <w:rStyle w:val="BodyText6"/>
        </w:rPr>
        <w:t xml:space="preserve">his </w:t>
      </w:r>
      <w:r>
        <w:rPr>
          <w:rStyle w:val="BodyText1"/>
        </w:rPr>
        <w:t>own premises the accused set another fire which spread and damaged the complainant’s house. The complainant testified that he had actually seen the accused setting the other fire an</w:t>
      </w:r>
      <w:r>
        <w:rPr>
          <w:rStyle w:val="BodyText1"/>
        </w:rPr>
        <w:t xml:space="preserve">d the prosecution called another witness, P.W.2, aged </w:t>
      </w:r>
      <w:r>
        <w:rPr>
          <w:rStyle w:val="BodyText6"/>
        </w:rPr>
        <w:t xml:space="preserve">7 </w:t>
      </w:r>
      <w:r>
        <w:rPr>
          <w:rStyle w:val="BodyText1"/>
        </w:rPr>
        <w:t xml:space="preserve">years, </w:t>
      </w:r>
      <w:r>
        <w:rPr>
          <w:rStyle w:val="BodyText6"/>
        </w:rPr>
        <w:t xml:space="preserve">to </w:t>
      </w:r>
      <w:r>
        <w:rPr>
          <w:rStyle w:val="BodyText1"/>
        </w:rPr>
        <w:t>give an eye</w:t>
      </w:r>
      <w:r>
        <w:rPr>
          <w:rStyle w:val="BodyText1"/>
        </w:rPr>
        <w:softHyphen/>
        <w:t xml:space="preserve">witness account of how the accused started the fire. There was no proper </w:t>
      </w:r>
      <w:proofErr w:type="spellStart"/>
      <w:r>
        <w:rPr>
          <w:rStyle w:val="BodyText20"/>
        </w:rPr>
        <w:t>voire</w:t>
      </w:r>
      <w:proofErr w:type="spellEnd"/>
      <w:r>
        <w:rPr>
          <w:rStyle w:val="BodyText20"/>
        </w:rPr>
        <w:t xml:space="preserve"> dire</w:t>
      </w:r>
      <w:r>
        <w:rPr>
          <w:rStyle w:val="BodyText1"/>
        </w:rPr>
        <w:t xml:space="preserve"> nor was there any direction concerning corroboration of the evidence of a child of tender </w:t>
      </w:r>
      <w:r>
        <w:rPr>
          <w:rStyle w:val="BodyText6"/>
        </w:rPr>
        <w:t>year</w:t>
      </w:r>
      <w:r>
        <w:rPr>
          <w:rStyle w:val="BodyText6"/>
        </w:rPr>
        <w:t xml:space="preserve">s </w:t>
      </w:r>
      <w:r>
        <w:rPr>
          <w:rStyle w:val="BodyText1"/>
        </w:rPr>
        <w:t xml:space="preserve">carried out. The trial magistrate’s notes stated: P.W.2 </w:t>
      </w:r>
      <w:proofErr w:type="spellStart"/>
      <w:r>
        <w:rPr>
          <w:rStyle w:val="BodyText1"/>
        </w:rPr>
        <w:t>Ojo</w:t>
      </w:r>
      <w:proofErr w:type="spellEnd"/>
      <w:r>
        <w:rPr>
          <w:rStyle w:val="BodyText1"/>
        </w:rPr>
        <w:t xml:space="preserve"> s/o </w:t>
      </w:r>
      <w:proofErr w:type="spellStart"/>
      <w:r>
        <w:rPr>
          <w:rStyle w:val="BodyText1"/>
        </w:rPr>
        <w:t>Otuba</w:t>
      </w:r>
      <w:proofErr w:type="spellEnd"/>
      <w:r>
        <w:rPr>
          <w:rStyle w:val="BodyText1"/>
        </w:rPr>
        <w:t xml:space="preserve">, aged 7 years a child of tender years tested and found does not understand the nature of oath but he </w:t>
      </w:r>
      <w:r>
        <w:rPr>
          <w:rStyle w:val="BodyText6"/>
        </w:rPr>
        <w:t xml:space="preserve">is </w:t>
      </w:r>
      <w:r>
        <w:rPr>
          <w:rStyle w:val="BodyText1"/>
        </w:rPr>
        <w:t>possessed of sufficient intelligence to justify the reception of the evidence an</w:t>
      </w:r>
      <w:r>
        <w:rPr>
          <w:rStyle w:val="BodyText1"/>
        </w:rPr>
        <w:t>d understands the duty of telling the truth. His evidence is therefore received not on oath.”</w:t>
      </w:r>
    </w:p>
    <w:p w:rsidR="00716F00" w:rsidRDefault="00B10B33">
      <w:pPr>
        <w:pStyle w:val="BodyText8"/>
        <w:shd w:val="clear" w:color="auto" w:fill="auto"/>
        <w:spacing w:after="236" w:line="274" w:lineRule="exact"/>
        <w:ind w:left="20" w:right="20" w:firstLine="0"/>
        <w:jc w:val="both"/>
      </w:pPr>
      <w:r>
        <w:rPr>
          <w:rStyle w:val="BodyText1"/>
        </w:rPr>
        <w:t>The trial magistrate also based his decision on the fact that the accused did not produce evidence to show that he took reasonable steps to stop the spread of the</w:t>
      </w:r>
      <w:r>
        <w:rPr>
          <w:rStyle w:val="BodyText1"/>
        </w:rPr>
        <w:t xml:space="preserve"> fire.</w:t>
      </w:r>
    </w:p>
    <w:p w:rsidR="00716F00" w:rsidRDefault="00B10B33">
      <w:pPr>
        <w:pStyle w:val="BodyText8"/>
        <w:shd w:val="clear" w:color="auto" w:fill="auto"/>
        <w:spacing w:line="278" w:lineRule="exact"/>
        <w:ind w:left="760" w:right="20"/>
        <w:jc w:val="both"/>
      </w:pPr>
      <w:r>
        <w:rPr>
          <w:rStyle w:val="BodyText20"/>
        </w:rPr>
        <w:t>Held:</w:t>
      </w:r>
      <w:r>
        <w:rPr>
          <w:rStyle w:val="BodyText1"/>
        </w:rPr>
        <w:t xml:space="preserve"> 1. Where the court is confronted with a child of tender years called to give evidence it should question the child to ascertain whether he or she understands the nature of an oath and if the court does not allow the child to be sworn it should</w:t>
      </w:r>
    </w:p>
    <w:p w:rsidR="00716F00" w:rsidRDefault="00B10B33">
      <w:pPr>
        <w:pStyle w:val="BodyText8"/>
        <w:shd w:val="clear" w:color="auto" w:fill="auto"/>
        <w:spacing w:after="240" w:line="269" w:lineRule="exact"/>
        <w:ind w:left="20" w:right="40" w:firstLine="0"/>
        <w:jc w:val="both"/>
      </w:pPr>
      <w:r>
        <w:rPr>
          <w:rStyle w:val="BodyText6"/>
        </w:rPr>
        <w:t>rec</w:t>
      </w:r>
      <w:bookmarkStart w:id="0" w:name="_GoBack"/>
      <w:bookmarkEnd w:id="0"/>
      <w:r>
        <w:rPr>
          <w:rStyle w:val="BodyText6"/>
        </w:rPr>
        <w:t xml:space="preserve">ord whether in its opinion the child is possessed of sufficient intelligence to justify reception of </w:t>
      </w:r>
      <w:r>
        <w:rPr>
          <w:rStyle w:val="BodyText6"/>
        </w:rPr>
        <w:lastRenderedPageBreak/>
        <w:t xml:space="preserve">the evidence and understands </w:t>
      </w:r>
      <w:r>
        <w:t xml:space="preserve">the </w:t>
      </w:r>
      <w:r>
        <w:rPr>
          <w:rStyle w:val="BodyText6"/>
        </w:rPr>
        <w:t xml:space="preserve">duty of telling </w:t>
      </w:r>
      <w:r>
        <w:t xml:space="preserve">the truth and </w:t>
      </w:r>
      <w:r>
        <w:rPr>
          <w:rStyle w:val="BodyText6"/>
        </w:rPr>
        <w:t xml:space="preserve">where the child is a prosecution witness the court should also direct itself </w:t>
      </w:r>
      <w:r>
        <w:t xml:space="preserve">that </w:t>
      </w:r>
      <w:r>
        <w:rPr>
          <w:rStyle w:val="BodyText6"/>
        </w:rPr>
        <w:t>the ch</w:t>
      </w:r>
      <w:r>
        <w:rPr>
          <w:rStyle w:val="BodyText6"/>
        </w:rPr>
        <w:t xml:space="preserve">ild’s evidence requires corroboration. The court record must </w:t>
      </w:r>
      <w:r>
        <w:t xml:space="preserve">make clear that </w:t>
      </w:r>
      <w:r>
        <w:rPr>
          <w:rStyle w:val="BodyText6"/>
        </w:rPr>
        <w:t xml:space="preserve">such a </w:t>
      </w:r>
      <w:proofErr w:type="spellStart"/>
      <w:r>
        <w:rPr>
          <w:rStyle w:val="BodyText4"/>
        </w:rPr>
        <w:t>voire</w:t>
      </w:r>
      <w:proofErr w:type="spellEnd"/>
      <w:r>
        <w:rPr>
          <w:rStyle w:val="BodyText4"/>
        </w:rPr>
        <w:t xml:space="preserve"> dire</w:t>
      </w:r>
      <w:r>
        <w:rPr>
          <w:rStyle w:val="BodyText6"/>
        </w:rPr>
        <w:t xml:space="preserve"> has been held.</w:t>
      </w:r>
    </w:p>
    <w:p w:rsidR="00716F00" w:rsidRDefault="00B10B33">
      <w:pPr>
        <w:pStyle w:val="BodyText8"/>
        <w:numPr>
          <w:ilvl w:val="0"/>
          <w:numId w:val="2"/>
        </w:numPr>
        <w:shd w:val="clear" w:color="auto" w:fill="auto"/>
        <w:tabs>
          <w:tab w:val="left" w:pos="279"/>
        </w:tabs>
        <w:spacing w:after="236" w:line="269" w:lineRule="exact"/>
        <w:ind w:left="20" w:right="40" w:firstLine="0"/>
        <w:jc w:val="both"/>
      </w:pPr>
      <w:r>
        <w:rPr>
          <w:rStyle w:val="BodyText6"/>
        </w:rPr>
        <w:t>The investigation into the meaning of an oath need not be a lengthy one but it must be made and when made it must be recorded down. The investigat</w:t>
      </w:r>
      <w:r>
        <w:rPr>
          <w:rStyle w:val="BodyText6"/>
        </w:rPr>
        <w:t>ion should proceed the swearing and the evidence and should be directed to the particular question whether the child understands the nature of an oath rather than to the question of his general intelligence.</w:t>
      </w:r>
    </w:p>
    <w:p w:rsidR="00716F00" w:rsidRDefault="00B10B33">
      <w:pPr>
        <w:pStyle w:val="BodyText8"/>
        <w:numPr>
          <w:ilvl w:val="0"/>
          <w:numId w:val="2"/>
        </w:numPr>
        <w:shd w:val="clear" w:color="auto" w:fill="auto"/>
        <w:tabs>
          <w:tab w:val="left" w:pos="322"/>
        </w:tabs>
        <w:spacing w:after="240" w:line="274" w:lineRule="exact"/>
        <w:ind w:left="20" w:right="40" w:firstLine="0"/>
        <w:jc w:val="both"/>
      </w:pPr>
      <w:r>
        <w:rPr>
          <w:rStyle w:val="BodyText6"/>
        </w:rPr>
        <w:t>It is manifest that religious belief is fundamen</w:t>
      </w:r>
      <w:r>
        <w:rPr>
          <w:rStyle w:val="BodyText6"/>
        </w:rPr>
        <w:t xml:space="preserve">tal to the understanding of </w:t>
      </w:r>
      <w:r>
        <w:t xml:space="preserve">an </w:t>
      </w:r>
      <w:r>
        <w:rPr>
          <w:rStyle w:val="BodyText6"/>
        </w:rPr>
        <w:t>oath and if the court is satisfied on this issue the child can be sworn, but, if the court is not satisfied that the child understands the nature of an oath it remains the duty of the court to ascertain not only that the chil</w:t>
      </w:r>
      <w:r>
        <w:rPr>
          <w:rStyle w:val="BodyText6"/>
        </w:rPr>
        <w:t>d is of sufficient intelligence to justify reception of the evidence but also that the child understands the difference between truth and falsehood.</w:t>
      </w:r>
    </w:p>
    <w:p w:rsidR="00716F00" w:rsidRDefault="00B10B33">
      <w:pPr>
        <w:pStyle w:val="BodyText8"/>
        <w:numPr>
          <w:ilvl w:val="0"/>
          <w:numId w:val="2"/>
        </w:numPr>
        <w:shd w:val="clear" w:color="auto" w:fill="auto"/>
        <w:tabs>
          <w:tab w:val="left" w:pos="308"/>
        </w:tabs>
        <w:spacing w:after="143" w:line="274" w:lineRule="exact"/>
        <w:ind w:left="20" w:right="40" w:firstLine="0"/>
        <w:jc w:val="both"/>
      </w:pPr>
      <w:r>
        <w:rPr>
          <w:rStyle w:val="BodyText6"/>
        </w:rPr>
        <w:t xml:space="preserve">A finding that the child was sufficiently intelligent to give evidence is not enough and an omission to go </w:t>
      </w:r>
      <w:r>
        <w:rPr>
          <w:rStyle w:val="BodyText6"/>
        </w:rPr>
        <w:t>further to the issue of whether the child understood the difference between truth and falsehood could be fatal to a conviction in a case where the child’s evidence was vital.</w:t>
      </w:r>
    </w:p>
    <w:p w:rsidR="00716F00" w:rsidRDefault="00B10B33">
      <w:pPr>
        <w:pStyle w:val="Heading10"/>
        <w:keepNext/>
        <w:keepLines/>
        <w:shd w:val="clear" w:color="auto" w:fill="auto"/>
        <w:spacing w:before="0" w:line="170" w:lineRule="exact"/>
        <w:ind w:left="920"/>
      </w:pPr>
      <w:bookmarkStart w:id="1" w:name="bookmark0"/>
      <w:r>
        <w:rPr>
          <w:rStyle w:val="Heading11"/>
        </w:rPr>
        <w:t>. . .</w:t>
      </w:r>
      <w:bookmarkEnd w:id="1"/>
    </w:p>
    <w:p w:rsidR="00716F00" w:rsidRDefault="00B10B33">
      <w:pPr>
        <w:pStyle w:val="BodyText8"/>
        <w:numPr>
          <w:ilvl w:val="0"/>
          <w:numId w:val="2"/>
        </w:numPr>
        <w:shd w:val="clear" w:color="auto" w:fill="auto"/>
        <w:tabs>
          <w:tab w:val="left" w:pos="260"/>
        </w:tabs>
        <w:spacing w:line="220" w:lineRule="exact"/>
        <w:ind w:left="20" w:firstLine="0"/>
        <w:jc w:val="both"/>
      </w:pPr>
      <w:r>
        <w:rPr>
          <w:rStyle w:val="BodyText6"/>
        </w:rPr>
        <w:t xml:space="preserve">In the instant case the trial Magistrate’s note concerning P.W.2 was not </w:t>
      </w:r>
      <w:r>
        <w:rPr>
          <w:rStyle w:val="BodyText6"/>
        </w:rPr>
        <w:t>enough</w:t>
      </w:r>
    </w:p>
    <w:p w:rsidR="00716F00" w:rsidRDefault="00B10B33">
      <w:pPr>
        <w:pStyle w:val="BodyText8"/>
        <w:shd w:val="clear" w:color="auto" w:fill="auto"/>
        <w:spacing w:after="240" w:line="269" w:lineRule="exact"/>
        <w:ind w:left="20" w:right="40" w:firstLine="0"/>
        <w:jc w:val="both"/>
      </w:pPr>
      <w:proofErr w:type="gramStart"/>
      <w:r>
        <w:rPr>
          <w:rStyle w:val="BodyText6"/>
        </w:rPr>
        <w:t>and</w:t>
      </w:r>
      <w:proofErr w:type="gramEnd"/>
      <w:r>
        <w:rPr>
          <w:rStyle w:val="BodyText6"/>
        </w:rPr>
        <w:t xml:space="preserve"> as he did not record his investigation properly, there was nothing to enable this court to say whether the child was in fact competent to give unsworn evidence.</w:t>
      </w:r>
    </w:p>
    <w:p w:rsidR="00716F00" w:rsidRDefault="00B10B33">
      <w:pPr>
        <w:pStyle w:val="BodyText8"/>
        <w:numPr>
          <w:ilvl w:val="0"/>
          <w:numId w:val="2"/>
        </w:numPr>
        <w:shd w:val="clear" w:color="auto" w:fill="auto"/>
        <w:tabs>
          <w:tab w:val="left" w:pos="303"/>
        </w:tabs>
        <w:spacing w:after="240" w:line="269" w:lineRule="exact"/>
        <w:ind w:left="20" w:right="40" w:firstLine="0"/>
        <w:jc w:val="both"/>
      </w:pPr>
      <w:r>
        <w:rPr>
          <w:rStyle w:val="BodyText6"/>
        </w:rPr>
        <w:t>It is a cardinal principle of the Criminal law that the burden of proving the charge</w:t>
      </w:r>
      <w:r>
        <w:rPr>
          <w:rStyle w:val="BodyText6"/>
        </w:rPr>
        <w:t xml:space="preserve"> beyond reasonable doubt is on the prosecution and the accused ought not to be convicted on the weakness of the defence but on the strength of the prosecution case.</w:t>
      </w:r>
    </w:p>
    <w:p w:rsidR="00716F00" w:rsidRDefault="00B10B33">
      <w:pPr>
        <w:pStyle w:val="BodyText8"/>
        <w:numPr>
          <w:ilvl w:val="0"/>
          <w:numId w:val="2"/>
        </w:numPr>
        <w:shd w:val="clear" w:color="auto" w:fill="auto"/>
        <w:tabs>
          <w:tab w:val="left" w:pos="289"/>
        </w:tabs>
        <w:spacing w:after="233" w:line="269" w:lineRule="exact"/>
        <w:ind w:left="20" w:right="40" w:firstLine="0"/>
        <w:jc w:val="both"/>
      </w:pPr>
      <w:r>
        <w:rPr>
          <w:rStyle w:val="BodyText6"/>
        </w:rPr>
        <w:t>It is fundamentally wrong to evaluate the case for the prosecution in isolation and then co</w:t>
      </w:r>
      <w:r>
        <w:rPr>
          <w:rStyle w:val="BodyText6"/>
        </w:rPr>
        <w:t xml:space="preserve">nsider whether or not the case for the defence rebuts or casts double on it. In the instant case the trial magistrate ignored the fact that he had to </w:t>
      </w:r>
      <w:r>
        <w:t xml:space="preserve">look </w:t>
      </w:r>
      <w:r>
        <w:rPr>
          <w:rStyle w:val="BodyText6"/>
        </w:rPr>
        <w:t>at the evidence as a whole.</w:t>
      </w:r>
    </w:p>
    <w:p w:rsidR="00716F00" w:rsidRDefault="00B10B33">
      <w:pPr>
        <w:pStyle w:val="BodyText8"/>
        <w:numPr>
          <w:ilvl w:val="0"/>
          <w:numId w:val="2"/>
        </w:numPr>
        <w:shd w:val="clear" w:color="auto" w:fill="auto"/>
        <w:tabs>
          <w:tab w:val="left" w:pos="327"/>
        </w:tabs>
        <w:spacing w:after="240" w:line="278" w:lineRule="exact"/>
        <w:ind w:left="20" w:right="40" w:firstLine="0"/>
        <w:jc w:val="both"/>
      </w:pPr>
      <w:r>
        <w:rPr>
          <w:rStyle w:val="BodyText6"/>
        </w:rPr>
        <w:t>Under section 191(3) of M.C.A. Corporal punishment can only be imposed on</w:t>
      </w:r>
      <w:r>
        <w:rPr>
          <w:rStyle w:val="BodyText6"/>
        </w:rPr>
        <w:t xml:space="preserve"> a male person under the age of sixteen years.</w:t>
      </w:r>
    </w:p>
    <w:p w:rsidR="00716F00" w:rsidRDefault="00B10B33">
      <w:pPr>
        <w:pStyle w:val="BodyText8"/>
        <w:numPr>
          <w:ilvl w:val="0"/>
          <w:numId w:val="2"/>
        </w:numPr>
        <w:shd w:val="clear" w:color="auto" w:fill="auto"/>
        <w:tabs>
          <w:tab w:val="left" w:pos="342"/>
        </w:tabs>
        <w:spacing w:after="248" w:line="278" w:lineRule="exact"/>
        <w:ind w:left="20" w:right="40" w:firstLine="0"/>
        <w:jc w:val="both"/>
      </w:pPr>
      <w:r>
        <w:rPr>
          <w:rStyle w:val="BodyText6"/>
        </w:rPr>
        <w:t>It is of necessity that the court should make a specific finding as to the age of the boy. In arriving at his finding the magistrate should consider any available</w:t>
      </w:r>
      <w:r>
        <w:rPr>
          <w:rStyle w:val="BodyText6"/>
        </w:rPr>
        <w:br w:type="page"/>
      </w:r>
      <w:r>
        <w:rPr>
          <w:rStyle w:val="BodyText6"/>
        </w:rPr>
        <w:lastRenderedPageBreak/>
        <w:t>evidence, which may come from any source, e.g.</w:t>
      </w:r>
      <w:r>
        <w:rPr>
          <w:rStyle w:val="BodyText6"/>
        </w:rPr>
        <w:t xml:space="preserve"> the boy himself, his parents, medical evidence.</w:t>
      </w:r>
    </w:p>
    <w:p w:rsidR="00716F00" w:rsidRDefault="00B10B33">
      <w:pPr>
        <w:pStyle w:val="BodyText8"/>
        <w:numPr>
          <w:ilvl w:val="0"/>
          <w:numId w:val="2"/>
        </w:numPr>
        <w:shd w:val="clear" w:color="auto" w:fill="auto"/>
        <w:tabs>
          <w:tab w:val="left" w:pos="394"/>
        </w:tabs>
        <w:spacing w:after="244" w:line="269" w:lineRule="exact"/>
        <w:ind w:left="20" w:right="60" w:firstLine="0"/>
        <w:jc w:val="both"/>
      </w:pPr>
      <w:r>
        <w:rPr>
          <w:rStyle w:val="BodyText6"/>
        </w:rPr>
        <w:t>In the instant case the age was given as 16 years and not below an</w:t>
      </w:r>
      <w:r>
        <w:rPr>
          <w:rStyle w:val="BodyText6"/>
        </w:rPr>
        <w:t>d if the trial magistrate entertained any doubt about his age he should have called for evidence to prove it.</w:t>
      </w:r>
    </w:p>
    <w:p w:rsidR="00716F00" w:rsidRDefault="00B10B33">
      <w:pPr>
        <w:pStyle w:val="BodyText8"/>
        <w:numPr>
          <w:ilvl w:val="0"/>
          <w:numId w:val="2"/>
        </w:numPr>
        <w:shd w:val="clear" w:color="auto" w:fill="auto"/>
        <w:tabs>
          <w:tab w:val="left" w:pos="399"/>
        </w:tabs>
        <w:spacing w:after="275" w:line="264" w:lineRule="exact"/>
        <w:ind w:left="20" w:right="60" w:firstLine="0"/>
        <w:jc w:val="both"/>
      </w:pPr>
      <w:r>
        <w:rPr>
          <w:rStyle w:val="BodyText6"/>
        </w:rPr>
        <w:t>A sentence of corporal punishment on a boy who is not below 16 is clearly illegal.</w:t>
      </w:r>
    </w:p>
    <w:p w:rsidR="00716F00" w:rsidRDefault="00B10B33" w:rsidP="00B10B33">
      <w:pPr>
        <w:pStyle w:val="BodyText8"/>
        <w:shd w:val="clear" w:color="auto" w:fill="auto"/>
        <w:spacing w:line="220" w:lineRule="exact"/>
        <w:ind w:right="60" w:firstLine="0"/>
        <w:jc w:val="left"/>
        <w:rPr>
          <w:rStyle w:val="BodyText4"/>
        </w:rPr>
      </w:pPr>
      <w:r>
        <w:rPr>
          <w:rStyle w:val="BodyText4"/>
        </w:rPr>
        <w:t>Conviction quashed and sentence set aside.</w:t>
      </w: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rPr>
          <w:rStyle w:val="BodyText4"/>
        </w:rPr>
      </w:pPr>
      <w:r>
        <w:rPr>
          <w:rStyle w:val="BodyText4"/>
        </w:rPr>
        <w:t>Dated this 17</w:t>
      </w:r>
      <w:r w:rsidRPr="00B10B33">
        <w:rPr>
          <w:rStyle w:val="BodyText4"/>
          <w:vertAlign w:val="superscript"/>
        </w:rPr>
        <w:t>th</w:t>
      </w:r>
      <w:r>
        <w:rPr>
          <w:rStyle w:val="BodyText4"/>
        </w:rPr>
        <w:t xml:space="preserve"> day of February 1977</w:t>
      </w: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rPr>
          <w:rStyle w:val="BodyText4"/>
        </w:rPr>
      </w:pPr>
      <w:r>
        <w:rPr>
          <w:rStyle w:val="BodyText4"/>
        </w:rPr>
        <w:t>SAIED,CJ</w:t>
      </w:r>
    </w:p>
    <w:p w:rsidR="00B10B33" w:rsidRDefault="00B10B33" w:rsidP="00B10B33">
      <w:pPr>
        <w:pStyle w:val="BodyText8"/>
        <w:shd w:val="clear" w:color="auto" w:fill="auto"/>
        <w:spacing w:line="220" w:lineRule="exact"/>
        <w:ind w:right="60" w:firstLine="0"/>
        <w:jc w:val="left"/>
        <w:rPr>
          <w:rStyle w:val="BodyText4"/>
        </w:rPr>
      </w:pPr>
    </w:p>
    <w:p w:rsidR="00B10B33" w:rsidRDefault="00B10B33" w:rsidP="00B10B33">
      <w:pPr>
        <w:pStyle w:val="BodyText8"/>
        <w:shd w:val="clear" w:color="auto" w:fill="auto"/>
        <w:spacing w:line="220" w:lineRule="exact"/>
        <w:ind w:right="60" w:firstLine="0"/>
        <w:jc w:val="left"/>
        <w:sectPr w:rsidR="00B10B33">
          <w:type w:val="continuous"/>
          <w:pgSz w:w="12240" w:h="15840"/>
          <w:pgMar w:top="2128" w:right="634" w:bottom="1586" w:left="634" w:header="0" w:footer="3" w:gutter="2232"/>
          <w:cols w:space="720"/>
          <w:noEndnote/>
          <w:titlePg/>
          <w:docGrid w:linePitch="360"/>
        </w:sectPr>
      </w:pPr>
    </w:p>
    <w:p w:rsidR="00716F00" w:rsidRDefault="00716F00" w:rsidP="00B10B33">
      <w:pPr>
        <w:spacing w:before="34" w:after="34" w:line="240" w:lineRule="exact"/>
        <w:rPr>
          <w:sz w:val="19"/>
          <w:szCs w:val="19"/>
        </w:rPr>
      </w:pPr>
    </w:p>
    <w:p w:rsidR="00716F00" w:rsidRDefault="00716F00" w:rsidP="00B10B33">
      <w:pPr>
        <w:rPr>
          <w:sz w:val="2"/>
          <w:szCs w:val="2"/>
        </w:rPr>
        <w:sectPr w:rsidR="00716F00">
          <w:type w:val="continuous"/>
          <w:pgSz w:w="12240" w:h="15840"/>
          <w:pgMar w:top="0" w:right="0" w:bottom="0" w:left="0" w:header="0" w:footer="3" w:gutter="0"/>
          <w:cols w:space="720"/>
          <w:noEndnote/>
          <w:docGrid w:linePitch="360"/>
        </w:sectPr>
      </w:pPr>
    </w:p>
    <w:p w:rsidR="00716F00" w:rsidRDefault="00B10B33" w:rsidP="00B10B33">
      <w:pPr>
        <w:pStyle w:val="BodyText8"/>
        <w:shd w:val="clear" w:color="auto" w:fill="auto"/>
        <w:spacing w:line="220" w:lineRule="exact"/>
        <w:ind w:left="20" w:firstLine="0"/>
        <w:jc w:val="left"/>
      </w:pPr>
      <w:r>
        <w:rPr>
          <w:rStyle w:val="BodyText4"/>
        </w:rPr>
        <w:lastRenderedPageBreak/>
        <w:t>Legislation Considered:</w:t>
      </w:r>
    </w:p>
    <w:p w:rsidR="00716F00" w:rsidRDefault="00B10B33">
      <w:pPr>
        <w:pStyle w:val="BodyText8"/>
        <w:shd w:val="clear" w:color="auto" w:fill="auto"/>
        <w:spacing w:line="557" w:lineRule="exact"/>
        <w:ind w:left="20" w:right="300" w:firstLine="0"/>
        <w:jc w:val="left"/>
      </w:pPr>
      <w:r>
        <w:rPr>
          <w:rStyle w:val="BodyText6"/>
        </w:rPr>
        <w:t xml:space="preserve">Magistrates’ Courts Act, 1970 (Act 13/70), s.191(3) </w:t>
      </w:r>
      <w:r>
        <w:rPr>
          <w:rStyle w:val="BodyText4"/>
        </w:rPr>
        <w:t>Cases Cited:</w:t>
      </w:r>
    </w:p>
    <w:p w:rsidR="00716F00" w:rsidRDefault="00B10B33">
      <w:pPr>
        <w:pStyle w:val="BodyText8"/>
        <w:numPr>
          <w:ilvl w:val="0"/>
          <w:numId w:val="3"/>
        </w:numPr>
        <w:shd w:val="clear" w:color="auto" w:fill="auto"/>
        <w:tabs>
          <w:tab w:val="left" w:pos="711"/>
        </w:tabs>
        <w:spacing w:line="557" w:lineRule="exact"/>
        <w:ind w:left="20" w:firstLine="0"/>
        <w:jc w:val="left"/>
      </w:pPr>
      <w:proofErr w:type="spellStart"/>
      <w:r>
        <w:rPr>
          <w:rStyle w:val="BodyText6"/>
        </w:rPr>
        <w:t>Davda</w:t>
      </w:r>
      <w:proofErr w:type="spellEnd"/>
      <w:r>
        <w:rPr>
          <w:rStyle w:val="BodyText6"/>
        </w:rPr>
        <w:t xml:space="preserve"> v. Rep., [1965] E.A. 201</w:t>
      </w:r>
    </w:p>
    <w:p w:rsidR="00716F00" w:rsidRDefault="00B10B33">
      <w:pPr>
        <w:pStyle w:val="BodyText8"/>
        <w:numPr>
          <w:ilvl w:val="0"/>
          <w:numId w:val="3"/>
        </w:numPr>
        <w:shd w:val="clear" w:color="auto" w:fill="auto"/>
        <w:tabs>
          <w:tab w:val="left" w:pos="735"/>
        </w:tabs>
        <w:spacing w:line="274" w:lineRule="exact"/>
        <w:ind w:left="20" w:firstLine="0"/>
        <w:jc w:val="left"/>
      </w:pPr>
      <w:r>
        <w:rPr>
          <w:rStyle w:val="BodyText6"/>
        </w:rPr>
        <w:t xml:space="preserve">Fransisio </w:t>
      </w:r>
      <w:proofErr w:type="spellStart"/>
      <w:r>
        <w:rPr>
          <w:rStyle w:val="BodyText6"/>
        </w:rPr>
        <w:t>Matovu</w:t>
      </w:r>
      <w:proofErr w:type="spellEnd"/>
      <w:r>
        <w:rPr>
          <w:rStyle w:val="BodyText6"/>
        </w:rPr>
        <w:t xml:space="preserve"> v.</w:t>
      </w:r>
      <w:r>
        <w:rPr>
          <w:rStyle w:val="BodyText6"/>
        </w:rPr>
        <w:t xml:space="preserve"> R., [1961] E.A. 260 (C.A.)</w:t>
      </w:r>
    </w:p>
    <w:p w:rsidR="00716F00" w:rsidRDefault="00B10B33">
      <w:pPr>
        <w:pStyle w:val="BodyText8"/>
        <w:numPr>
          <w:ilvl w:val="0"/>
          <w:numId w:val="3"/>
        </w:numPr>
        <w:shd w:val="clear" w:color="auto" w:fill="auto"/>
        <w:tabs>
          <w:tab w:val="left" w:pos="735"/>
        </w:tabs>
        <w:spacing w:line="274" w:lineRule="exact"/>
        <w:ind w:left="20" w:firstLine="0"/>
        <w:jc w:val="left"/>
      </w:pPr>
      <w:r>
        <w:rPr>
          <w:rStyle w:val="BodyText6"/>
        </w:rPr>
        <w:t xml:space="preserve">Gabriel c/o </w:t>
      </w:r>
      <w:proofErr w:type="spellStart"/>
      <w:r>
        <w:rPr>
          <w:rStyle w:val="BodyText6"/>
        </w:rPr>
        <w:t>Maholi</w:t>
      </w:r>
      <w:proofErr w:type="spellEnd"/>
      <w:r>
        <w:rPr>
          <w:rStyle w:val="BodyText6"/>
        </w:rPr>
        <w:t xml:space="preserve"> v. R., [1960] E.A. 159</w:t>
      </w:r>
    </w:p>
    <w:p w:rsidR="00716F00" w:rsidRDefault="00B10B33">
      <w:pPr>
        <w:pStyle w:val="BodyText8"/>
        <w:numPr>
          <w:ilvl w:val="0"/>
          <w:numId w:val="3"/>
        </w:numPr>
        <w:shd w:val="clear" w:color="auto" w:fill="auto"/>
        <w:tabs>
          <w:tab w:val="left" w:pos="452"/>
        </w:tabs>
        <w:spacing w:line="274" w:lineRule="exact"/>
        <w:ind w:left="20" w:firstLine="0"/>
        <w:jc w:val="left"/>
      </w:pPr>
      <w:r>
        <w:rPr>
          <w:rStyle w:val="BodyText6"/>
        </w:rPr>
        <w:t xml:space="preserve">' </w:t>
      </w:r>
      <w:proofErr w:type="spellStart"/>
      <w:r>
        <w:rPr>
          <w:rStyle w:val="BodyText6"/>
        </w:rPr>
        <w:t>Kibongeny</w:t>
      </w:r>
      <w:proofErr w:type="spellEnd"/>
      <w:r>
        <w:rPr>
          <w:rStyle w:val="BodyText6"/>
        </w:rPr>
        <w:t xml:space="preserve"> </w:t>
      </w:r>
      <w:proofErr w:type="spellStart"/>
      <w:r>
        <w:rPr>
          <w:rStyle w:val="BodyText6"/>
        </w:rPr>
        <w:t>Arap</w:t>
      </w:r>
      <w:proofErr w:type="spellEnd"/>
      <w:r>
        <w:rPr>
          <w:rStyle w:val="BodyText6"/>
        </w:rPr>
        <w:t xml:space="preserve"> </w:t>
      </w:r>
      <w:proofErr w:type="spellStart"/>
      <w:r>
        <w:rPr>
          <w:rStyle w:val="BodyText6"/>
        </w:rPr>
        <w:t>Kolil</w:t>
      </w:r>
      <w:proofErr w:type="spellEnd"/>
      <w:r>
        <w:rPr>
          <w:rStyle w:val="BodyText6"/>
        </w:rPr>
        <w:t xml:space="preserve"> v. R., [1959] E.A. 92</w:t>
      </w:r>
    </w:p>
    <w:p w:rsidR="00716F00" w:rsidRDefault="00B10B33">
      <w:pPr>
        <w:pStyle w:val="BodyText8"/>
        <w:numPr>
          <w:ilvl w:val="0"/>
          <w:numId w:val="3"/>
        </w:numPr>
        <w:shd w:val="clear" w:color="auto" w:fill="auto"/>
        <w:tabs>
          <w:tab w:val="left" w:pos="730"/>
        </w:tabs>
        <w:spacing w:line="274" w:lineRule="exact"/>
        <w:ind w:left="20" w:firstLine="0"/>
        <w:jc w:val="left"/>
      </w:pPr>
      <w:proofErr w:type="spellStart"/>
      <w:r>
        <w:rPr>
          <w:rStyle w:val="BodyText6"/>
        </w:rPr>
        <w:t>Okale</w:t>
      </w:r>
      <w:proofErr w:type="spellEnd"/>
      <w:r>
        <w:rPr>
          <w:rStyle w:val="BodyText6"/>
        </w:rPr>
        <w:t xml:space="preserve"> v. Rep., [1965] E.A. 555</w:t>
      </w:r>
    </w:p>
    <w:p w:rsidR="00716F00" w:rsidRDefault="00B10B33">
      <w:pPr>
        <w:pStyle w:val="BodyText8"/>
        <w:numPr>
          <w:ilvl w:val="0"/>
          <w:numId w:val="3"/>
        </w:numPr>
        <w:shd w:val="clear" w:color="auto" w:fill="auto"/>
        <w:tabs>
          <w:tab w:val="left" w:pos="735"/>
        </w:tabs>
        <w:spacing w:line="274" w:lineRule="exact"/>
        <w:ind w:left="20" w:firstLine="0"/>
        <w:jc w:val="left"/>
      </w:pPr>
      <w:proofErr w:type="spellStart"/>
      <w:r>
        <w:rPr>
          <w:rStyle w:val="BodyText6"/>
        </w:rPr>
        <w:t>Oloo</w:t>
      </w:r>
      <w:proofErr w:type="spellEnd"/>
      <w:r>
        <w:rPr>
          <w:rStyle w:val="BodyText6"/>
        </w:rPr>
        <w:t xml:space="preserve"> s/o </w:t>
      </w:r>
      <w:proofErr w:type="spellStart"/>
      <w:r>
        <w:rPr>
          <w:rStyle w:val="BodyText6"/>
        </w:rPr>
        <w:t>Gai</w:t>
      </w:r>
      <w:proofErr w:type="spellEnd"/>
      <w:r>
        <w:rPr>
          <w:rStyle w:val="BodyText6"/>
        </w:rPr>
        <w:t xml:space="preserve"> v. R., [1960] E.A. 86</w:t>
      </w:r>
    </w:p>
    <w:p w:rsidR="00716F00" w:rsidRDefault="00B10B33">
      <w:pPr>
        <w:pStyle w:val="BodyText8"/>
        <w:numPr>
          <w:ilvl w:val="0"/>
          <w:numId w:val="3"/>
        </w:numPr>
        <w:shd w:val="clear" w:color="auto" w:fill="auto"/>
        <w:tabs>
          <w:tab w:val="left" w:pos="730"/>
        </w:tabs>
        <w:spacing w:line="274" w:lineRule="exact"/>
        <w:ind w:left="20" w:firstLine="0"/>
        <w:jc w:val="left"/>
        <w:sectPr w:rsidR="00716F00">
          <w:type w:val="continuous"/>
          <w:pgSz w:w="12240" w:h="15840"/>
          <w:pgMar w:top="1962" w:right="3556" w:bottom="1410" w:left="3023" w:header="0" w:footer="3" w:gutter="0"/>
          <w:cols w:space="720"/>
          <w:noEndnote/>
          <w:docGrid w:linePitch="360"/>
        </w:sectPr>
      </w:pPr>
      <w:r>
        <w:rPr>
          <w:rStyle w:val="BodyText6"/>
        </w:rPr>
        <w:t xml:space="preserve">Uganda v. </w:t>
      </w:r>
      <w:proofErr w:type="spellStart"/>
      <w:r>
        <w:rPr>
          <w:rStyle w:val="BodyText6"/>
        </w:rPr>
        <w:t>Muhamed</w:t>
      </w:r>
      <w:proofErr w:type="spellEnd"/>
      <w:r>
        <w:rPr>
          <w:rStyle w:val="BodyText6"/>
        </w:rPr>
        <w:t xml:space="preserve"> </w:t>
      </w:r>
      <w:proofErr w:type="spellStart"/>
      <w:r>
        <w:rPr>
          <w:rStyle w:val="BodyText6"/>
        </w:rPr>
        <w:t>Rusenge</w:t>
      </w:r>
      <w:proofErr w:type="spellEnd"/>
      <w:r>
        <w:rPr>
          <w:rStyle w:val="BodyText6"/>
        </w:rPr>
        <w:t>, [1971] M.B. 156.</w:t>
      </w:r>
    </w:p>
    <w:p w:rsidR="00716F00" w:rsidRDefault="00716F00">
      <w:pPr>
        <w:spacing w:line="240" w:lineRule="exact"/>
        <w:rPr>
          <w:sz w:val="19"/>
          <w:szCs w:val="19"/>
        </w:rPr>
      </w:pPr>
    </w:p>
    <w:p w:rsidR="00716F00" w:rsidRDefault="00716F00">
      <w:pPr>
        <w:spacing w:line="240" w:lineRule="exact"/>
        <w:rPr>
          <w:sz w:val="19"/>
          <w:szCs w:val="19"/>
        </w:rPr>
      </w:pPr>
    </w:p>
    <w:p w:rsidR="00716F00" w:rsidRDefault="00716F00">
      <w:pPr>
        <w:spacing w:line="240" w:lineRule="exact"/>
        <w:rPr>
          <w:sz w:val="19"/>
          <w:szCs w:val="19"/>
        </w:rPr>
      </w:pPr>
    </w:p>
    <w:p w:rsidR="00716F00" w:rsidRDefault="00716F00">
      <w:pPr>
        <w:spacing w:before="103" w:after="103" w:line="240" w:lineRule="exact"/>
        <w:rPr>
          <w:sz w:val="19"/>
          <w:szCs w:val="19"/>
        </w:rPr>
      </w:pPr>
    </w:p>
    <w:p w:rsidR="00716F00" w:rsidRDefault="00716F00">
      <w:pPr>
        <w:rPr>
          <w:sz w:val="2"/>
          <w:szCs w:val="2"/>
        </w:rPr>
        <w:sectPr w:rsidR="00716F00">
          <w:type w:val="continuous"/>
          <w:pgSz w:w="12240" w:h="15840"/>
          <w:pgMar w:top="0" w:right="0" w:bottom="0" w:left="0" w:header="0" w:footer="3" w:gutter="0"/>
          <w:cols w:space="720"/>
          <w:noEndnote/>
          <w:docGrid w:linePitch="360"/>
        </w:sectPr>
      </w:pPr>
    </w:p>
    <w:p w:rsidR="00716F00" w:rsidRDefault="00716F00" w:rsidP="00522763">
      <w:pPr>
        <w:pStyle w:val="BodyText8"/>
        <w:shd w:val="clear" w:color="auto" w:fill="auto"/>
        <w:spacing w:line="552" w:lineRule="exact"/>
        <w:ind w:left="260" w:firstLine="0"/>
      </w:pPr>
    </w:p>
    <w:sectPr w:rsidR="00716F00">
      <w:type w:val="continuous"/>
      <w:pgSz w:w="12240" w:h="15840"/>
      <w:pgMar w:top="1962" w:right="273" w:bottom="1410" w:left="30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AF" w:rsidRDefault="00A451AF">
      <w:r>
        <w:separator/>
      </w:r>
    </w:p>
  </w:endnote>
  <w:endnote w:type="continuationSeparator" w:id="0">
    <w:p w:rsidR="00A451AF" w:rsidRDefault="00A4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AF" w:rsidRDefault="00A451AF"/>
  </w:footnote>
  <w:footnote w:type="continuationSeparator" w:id="0">
    <w:p w:rsidR="00A451AF" w:rsidRDefault="00A451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61E5"/>
    <w:multiLevelType w:val="multilevel"/>
    <w:tmpl w:val="C6AC5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4D1E46"/>
    <w:multiLevelType w:val="multilevel"/>
    <w:tmpl w:val="539A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F835DF"/>
    <w:multiLevelType w:val="multilevel"/>
    <w:tmpl w:val="DC3EB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00"/>
    <w:rsid w:val="00522763"/>
    <w:rsid w:val="00716F00"/>
    <w:rsid w:val="00A451AF"/>
    <w:rsid w:val="00B1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3"/>
      <w:w w:val="80"/>
      <w:sz w:val="22"/>
      <w:szCs w:val="22"/>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3"/>
      <w:w w:val="80"/>
      <w:position w:val="0"/>
      <w:sz w:val="22"/>
      <w:szCs w:val="22"/>
      <w:u w:val="none"/>
      <w:lang w:val="en-US"/>
    </w:rPr>
  </w:style>
  <w:style w:type="character" w:customStyle="1" w:styleId="Bodytext">
    <w:name w:val="Body text_"/>
    <w:basedOn w:val="DefaultParagraphFont"/>
    <w:link w:val="BodyText8"/>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9pt">
    <w:name w:val="Header or footer + 9 pt"/>
    <w:aliases w:val="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z w:val="17"/>
      <w:szCs w:val="17"/>
      <w:u w:val="none"/>
    </w:rPr>
  </w:style>
  <w:style w:type="character" w:customStyle="1" w:styleId="Heading11">
    <w:name w:val="Heading #1"/>
    <w:basedOn w:val="Heading1"/>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Headerorfooter9pt0">
    <w:name w:val="Header or footer + 9 pt"/>
    <w:aliases w:val="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Bodytext2Italic">
    <w:name w:val="Body text (2) + Italic"/>
    <w:aliases w:val="Spacing 0 pt,Scale 100% Exact"/>
    <w:basedOn w:val="Bodytext2Exact"/>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Bodytext3Exact">
    <w:name w:val="Body text (3) Exact"/>
    <w:basedOn w:val="DefaultParagraphFont"/>
    <w:link w:val="Bodytext30"/>
    <w:rPr>
      <w:rFonts w:ascii="Times New Roman" w:eastAsia="Times New Roman" w:hAnsi="Times New Roman" w:cs="Times New Roman"/>
      <w:b w:val="0"/>
      <w:bCs w:val="0"/>
      <w:i w:val="0"/>
      <w:iCs w:val="0"/>
      <w:smallCaps w:val="0"/>
      <w:strike w:val="0"/>
      <w:spacing w:val="-9"/>
      <w:sz w:val="29"/>
      <w:szCs w:val="29"/>
      <w:u w:val="none"/>
    </w:rPr>
  </w:style>
  <w:style w:type="character" w:customStyle="1" w:styleId="Bodytext3Exact0">
    <w:name w:val="Body text (3) Exact"/>
    <w:basedOn w:val="Bodytext3Exact"/>
    <w:rPr>
      <w:rFonts w:ascii="Times New Roman" w:eastAsia="Times New Roman" w:hAnsi="Times New Roman" w:cs="Times New Roman"/>
      <w:b w:val="0"/>
      <w:bCs w:val="0"/>
      <w:i w:val="0"/>
      <w:iCs w:val="0"/>
      <w:smallCaps w:val="0"/>
      <w:strike w:val="0"/>
      <w:color w:val="000000"/>
      <w:spacing w:val="-9"/>
      <w:w w:val="100"/>
      <w:position w:val="0"/>
      <w:sz w:val="29"/>
      <w:szCs w:val="29"/>
      <w:u w:val="none"/>
      <w:lang w:val="en-US"/>
    </w:rPr>
  </w:style>
  <w:style w:type="character" w:customStyle="1" w:styleId="Bodytext4Exact">
    <w:name w:val="Body text (4) Exact"/>
    <w:basedOn w:val="DefaultParagraphFont"/>
    <w:link w:val="Bodytext40"/>
    <w:rPr>
      <w:rFonts w:ascii="Times New Roman" w:eastAsia="Times New Roman" w:hAnsi="Times New Roman" w:cs="Times New Roman"/>
      <w:b/>
      <w:bCs/>
      <w:i w:val="0"/>
      <w:iCs w:val="0"/>
      <w:smallCaps w:val="0"/>
      <w:strike w:val="0"/>
      <w:spacing w:val="3"/>
      <w:sz w:val="25"/>
      <w:szCs w:val="25"/>
      <w:u w:val="none"/>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
    <w:name w:val="Body text (2)"/>
    <w:basedOn w:val="Normal"/>
    <w:link w:val="Bodytext2Exact"/>
    <w:pPr>
      <w:shd w:val="clear" w:color="auto" w:fill="FFFFFF"/>
      <w:spacing w:after="480" w:line="274" w:lineRule="exact"/>
      <w:jc w:val="both"/>
    </w:pPr>
    <w:rPr>
      <w:rFonts w:ascii="Times New Roman" w:eastAsia="Times New Roman" w:hAnsi="Times New Roman" w:cs="Times New Roman"/>
      <w:spacing w:val="3"/>
      <w:w w:val="80"/>
      <w:sz w:val="22"/>
      <w:szCs w:val="22"/>
    </w:rPr>
  </w:style>
  <w:style w:type="paragraph" w:customStyle="1" w:styleId="BodyText8">
    <w:name w:val="Body Text8"/>
    <w:basedOn w:val="Normal"/>
    <w:link w:val="Bodytext"/>
    <w:pPr>
      <w:shd w:val="clear" w:color="auto" w:fill="FFFFFF"/>
      <w:spacing w:line="538" w:lineRule="exact"/>
      <w:ind w:hanging="74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before="60" w:line="0" w:lineRule="atLeast"/>
      <w:outlineLvl w:val="0"/>
    </w:pPr>
    <w:rPr>
      <w:rFonts w:ascii="Verdana" w:eastAsia="Verdana" w:hAnsi="Verdana" w:cs="Verdana"/>
      <w:sz w:val="17"/>
      <w:szCs w:val="17"/>
    </w:rPr>
  </w:style>
  <w:style w:type="paragraph" w:customStyle="1" w:styleId="Bodytext30">
    <w:name w:val="Body text (3)"/>
    <w:basedOn w:val="Normal"/>
    <w:link w:val="Bodytext3Exact"/>
    <w:pPr>
      <w:shd w:val="clear" w:color="auto" w:fill="FFFFFF"/>
      <w:spacing w:line="0" w:lineRule="atLeast"/>
    </w:pPr>
    <w:rPr>
      <w:rFonts w:ascii="Times New Roman" w:eastAsia="Times New Roman" w:hAnsi="Times New Roman" w:cs="Times New Roman"/>
      <w:spacing w:val="-9"/>
      <w:sz w:val="29"/>
      <w:szCs w:val="29"/>
    </w:rPr>
  </w:style>
  <w:style w:type="paragraph" w:customStyle="1" w:styleId="Bodytext40">
    <w:name w:val="Body text (4)"/>
    <w:basedOn w:val="Normal"/>
    <w:link w:val="Bodytext4Exact"/>
    <w:pPr>
      <w:shd w:val="clear" w:color="auto" w:fill="FFFFFF"/>
      <w:spacing w:after="600" w:line="0" w:lineRule="atLeast"/>
    </w:pPr>
    <w:rPr>
      <w:rFonts w:ascii="Times New Roman" w:eastAsia="Times New Roman" w:hAnsi="Times New Roman" w:cs="Times New Roman"/>
      <w:b/>
      <w:bCs/>
      <w:spacing w:val="3"/>
      <w:sz w:val="25"/>
      <w:szCs w:val="25"/>
    </w:rPr>
  </w:style>
  <w:style w:type="paragraph" w:styleId="Footer">
    <w:name w:val="footer"/>
    <w:basedOn w:val="Normal"/>
    <w:link w:val="FooterChar"/>
    <w:uiPriority w:val="99"/>
    <w:unhideWhenUsed/>
    <w:rsid w:val="00522763"/>
    <w:pPr>
      <w:tabs>
        <w:tab w:val="center" w:pos="4680"/>
        <w:tab w:val="right" w:pos="9360"/>
      </w:tabs>
    </w:pPr>
  </w:style>
  <w:style w:type="character" w:customStyle="1" w:styleId="FooterChar">
    <w:name w:val="Footer Char"/>
    <w:basedOn w:val="DefaultParagraphFont"/>
    <w:link w:val="Footer"/>
    <w:uiPriority w:val="99"/>
    <w:rsid w:val="005227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3"/>
      <w:w w:val="80"/>
      <w:sz w:val="22"/>
      <w:szCs w:val="22"/>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3"/>
      <w:w w:val="80"/>
      <w:position w:val="0"/>
      <w:sz w:val="22"/>
      <w:szCs w:val="22"/>
      <w:u w:val="none"/>
      <w:lang w:val="en-US"/>
    </w:rPr>
  </w:style>
  <w:style w:type="character" w:customStyle="1" w:styleId="Bodytext">
    <w:name w:val="Body text_"/>
    <w:basedOn w:val="DefaultParagraphFont"/>
    <w:link w:val="BodyText8"/>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9pt">
    <w:name w:val="Header or footer + 9 pt"/>
    <w:aliases w:val="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5">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z w:val="17"/>
      <w:szCs w:val="17"/>
      <w:u w:val="none"/>
    </w:rPr>
  </w:style>
  <w:style w:type="character" w:customStyle="1" w:styleId="Heading11">
    <w:name w:val="Heading #1"/>
    <w:basedOn w:val="Heading1"/>
    <w:rPr>
      <w:rFonts w:ascii="Verdana" w:eastAsia="Verdana" w:hAnsi="Verdana" w:cs="Verdana"/>
      <w:b w:val="0"/>
      <w:bCs w:val="0"/>
      <w:i w:val="0"/>
      <w:iCs w:val="0"/>
      <w:smallCaps w:val="0"/>
      <w:strike w:val="0"/>
      <w:color w:val="000000"/>
      <w:spacing w:val="0"/>
      <w:w w:val="100"/>
      <w:position w:val="0"/>
      <w:sz w:val="17"/>
      <w:szCs w:val="17"/>
      <w:u w:val="none"/>
      <w:lang w:val="en-US"/>
    </w:rPr>
  </w:style>
  <w:style w:type="character" w:customStyle="1" w:styleId="Headerorfooter9pt0">
    <w:name w:val="Header or footer + 9 pt"/>
    <w:aliases w:val="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Bodytext2Italic">
    <w:name w:val="Body text (2) + Italic"/>
    <w:aliases w:val="Spacing 0 pt,Scale 100% Exact"/>
    <w:basedOn w:val="Bodytext2Exact"/>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Bodytext3Exact">
    <w:name w:val="Body text (3) Exact"/>
    <w:basedOn w:val="DefaultParagraphFont"/>
    <w:link w:val="Bodytext30"/>
    <w:rPr>
      <w:rFonts w:ascii="Times New Roman" w:eastAsia="Times New Roman" w:hAnsi="Times New Roman" w:cs="Times New Roman"/>
      <w:b w:val="0"/>
      <w:bCs w:val="0"/>
      <w:i w:val="0"/>
      <w:iCs w:val="0"/>
      <w:smallCaps w:val="0"/>
      <w:strike w:val="0"/>
      <w:spacing w:val="-9"/>
      <w:sz w:val="29"/>
      <w:szCs w:val="29"/>
      <w:u w:val="none"/>
    </w:rPr>
  </w:style>
  <w:style w:type="character" w:customStyle="1" w:styleId="Bodytext3Exact0">
    <w:name w:val="Body text (3) Exact"/>
    <w:basedOn w:val="Bodytext3Exact"/>
    <w:rPr>
      <w:rFonts w:ascii="Times New Roman" w:eastAsia="Times New Roman" w:hAnsi="Times New Roman" w:cs="Times New Roman"/>
      <w:b w:val="0"/>
      <w:bCs w:val="0"/>
      <w:i w:val="0"/>
      <w:iCs w:val="0"/>
      <w:smallCaps w:val="0"/>
      <w:strike w:val="0"/>
      <w:color w:val="000000"/>
      <w:spacing w:val="-9"/>
      <w:w w:val="100"/>
      <w:position w:val="0"/>
      <w:sz w:val="29"/>
      <w:szCs w:val="29"/>
      <w:u w:val="none"/>
      <w:lang w:val="en-US"/>
    </w:rPr>
  </w:style>
  <w:style w:type="character" w:customStyle="1" w:styleId="Bodytext4Exact">
    <w:name w:val="Body text (4) Exact"/>
    <w:basedOn w:val="DefaultParagraphFont"/>
    <w:link w:val="Bodytext40"/>
    <w:rPr>
      <w:rFonts w:ascii="Times New Roman" w:eastAsia="Times New Roman" w:hAnsi="Times New Roman" w:cs="Times New Roman"/>
      <w:b/>
      <w:bCs/>
      <w:i w:val="0"/>
      <w:iCs w:val="0"/>
      <w:smallCaps w:val="0"/>
      <w:strike w:val="0"/>
      <w:spacing w:val="3"/>
      <w:sz w:val="25"/>
      <w:szCs w:val="25"/>
      <w:u w:val="none"/>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
    <w:name w:val="Body text (2)"/>
    <w:basedOn w:val="Normal"/>
    <w:link w:val="Bodytext2Exact"/>
    <w:pPr>
      <w:shd w:val="clear" w:color="auto" w:fill="FFFFFF"/>
      <w:spacing w:after="480" w:line="274" w:lineRule="exact"/>
      <w:jc w:val="both"/>
    </w:pPr>
    <w:rPr>
      <w:rFonts w:ascii="Times New Roman" w:eastAsia="Times New Roman" w:hAnsi="Times New Roman" w:cs="Times New Roman"/>
      <w:spacing w:val="3"/>
      <w:w w:val="80"/>
      <w:sz w:val="22"/>
      <w:szCs w:val="22"/>
    </w:rPr>
  </w:style>
  <w:style w:type="paragraph" w:customStyle="1" w:styleId="BodyText8">
    <w:name w:val="Body Text8"/>
    <w:basedOn w:val="Normal"/>
    <w:link w:val="Bodytext"/>
    <w:pPr>
      <w:shd w:val="clear" w:color="auto" w:fill="FFFFFF"/>
      <w:spacing w:line="538" w:lineRule="exact"/>
      <w:ind w:hanging="74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before="60" w:line="0" w:lineRule="atLeast"/>
      <w:outlineLvl w:val="0"/>
    </w:pPr>
    <w:rPr>
      <w:rFonts w:ascii="Verdana" w:eastAsia="Verdana" w:hAnsi="Verdana" w:cs="Verdana"/>
      <w:sz w:val="17"/>
      <w:szCs w:val="17"/>
    </w:rPr>
  </w:style>
  <w:style w:type="paragraph" w:customStyle="1" w:styleId="Bodytext30">
    <w:name w:val="Body text (3)"/>
    <w:basedOn w:val="Normal"/>
    <w:link w:val="Bodytext3Exact"/>
    <w:pPr>
      <w:shd w:val="clear" w:color="auto" w:fill="FFFFFF"/>
      <w:spacing w:line="0" w:lineRule="atLeast"/>
    </w:pPr>
    <w:rPr>
      <w:rFonts w:ascii="Times New Roman" w:eastAsia="Times New Roman" w:hAnsi="Times New Roman" w:cs="Times New Roman"/>
      <w:spacing w:val="-9"/>
      <w:sz w:val="29"/>
      <w:szCs w:val="29"/>
    </w:rPr>
  </w:style>
  <w:style w:type="paragraph" w:customStyle="1" w:styleId="Bodytext40">
    <w:name w:val="Body text (4)"/>
    <w:basedOn w:val="Normal"/>
    <w:link w:val="Bodytext4Exact"/>
    <w:pPr>
      <w:shd w:val="clear" w:color="auto" w:fill="FFFFFF"/>
      <w:spacing w:after="600" w:line="0" w:lineRule="atLeast"/>
    </w:pPr>
    <w:rPr>
      <w:rFonts w:ascii="Times New Roman" w:eastAsia="Times New Roman" w:hAnsi="Times New Roman" w:cs="Times New Roman"/>
      <w:b/>
      <w:bCs/>
      <w:spacing w:val="3"/>
      <w:sz w:val="25"/>
      <w:szCs w:val="25"/>
    </w:rPr>
  </w:style>
  <w:style w:type="paragraph" w:styleId="Footer">
    <w:name w:val="footer"/>
    <w:basedOn w:val="Normal"/>
    <w:link w:val="FooterChar"/>
    <w:uiPriority w:val="99"/>
    <w:unhideWhenUsed/>
    <w:rsid w:val="00522763"/>
    <w:pPr>
      <w:tabs>
        <w:tab w:val="center" w:pos="4680"/>
        <w:tab w:val="right" w:pos="9360"/>
      </w:tabs>
    </w:pPr>
  </w:style>
  <w:style w:type="character" w:customStyle="1" w:styleId="FooterChar">
    <w:name w:val="Footer Char"/>
    <w:basedOn w:val="DefaultParagraphFont"/>
    <w:link w:val="Footer"/>
    <w:uiPriority w:val="99"/>
    <w:rsid w:val="005227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2016-04-14T09:57:00Z</dcterms:created>
  <dcterms:modified xsi:type="dcterms:W3CDTF">2016-04-14T10:50:00Z</dcterms:modified>
</cp:coreProperties>
</file>