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0A377E">
        <w:rPr>
          <w:rFonts w:ascii="Times New Roman" w:hAnsi="Times New Roman" w:cs="Times New Roman"/>
          <w:b/>
          <w:sz w:val="24"/>
          <w:szCs w:val="24"/>
        </w:rPr>
        <w:t>0</w:t>
      </w:r>
      <w:r w:rsidR="001B41A1">
        <w:rPr>
          <w:rFonts w:ascii="Times New Roman" w:hAnsi="Times New Roman" w:cs="Times New Roman"/>
          <w:b/>
          <w:sz w:val="24"/>
          <w:szCs w:val="24"/>
        </w:rPr>
        <w:t>5</w:t>
      </w:r>
      <w:r w:rsidR="00F40327">
        <w:rPr>
          <w:rFonts w:ascii="Times New Roman" w:hAnsi="Times New Roman" w:cs="Times New Roman"/>
          <w:b/>
          <w:sz w:val="24"/>
          <w:szCs w:val="24"/>
        </w:rPr>
        <w:t xml:space="preserve"> </w:t>
      </w:r>
      <w:r w:rsidRPr="009A4040">
        <w:rPr>
          <w:rFonts w:ascii="Times New Roman" w:hAnsi="Times New Roman" w:cs="Times New Roman"/>
          <w:b/>
          <w:sz w:val="24"/>
          <w:szCs w:val="24"/>
        </w:rPr>
        <w:t>OF 20</w:t>
      </w:r>
      <w:r w:rsidR="00911A5E">
        <w:rPr>
          <w:rFonts w:ascii="Times New Roman" w:hAnsi="Times New Roman" w:cs="Times New Roman"/>
          <w:b/>
          <w:sz w:val="24"/>
          <w:szCs w:val="24"/>
        </w:rPr>
        <w:t>1</w:t>
      </w:r>
      <w:r w:rsidR="00574516">
        <w:rPr>
          <w:rFonts w:ascii="Times New Roman" w:hAnsi="Times New Roman" w:cs="Times New Roman"/>
          <w:b/>
          <w:sz w:val="24"/>
          <w:szCs w:val="24"/>
        </w:rPr>
        <w:t>6</w:t>
      </w:r>
    </w:p>
    <w:p w:rsidR="00962577" w:rsidRPr="009A4040" w:rsidRDefault="00962577" w:rsidP="002544A4">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E925A1">
        <w:rPr>
          <w:rFonts w:ascii="Times New Roman" w:hAnsi="Times New Roman" w:cs="Times New Roman"/>
          <w:b/>
          <w:sz w:val="24"/>
          <w:szCs w:val="24"/>
        </w:rPr>
        <w:t>PPDA Appeals Tribunal Application</w:t>
      </w:r>
      <w:r w:rsidRPr="009A4040">
        <w:rPr>
          <w:rFonts w:ascii="Times New Roman" w:hAnsi="Times New Roman" w:cs="Times New Roman"/>
          <w:b/>
          <w:sz w:val="24"/>
          <w:szCs w:val="24"/>
        </w:rPr>
        <w:t xml:space="preserve"> No. </w:t>
      </w:r>
      <w:r w:rsidR="001B41A1">
        <w:rPr>
          <w:rFonts w:ascii="Times New Roman" w:hAnsi="Times New Roman" w:cs="Times New Roman"/>
          <w:b/>
          <w:sz w:val="24"/>
          <w:szCs w:val="24"/>
        </w:rPr>
        <w:t>4</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E925A1">
        <w:rPr>
          <w:rFonts w:ascii="Times New Roman" w:hAnsi="Times New Roman" w:cs="Times New Roman"/>
          <w:b/>
          <w:sz w:val="24"/>
          <w:szCs w:val="24"/>
        </w:rPr>
        <w:t>5</w:t>
      </w:r>
      <w:r w:rsidRPr="009A4040">
        <w:rPr>
          <w:rFonts w:ascii="Times New Roman" w:hAnsi="Times New Roman" w:cs="Times New Roman"/>
          <w:b/>
          <w:sz w:val="24"/>
          <w:szCs w:val="24"/>
        </w:rPr>
        <w:t>)</w:t>
      </w:r>
    </w:p>
    <w:p w:rsidR="001A7CD2" w:rsidRPr="009A4040" w:rsidRDefault="001A7CD2" w:rsidP="002544A4">
      <w:pPr>
        <w:spacing w:after="0"/>
        <w:ind w:left="576" w:right="576"/>
        <w:jc w:val="center"/>
        <w:rPr>
          <w:rFonts w:ascii="Times New Roman" w:hAnsi="Times New Roman" w:cs="Times New Roman"/>
          <w:b/>
          <w:sz w:val="24"/>
          <w:szCs w:val="24"/>
        </w:rPr>
      </w:pPr>
    </w:p>
    <w:p w:rsidR="00574516" w:rsidRPr="00574516" w:rsidRDefault="00574516" w:rsidP="002544A4">
      <w:pPr>
        <w:spacing w:after="0"/>
        <w:jc w:val="both"/>
        <w:rPr>
          <w:rFonts w:ascii="Times New Roman" w:hAnsi="Times New Roman" w:cs="Times New Roman"/>
          <w:b/>
          <w:sz w:val="24"/>
          <w:szCs w:val="24"/>
        </w:rPr>
      </w:pPr>
      <w:r w:rsidRPr="00574516">
        <w:rPr>
          <w:rFonts w:ascii="Times New Roman" w:hAnsi="Times New Roman" w:cs="Times New Roman"/>
          <w:b/>
          <w:sz w:val="24"/>
          <w:szCs w:val="24"/>
        </w:rPr>
        <w:t xml:space="preserve">PUBLIC PROCUREMENT AND DISPOSAL </w:t>
      </w:r>
    </w:p>
    <w:p w:rsidR="00392898" w:rsidRPr="00574516" w:rsidRDefault="00574516" w:rsidP="002544A4">
      <w:pPr>
        <w:spacing w:after="0"/>
        <w:jc w:val="both"/>
        <w:rPr>
          <w:rFonts w:ascii="Times New Roman" w:hAnsi="Times New Roman" w:cs="Times New Roman"/>
          <w:b/>
          <w:sz w:val="24"/>
          <w:szCs w:val="24"/>
        </w:rPr>
      </w:pPr>
      <w:r w:rsidRPr="00574516">
        <w:rPr>
          <w:rFonts w:ascii="Times New Roman" w:hAnsi="Times New Roman" w:cs="Times New Roman"/>
          <w:b/>
          <w:sz w:val="24"/>
          <w:szCs w:val="24"/>
        </w:rPr>
        <w:t>OF PUBLIC ASSETS AUTHORITY</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A</w:t>
      </w:r>
      <w:r w:rsidR="000A377E" w:rsidRPr="00574516">
        <w:rPr>
          <w:rFonts w:ascii="Times New Roman" w:hAnsi="Times New Roman" w:cs="Times New Roman"/>
          <w:b/>
          <w:sz w:val="24"/>
          <w:szCs w:val="24"/>
        </w:rPr>
        <w:t>PPELLA</w:t>
      </w:r>
      <w:r>
        <w:rPr>
          <w:rFonts w:ascii="Times New Roman" w:hAnsi="Times New Roman" w:cs="Times New Roman"/>
          <w:b/>
          <w:sz w:val="24"/>
          <w:szCs w:val="24"/>
        </w:rPr>
        <w:t>NT</w:t>
      </w:r>
    </w:p>
    <w:p w:rsidR="000A377E" w:rsidRDefault="000A377E" w:rsidP="002544A4">
      <w:pPr>
        <w:pStyle w:val="ListParagraph"/>
        <w:spacing w:after="0"/>
        <w:ind w:left="360"/>
        <w:jc w:val="both"/>
        <w:rPr>
          <w:rFonts w:ascii="Times New Roman" w:hAnsi="Times New Roman" w:cs="Times New Roman"/>
          <w:b/>
          <w:sz w:val="24"/>
          <w:szCs w:val="24"/>
        </w:rPr>
      </w:pPr>
    </w:p>
    <w:p w:rsidR="000A377E" w:rsidRPr="009A4040" w:rsidRDefault="000A377E" w:rsidP="002544A4">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2544A4">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574516" w:rsidRPr="00574516" w:rsidRDefault="001B41A1" w:rsidP="002544A4">
      <w:pPr>
        <w:spacing w:after="0"/>
        <w:jc w:val="both"/>
        <w:rPr>
          <w:rFonts w:ascii="Times New Roman" w:hAnsi="Times New Roman" w:cs="Times New Roman"/>
          <w:b/>
          <w:sz w:val="24"/>
          <w:szCs w:val="24"/>
        </w:rPr>
      </w:pPr>
      <w:r>
        <w:rPr>
          <w:rFonts w:ascii="Times New Roman" w:hAnsi="Times New Roman" w:cs="Times New Roman"/>
          <w:b/>
          <w:sz w:val="24"/>
          <w:szCs w:val="24"/>
        </w:rPr>
        <w:t>ARUA KUBALA PARK OPERATORS AND</w:t>
      </w:r>
      <w:r w:rsidRPr="001B41A1">
        <w:rPr>
          <w:rFonts w:ascii="Times New Roman" w:hAnsi="Times New Roman" w:cs="Times New Roman"/>
          <w:b/>
          <w:sz w:val="24"/>
          <w:szCs w:val="24"/>
        </w:rPr>
        <w:t xml:space="preserve"> </w:t>
      </w:r>
      <w:r>
        <w:rPr>
          <w:rFonts w:ascii="Times New Roman" w:hAnsi="Times New Roman" w:cs="Times New Roman"/>
          <w:b/>
          <w:sz w:val="24"/>
          <w:szCs w:val="24"/>
        </w:rPr>
        <w:t>MARKET</w:t>
      </w:r>
    </w:p>
    <w:p w:rsidR="00574516" w:rsidRPr="00574516" w:rsidRDefault="00F40327" w:rsidP="002544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VENDORS </w:t>
      </w:r>
      <w:r w:rsidR="001B41A1">
        <w:rPr>
          <w:rFonts w:ascii="Times New Roman" w:hAnsi="Times New Roman" w:cs="Times New Roman"/>
          <w:b/>
          <w:sz w:val="24"/>
          <w:szCs w:val="24"/>
        </w:rPr>
        <w:t>COOPERATIVE SOCIETY LIMITED</w:t>
      </w:r>
      <w:r w:rsidR="00574516">
        <w:rPr>
          <w:rFonts w:ascii="Times New Roman" w:hAnsi="Times New Roman" w:cs="Times New Roman"/>
          <w:b/>
          <w:sz w:val="24"/>
          <w:szCs w:val="24"/>
        </w:rPr>
        <w:tab/>
        <w:t>………………… RESPONDENT</w:t>
      </w:r>
    </w:p>
    <w:p w:rsidR="000A377E" w:rsidRPr="009A4040" w:rsidRDefault="000A377E" w:rsidP="002544A4">
      <w:pPr>
        <w:spacing w:after="0"/>
        <w:jc w:val="both"/>
        <w:rPr>
          <w:rFonts w:ascii="Times New Roman" w:hAnsi="Times New Roman" w:cs="Times New Roman"/>
          <w:b/>
          <w:sz w:val="24"/>
          <w:szCs w:val="24"/>
        </w:rPr>
      </w:pPr>
    </w:p>
    <w:p w:rsidR="00A10A9A" w:rsidRPr="009A4040" w:rsidRDefault="00A10A9A" w:rsidP="002544A4">
      <w:pPr>
        <w:spacing w:after="0"/>
        <w:jc w:val="center"/>
        <w:rPr>
          <w:rFonts w:ascii="Times New Roman" w:hAnsi="Times New Roman" w:cs="Times New Roman"/>
          <w:b/>
          <w:sz w:val="24"/>
          <w:szCs w:val="24"/>
          <w:u w:val="single"/>
        </w:rPr>
      </w:pPr>
    </w:p>
    <w:p w:rsidR="00A10A9A" w:rsidRPr="009A4040" w:rsidRDefault="00A10A9A" w:rsidP="002544A4">
      <w:pPr>
        <w:spacing w:after="0"/>
        <w:rPr>
          <w:rFonts w:ascii="Times New Roman" w:hAnsi="Times New Roman" w:cs="Times New Roman"/>
          <w:b/>
          <w:sz w:val="24"/>
          <w:szCs w:val="24"/>
        </w:rPr>
      </w:pPr>
      <w:r w:rsidRPr="009A4040">
        <w:rPr>
          <w:rFonts w:ascii="Times New Roman" w:hAnsi="Times New Roman" w:cs="Times New Roman"/>
          <w:b/>
          <w:sz w:val="24"/>
          <w:szCs w:val="24"/>
        </w:rPr>
        <w:t>Before: Hon Justice Stephen Mubiru.</w:t>
      </w:r>
    </w:p>
    <w:p w:rsidR="00A10A9A" w:rsidRPr="009A4040" w:rsidRDefault="00A10A9A" w:rsidP="002544A4">
      <w:pPr>
        <w:spacing w:after="0"/>
        <w:rPr>
          <w:rFonts w:ascii="Times New Roman" w:hAnsi="Times New Roman" w:cs="Times New Roman"/>
          <w:b/>
          <w:sz w:val="24"/>
          <w:szCs w:val="24"/>
          <w:u w:val="single"/>
        </w:rPr>
      </w:pPr>
    </w:p>
    <w:p w:rsidR="00CA59BC" w:rsidRPr="009A4040" w:rsidRDefault="00CA59BC" w:rsidP="002544A4">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2544A4">
      <w:pPr>
        <w:spacing w:after="0"/>
        <w:jc w:val="center"/>
        <w:rPr>
          <w:rFonts w:ascii="Times New Roman" w:hAnsi="Times New Roman" w:cs="Times New Roman"/>
          <w:sz w:val="24"/>
          <w:szCs w:val="24"/>
          <w:u w:val="single"/>
        </w:rPr>
      </w:pPr>
    </w:p>
    <w:p w:rsidR="00B23499" w:rsidRDefault="00B23499" w:rsidP="002544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27</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Arua District Local Government published in the Daily Monitor Newspaper, an invitation to interested bidders for the management of markets in the District. Three bidders, including the respondent, had submitted their bids for </w:t>
      </w:r>
      <w:r w:rsidR="00163F12">
        <w:rPr>
          <w:rFonts w:ascii="Times New Roman" w:hAnsi="Times New Roman" w:cs="Times New Roman"/>
          <w:sz w:val="24"/>
          <w:szCs w:val="24"/>
        </w:rPr>
        <w:t>Kubala</w:t>
      </w:r>
      <w:r>
        <w:rPr>
          <w:rFonts w:ascii="Times New Roman" w:hAnsi="Times New Roman" w:cs="Times New Roman"/>
          <w:sz w:val="24"/>
          <w:szCs w:val="24"/>
        </w:rPr>
        <w:t xml:space="preserve"> Market by the closing date of 18</w:t>
      </w:r>
      <w:r w:rsidRPr="00AE766B">
        <w:rPr>
          <w:rFonts w:ascii="Times New Roman" w:hAnsi="Times New Roman" w:cs="Times New Roman"/>
          <w:sz w:val="24"/>
          <w:szCs w:val="24"/>
          <w:vertAlign w:val="superscript"/>
        </w:rPr>
        <w:t>th</w:t>
      </w:r>
      <w:r>
        <w:rPr>
          <w:rFonts w:ascii="Times New Roman" w:hAnsi="Times New Roman" w:cs="Times New Roman"/>
          <w:sz w:val="24"/>
          <w:szCs w:val="24"/>
        </w:rPr>
        <w:t xml:space="preserve"> May 2015. Following an Open Domestic Bidding procurement process, the Contracts Committee on 4</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awarded the contract to one of the bidders chosen as the best evaluated bidder. Notice of the best evaluated bidder was displayed on 4</w:t>
      </w:r>
      <w:r w:rsidRPr="00AE766B">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w:t>
      </w:r>
    </w:p>
    <w:p w:rsidR="00B23499" w:rsidRDefault="00B23499" w:rsidP="00B23499">
      <w:pPr>
        <w:spacing w:after="0" w:line="360" w:lineRule="auto"/>
        <w:jc w:val="both"/>
        <w:rPr>
          <w:rFonts w:ascii="Times New Roman" w:hAnsi="Times New Roman" w:cs="Times New Roman"/>
          <w:sz w:val="24"/>
          <w:szCs w:val="24"/>
        </w:rPr>
      </w:pPr>
    </w:p>
    <w:p w:rsidR="00B23499" w:rsidRPr="00376A9C"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dissatisfied with the decision of the Contracts Committee, and in accordance with section 139 (1)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the respondent on 1</w:t>
      </w:r>
      <w:r w:rsidR="00163F12">
        <w:rPr>
          <w:rFonts w:ascii="Times New Roman" w:hAnsi="Times New Roman" w:cs="Times New Roman"/>
          <w:sz w:val="24"/>
          <w:szCs w:val="24"/>
        </w:rPr>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applied to the Chief Administrative Officer, Arua for Administrative Review, contesting the award of the contract to their competitor where it argued that;</w:t>
      </w:r>
      <w:r w:rsidR="00163F12">
        <w:rPr>
          <w:rFonts w:ascii="Times New Roman" w:hAnsi="Times New Roman" w:cs="Times New Roman"/>
          <w:sz w:val="24"/>
          <w:szCs w:val="24"/>
        </w:rPr>
        <w:t xml:space="preserve"> </w:t>
      </w:r>
      <w:r w:rsidR="00BE6C68">
        <w:rPr>
          <w:rFonts w:ascii="Times New Roman" w:hAnsi="Times New Roman" w:cs="Times New Roman"/>
          <w:sz w:val="24"/>
          <w:szCs w:val="24"/>
        </w:rPr>
        <w:t xml:space="preserve">the respondent had a bid price of shs. 5,047,000/= yet the best evaluated bidder had only quoted shs. 4,300,000/= and the respondent was surprised to be eliminated on grounds that its average bank balances for the required period stated in the </w:t>
      </w:r>
      <w:r w:rsidR="00B67639">
        <w:rPr>
          <w:rFonts w:ascii="Times New Roman" w:hAnsi="Times New Roman" w:cs="Times New Roman"/>
          <w:sz w:val="24"/>
          <w:szCs w:val="24"/>
        </w:rPr>
        <w:t>evaluation</w:t>
      </w:r>
      <w:r w:rsidR="00BE6C68">
        <w:rPr>
          <w:rFonts w:ascii="Times New Roman" w:hAnsi="Times New Roman" w:cs="Times New Roman"/>
          <w:sz w:val="24"/>
          <w:szCs w:val="24"/>
        </w:rPr>
        <w:t xml:space="preserve"> criteria</w:t>
      </w:r>
      <w:r w:rsidR="00B67639">
        <w:rPr>
          <w:rFonts w:ascii="Times New Roman" w:hAnsi="Times New Roman" w:cs="Times New Roman"/>
          <w:sz w:val="24"/>
          <w:szCs w:val="24"/>
        </w:rPr>
        <w:t xml:space="preserve"> failed to demonstrate financial capacity to pay as per the terms of reference</w:t>
      </w:r>
      <w:r>
        <w:rPr>
          <w:rFonts w:ascii="Times New Roman" w:hAnsi="Times New Roman" w:cs="Times New Roman"/>
          <w:sz w:val="24"/>
          <w:szCs w:val="24"/>
        </w:rPr>
        <w:t>.</w:t>
      </w:r>
      <w:r w:rsidR="00B67639">
        <w:rPr>
          <w:rFonts w:ascii="Times New Roman" w:hAnsi="Times New Roman" w:cs="Times New Roman"/>
          <w:sz w:val="24"/>
          <w:szCs w:val="24"/>
        </w:rPr>
        <w:t xml:space="preserve"> The evaluation should instead have considered the respondent’s performance regarding remittances it had made in </w:t>
      </w:r>
      <w:r w:rsidR="00B67639">
        <w:rPr>
          <w:rFonts w:ascii="Times New Roman" w:hAnsi="Times New Roman" w:cs="Times New Roman"/>
          <w:sz w:val="24"/>
          <w:szCs w:val="24"/>
        </w:rPr>
        <w:lastRenderedPageBreak/>
        <w:t xml:space="preserve">respect of Arua Central Market and Lodonga Market. It was wrong for that Committee to consider the respondent in terms of the bid for Ejupala Market which it never participated in. In any case the Committee should have </w:t>
      </w:r>
      <w:r w:rsidR="00D77DE4">
        <w:rPr>
          <w:rFonts w:ascii="Times New Roman" w:hAnsi="Times New Roman" w:cs="Times New Roman"/>
          <w:sz w:val="24"/>
          <w:szCs w:val="24"/>
        </w:rPr>
        <w:t>invoked Regulation</w:t>
      </w:r>
      <w:r w:rsidR="00B67639">
        <w:rPr>
          <w:rFonts w:ascii="Times New Roman" w:hAnsi="Times New Roman" w:cs="Times New Roman"/>
          <w:sz w:val="24"/>
          <w:szCs w:val="24"/>
        </w:rPr>
        <w:t xml:space="preserve"> </w:t>
      </w:r>
      <w:r w:rsidR="00D77DE4">
        <w:rPr>
          <w:rFonts w:ascii="Times New Roman" w:hAnsi="Times New Roman" w:cs="Times New Roman"/>
          <w:sz w:val="24"/>
          <w:szCs w:val="24"/>
        </w:rPr>
        <w:t>74 (1)</w:t>
      </w:r>
      <w:r w:rsidR="00B67639">
        <w:rPr>
          <w:rFonts w:ascii="Times New Roman" w:hAnsi="Times New Roman" w:cs="Times New Roman"/>
          <w:sz w:val="24"/>
          <w:szCs w:val="24"/>
        </w:rPr>
        <w:t xml:space="preserve"> of </w:t>
      </w:r>
      <w:r w:rsidR="00B67639" w:rsidRPr="008D1AC8">
        <w:rPr>
          <w:rFonts w:ascii="Times New Roman" w:hAnsi="Times New Roman" w:cs="Times New Roman"/>
          <w:i/>
          <w:sz w:val="24"/>
          <w:szCs w:val="24"/>
        </w:rPr>
        <w:t>The Local Governments (Public Procurement and Disposal of Public Assets) Regulations, 2006</w:t>
      </w:r>
      <w:r w:rsidR="00D77DE4">
        <w:rPr>
          <w:rFonts w:ascii="Times New Roman" w:hAnsi="Times New Roman" w:cs="Times New Roman"/>
          <w:sz w:val="24"/>
          <w:szCs w:val="24"/>
        </w:rPr>
        <w:t xml:space="preserve"> and sought clarification from the respondent instead. It was also wrong for the procuring entity to customise </w:t>
      </w:r>
      <w:r w:rsidR="00376A9C">
        <w:rPr>
          <w:rFonts w:ascii="Times New Roman" w:hAnsi="Times New Roman" w:cs="Times New Roman"/>
          <w:sz w:val="24"/>
          <w:szCs w:val="24"/>
        </w:rPr>
        <w:t xml:space="preserve">Standard Bidding Document issued by the appellant for use in the procurement of services for the management of Public Vehicle Parking Areas and instead apply it to the procurement of services for the development and management of markets, contrary to the provisions of Regulation 7 (1) (e) of </w:t>
      </w:r>
      <w:r w:rsidR="00376A9C" w:rsidRPr="008D1AC8">
        <w:rPr>
          <w:rFonts w:ascii="Times New Roman" w:hAnsi="Times New Roman" w:cs="Times New Roman"/>
          <w:i/>
          <w:sz w:val="24"/>
          <w:szCs w:val="24"/>
        </w:rPr>
        <w:t>The Local Governments (Public Procurement and Disposal of Public Assets) Regulations, 2006</w:t>
      </w:r>
      <w:r w:rsidR="00376A9C">
        <w:rPr>
          <w:rFonts w:ascii="Times New Roman" w:hAnsi="Times New Roman" w:cs="Times New Roman"/>
          <w:i/>
          <w:sz w:val="24"/>
          <w:szCs w:val="24"/>
        </w:rPr>
        <w:t xml:space="preserve">. </w:t>
      </w:r>
      <w:r w:rsidR="00376A9C">
        <w:rPr>
          <w:rFonts w:ascii="Times New Roman" w:hAnsi="Times New Roman" w:cs="Times New Roman"/>
          <w:sz w:val="24"/>
          <w:szCs w:val="24"/>
        </w:rPr>
        <w:t xml:space="preserve">Lastly, the procuring entity in awarding the contract failed to implement the Government Policy on the Development and Management of markets in City, Municipalities and Towns issued by the Ministry of Local Government in 2007. </w:t>
      </w:r>
    </w:p>
    <w:p w:rsidR="00B23499" w:rsidRDefault="00B23499" w:rsidP="00B23499">
      <w:pPr>
        <w:spacing w:after="0" w:line="360" w:lineRule="auto"/>
        <w:jc w:val="both"/>
        <w:rPr>
          <w:rFonts w:ascii="Times New Roman" w:hAnsi="Times New Roman" w:cs="Times New Roman"/>
          <w:sz w:val="24"/>
          <w:szCs w:val="24"/>
        </w:rPr>
      </w:pPr>
    </w:p>
    <w:p w:rsidR="00376A9C" w:rsidRPr="00376A9C" w:rsidRDefault="00B23499" w:rsidP="00376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Chief Administrative Officer 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July 2015 issued his decision in accordance with section 90 (2) of </w:t>
      </w:r>
      <w:r w:rsidRPr="00D8013A">
        <w:rPr>
          <w:rFonts w:ascii="Times New Roman" w:hAnsi="Times New Roman" w:cs="Times New Roman"/>
          <w:i/>
          <w:sz w:val="24"/>
          <w:szCs w:val="24"/>
        </w:rPr>
        <w:t xml:space="preserve">The Public Procurement and Disposal of Public Assts Act, </w:t>
      </w:r>
      <w:r>
        <w:rPr>
          <w:rFonts w:ascii="Times New Roman" w:hAnsi="Times New Roman" w:cs="Times New Roman"/>
          <w:i/>
          <w:sz w:val="24"/>
          <w:szCs w:val="24"/>
        </w:rPr>
        <w:t>2003</w:t>
      </w:r>
      <w:r>
        <w:rPr>
          <w:rFonts w:ascii="Times New Roman" w:hAnsi="Times New Roman" w:cs="Times New Roman"/>
          <w:sz w:val="24"/>
          <w:szCs w:val="24"/>
        </w:rPr>
        <w:t xml:space="preserve"> and Regulation 139 (5)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i/>
          <w:sz w:val="24"/>
          <w:szCs w:val="24"/>
        </w:rPr>
        <w:t>.</w:t>
      </w:r>
      <w:r>
        <w:rPr>
          <w:rFonts w:ascii="Times New Roman" w:hAnsi="Times New Roman" w:cs="Times New Roman"/>
          <w:sz w:val="24"/>
          <w:szCs w:val="24"/>
        </w:rPr>
        <w:t xml:space="preserve"> By that decision, he concluded there was no merit in the application for administrative review on grounds that;</w:t>
      </w:r>
      <w:r w:rsidR="00163F12">
        <w:rPr>
          <w:rFonts w:ascii="Times New Roman" w:hAnsi="Times New Roman" w:cs="Times New Roman"/>
          <w:sz w:val="24"/>
          <w:szCs w:val="24"/>
        </w:rPr>
        <w:t xml:space="preserve"> </w:t>
      </w:r>
      <w:r w:rsidR="00B67639">
        <w:rPr>
          <w:rFonts w:ascii="Times New Roman" w:hAnsi="Times New Roman" w:cs="Times New Roman"/>
          <w:sz w:val="24"/>
          <w:szCs w:val="24"/>
        </w:rPr>
        <w:t>the bid document issued to the respondent clearly indicated that the evaluation method to be used was the Technical Compliance Selection Method in which case the highest priced bid that would be eligible, compliant and substantially responsive will be taken as the best evaluated bid</w:t>
      </w:r>
      <w:r>
        <w:rPr>
          <w:rFonts w:ascii="Times New Roman" w:hAnsi="Times New Roman" w:cs="Times New Roman"/>
          <w:sz w:val="24"/>
          <w:szCs w:val="24"/>
        </w:rPr>
        <w:t>.</w:t>
      </w:r>
      <w:r w:rsidR="00B67639">
        <w:rPr>
          <w:rFonts w:ascii="Times New Roman" w:hAnsi="Times New Roman" w:cs="Times New Roman"/>
          <w:sz w:val="24"/>
          <w:szCs w:val="24"/>
        </w:rPr>
        <w:t xml:space="preserve"> The procuring entity however reserved the right not to be bound to accept the highest bid or any other bid. The average bank balance of the respondent was only shs. 258,000/= which was found to be insufficient to pay the quoted bid of shs. 5,047,000/=</w:t>
      </w:r>
      <w:r w:rsidR="00D77DE4">
        <w:rPr>
          <w:rFonts w:ascii="Times New Roman" w:hAnsi="Times New Roman" w:cs="Times New Roman"/>
          <w:sz w:val="24"/>
          <w:szCs w:val="24"/>
        </w:rPr>
        <w:t xml:space="preserve">. Attachment of copies of previous contracts alongside receipts for the quarterly remittances made, where applicable, was one of the requirements for the bid. Although the respondent deliberately failed to attach its contract for the previous year and the accompanying receipts in respect of Ejupala Market as required by the terms of the bid, the Evaluation Committee was able to determine from other sources that the respondent had failed to comply with the quarterly remittances set by the contract terms. By deliberately failing to submit its contract for the previous year and the accompanying receipts, the respondent committed a material deviation which could not be rectified by invoking Regulation 74 (1) of </w:t>
      </w:r>
      <w:r w:rsidR="00D77DE4" w:rsidRPr="008D1AC8">
        <w:rPr>
          <w:rFonts w:ascii="Times New Roman" w:hAnsi="Times New Roman" w:cs="Times New Roman"/>
          <w:i/>
          <w:sz w:val="24"/>
          <w:szCs w:val="24"/>
        </w:rPr>
        <w:t xml:space="preserve">The Local Governments (Public </w:t>
      </w:r>
      <w:r w:rsidR="00D77DE4" w:rsidRPr="008D1AC8">
        <w:rPr>
          <w:rFonts w:ascii="Times New Roman" w:hAnsi="Times New Roman" w:cs="Times New Roman"/>
          <w:i/>
          <w:sz w:val="24"/>
          <w:szCs w:val="24"/>
        </w:rPr>
        <w:lastRenderedPageBreak/>
        <w:t>Procurement and Disposal of Public Assets) Regulations, 2006</w:t>
      </w:r>
      <w:r w:rsidR="00D77DE4">
        <w:rPr>
          <w:rFonts w:ascii="Times New Roman" w:hAnsi="Times New Roman" w:cs="Times New Roman"/>
          <w:sz w:val="24"/>
          <w:szCs w:val="24"/>
        </w:rPr>
        <w:t>. The Committee was therefore correct when it found the respondent’s bid to be non-responsive.</w:t>
      </w:r>
      <w:r w:rsidR="00376A9C">
        <w:rPr>
          <w:rFonts w:ascii="Times New Roman" w:hAnsi="Times New Roman" w:cs="Times New Roman"/>
          <w:sz w:val="24"/>
          <w:szCs w:val="24"/>
        </w:rPr>
        <w:t xml:space="preserve"> It was established that the appellant’s Executive Director had by a letter dated 3</w:t>
      </w:r>
      <w:r w:rsidR="00376A9C" w:rsidRPr="00376A9C">
        <w:rPr>
          <w:rFonts w:ascii="Times New Roman" w:hAnsi="Times New Roman" w:cs="Times New Roman"/>
          <w:sz w:val="24"/>
          <w:szCs w:val="24"/>
          <w:vertAlign w:val="superscript"/>
        </w:rPr>
        <w:t>rd</w:t>
      </w:r>
      <w:r w:rsidR="00376A9C">
        <w:rPr>
          <w:rFonts w:ascii="Times New Roman" w:hAnsi="Times New Roman" w:cs="Times New Roman"/>
          <w:sz w:val="24"/>
          <w:szCs w:val="24"/>
        </w:rPr>
        <w:t xml:space="preserve"> April 2014 advised the procuring entity to customise the Standard Bidding Document issued by the appellant for use in the procurement of services for the management of Public Vehicle Parking Areas and instead applied it to the procurement of services for the development and management of markets. This substantially satisfied the requirements of Regulation 7 (1) (e) of </w:t>
      </w:r>
      <w:r w:rsidR="00376A9C" w:rsidRPr="008D1AC8">
        <w:rPr>
          <w:rFonts w:ascii="Times New Roman" w:hAnsi="Times New Roman" w:cs="Times New Roman"/>
          <w:i/>
          <w:sz w:val="24"/>
          <w:szCs w:val="24"/>
        </w:rPr>
        <w:t>The Local Governments (Public Procurement and Disposal of Public Assets) Regulations, 2006</w:t>
      </w:r>
      <w:r w:rsidR="00376A9C">
        <w:rPr>
          <w:rFonts w:ascii="Times New Roman" w:hAnsi="Times New Roman" w:cs="Times New Roman"/>
          <w:i/>
          <w:sz w:val="24"/>
          <w:szCs w:val="24"/>
        </w:rPr>
        <w:t>.</w:t>
      </w:r>
      <w:r w:rsidR="00376A9C">
        <w:rPr>
          <w:rFonts w:ascii="Times New Roman" w:hAnsi="Times New Roman" w:cs="Times New Roman"/>
          <w:sz w:val="24"/>
          <w:szCs w:val="24"/>
        </w:rPr>
        <w:t xml:space="preserve"> The procuring entity had in accordance with Regulation 59 (3) of </w:t>
      </w:r>
      <w:r w:rsidR="00376A9C" w:rsidRPr="008D1AC8">
        <w:rPr>
          <w:rFonts w:ascii="Times New Roman" w:hAnsi="Times New Roman" w:cs="Times New Roman"/>
          <w:i/>
          <w:sz w:val="24"/>
          <w:szCs w:val="24"/>
        </w:rPr>
        <w:t>The Local Governments (Public Procurement and Disposal of Public Assets) Regulations, 2006</w:t>
      </w:r>
      <w:r w:rsidR="00376A9C">
        <w:rPr>
          <w:rFonts w:ascii="Times New Roman" w:hAnsi="Times New Roman" w:cs="Times New Roman"/>
          <w:sz w:val="24"/>
          <w:szCs w:val="24"/>
        </w:rPr>
        <w:t xml:space="preserve"> carried out due diligence concerning the respondent’s membership during which it was established that the market vendors had expressed ignorance of the existence of the respondent and were not registered as members of the respondent. The </w:t>
      </w:r>
      <w:r w:rsidR="001448BF">
        <w:rPr>
          <w:rFonts w:ascii="Times New Roman" w:hAnsi="Times New Roman" w:cs="Times New Roman"/>
          <w:sz w:val="24"/>
          <w:szCs w:val="24"/>
        </w:rPr>
        <w:t>method</w:t>
      </w:r>
      <w:r w:rsidR="00376A9C">
        <w:rPr>
          <w:rFonts w:ascii="Times New Roman" w:hAnsi="Times New Roman" w:cs="Times New Roman"/>
          <w:sz w:val="24"/>
          <w:szCs w:val="24"/>
        </w:rPr>
        <w:t xml:space="preserve"> used was Open Domestic Bidding which was open to all eligible </w:t>
      </w:r>
      <w:r w:rsidR="001448BF">
        <w:rPr>
          <w:rFonts w:ascii="Times New Roman" w:hAnsi="Times New Roman" w:cs="Times New Roman"/>
          <w:sz w:val="24"/>
          <w:szCs w:val="24"/>
        </w:rPr>
        <w:t xml:space="preserve">bidders including the respondent. The application was therefore rejected as being devoid of merit. </w:t>
      </w:r>
    </w:p>
    <w:p w:rsidR="00B23499" w:rsidRPr="00D77DE4" w:rsidRDefault="00B23499" w:rsidP="00B23499">
      <w:pPr>
        <w:spacing w:after="0" w:line="360" w:lineRule="auto"/>
        <w:jc w:val="both"/>
        <w:rPr>
          <w:rFonts w:ascii="Times New Roman" w:hAnsi="Times New Roman" w:cs="Times New Roman"/>
          <w:sz w:val="24"/>
          <w:szCs w:val="24"/>
        </w:rPr>
      </w:pPr>
    </w:p>
    <w:p w:rsidR="00B23499" w:rsidRPr="00832A6E"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of the Chief Administrative Officer, Arua, the respondent on 1</w:t>
      </w:r>
      <w:r w:rsidR="00163F12">
        <w:rPr>
          <w:rFonts w:ascii="Times New Roman" w:hAnsi="Times New Roman" w:cs="Times New Roman"/>
          <w:sz w:val="24"/>
          <w:szCs w:val="24"/>
        </w:rPr>
        <w:t>8</w:t>
      </w:r>
      <w:r w:rsidRPr="006D6A3C">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applied to the appellant for further administrative review. Before the appellant, the respondent presented more or less the very same grounds and arguments it had presented to the Chief Administrative Officer before. It argued that</w:t>
      </w:r>
      <w:r w:rsidR="001448BF">
        <w:rPr>
          <w:rFonts w:ascii="Times New Roman" w:hAnsi="Times New Roman" w:cs="Times New Roman"/>
          <w:sz w:val="24"/>
          <w:szCs w:val="24"/>
        </w:rPr>
        <w:t xml:space="preserve"> the procurement entity had not properly evaluated the respondent’s bid as against the financial capacity criteria. Furthermore, the procurement entity had no authority to customise the bidding document</w:t>
      </w:r>
      <w:r w:rsidR="0094498F">
        <w:rPr>
          <w:rFonts w:ascii="Times New Roman" w:hAnsi="Times New Roman" w:cs="Times New Roman"/>
          <w:sz w:val="24"/>
          <w:szCs w:val="24"/>
        </w:rPr>
        <w:t xml:space="preserve"> since it did not apply for the requisite authorisation by the appellant</w:t>
      </w:r>
      <w:r w:rsidR="00C31EC9">
        <w:rPr>
          <w:rFonts w:ascii="Times New Roman" w:hAnsi="Times New Roman" w:cs="Times New Roman"/>
          <w:sz w:val="24"/>
          <w:szCs w:val="24"/>
        </w:rPr>
        <w:t>. Being the only SACCO to submit a bid, the procuring entity should have implemented the Government Policy on the Development and Management of markets in City, Municipalities and Towns issued by the Ministry of Local Government in 2007 and awarded the contract to the respondent.</w:t>
      </w:r>
      <w:r w:rsidR="00EF0378">
        <w:rPr>
          <w:rFonts w:ascii="Times New Roman" w:hAnsi="Times New Roman" w:cs="Times New Roman"/>
          <w:sz w:val="24"/>
          <w:szCs w:val="24"/>
        </w:rPr>
        <w:t xml:space="preserve"> The procuring entity should not have considered the respondent’s performance with regard to Ejupala Market in the previous financial year since that was not part of its bid.</w:t>
      </w:r>
    </w:p>
    <w:p w:rsidR="00B23499" w:rsidRDefault="00B23499" w:rsidP="00B23499">
      <w:pPr>
        <w:spacing w:after="0" w:line="360" w:lineRule="auto"/>
        <w:jc w:val="both"/>
        <w:rPr>
          <w:rFonts w:ascii="Times New Roman" w:hAnsi="Times New Roman" w:cs="Times New Roman"/>
          <w:sz w:val="24"/>
          <w:szCs w:val="24"/>
        </w:rPr>
      </w:pPr>
    </w:p>
    <w:p w:rsidR="00B23499" w:rsidRPr="00C31EC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considered the application and in its decision of </w:t>
      </w:r>
      <w:r w:rsidR="00163F12">
        <w:rPr>
          <w:rFonts w:ascii="Times New Roman" w:hAnsi="Times New Roman" w:cs="Times New Roman"/>
          <w:sz w:val="24"/>
          <w:szCs w:val="24"/>
        </w:rPr>
        <w:t>7</w:t>
      </w:r>
      <w:r w:rsidRPr="00006FD3">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rejected it. The reasons given were that</w:t>
      </w:r>
      <w:r w:rsidR="001448BF">
        <w:rPr>
          <w:rFonts w:ascii="Times New Roman" w:hAnsi="Times New Roman" w:cs="Times New Roman"/>
          <w:sz w:val="24"/>
          <w:szCs w:val="24"/>
        </w:rPr>
        <w:t xml:space="preserve">; as one of the requirements of the bid, the respondent had to demonstrate access to or availability of financial resources to pay the monthly bid quoted, three months in </w:t>
      </w:r>
      <w:r w:rsidR="001448BF">
        <w:rPr>
          <w:rFonts w:ascii="Times New Roman" w:hAnsi="Times New Roman" w:cs="Times New Roman"/>
          <w:sz w:val="24"/>
          <w:szCs w:val="24"/>
        </w:rPr>
        <w:lastRenderedPageBreak/>
        <w:t>advance</w:t>
      </w:r>
      <w:r>
        <w:rPr>
          <w:rFonts w:ascii="Times New Roman" w:hAnsi="Times New Roman" w:cs="Times New Roman"/>
          <w:sz w:val="24"/>
          <w:szCs w:val="24"/>
        </w:rPr>
        <w:t>.</w:t>
      </w:r>
      <w:r w:rsidR="001448BF">
        <w:rPr>
          <w:rFonts w:ascii="Times New Roman" w:hAnsi="Times New Roman" w:cs="Times New Roman"/>
          <w:sz w:val="24"/>
          <w:szCs w:val="24"/>
        </w:rPr>
        <w:t xml:space="preserve"> This would be demonstrated by attaching a bank statement for the previous six months indicating that its average monthly bank balance during that period was three times the amount in the bid. </w:t>
      </w:r>
      <w:proofErr w:type="gramStart"/>
      <w:r w:rsidR="001448BF">
        <w:rPr>
          <w:rFonts w:ascii="Times New Roman" w:hAnsi="Times New Roman" w:cs="Times New Roman"/>
          <w:sz w:val="24"/>
          <w:szCs w:val="24"/>
        </w:rPr>
        <w:t>At a bid price of shs.</w:t>
      </w:r>
      <w:proofErr w:type="gramEnd"/>
      <w:r w:rsidR="001448BF">
        <w:rPr>
          <w:rFonts w:ascii="Times New Roman" w:hAnsi="Times New Roman" w:cs="Times New Roman"/>
          <w:sz w:val="24"/>
          <w:szCs w:val="24"/>
        </w:rPr>
        <w:t xml:space="preserve"> 5,047,000/=, the respondent required a monthly average bank balance of shs. 15,912,163 yet the statement revealed a balance of only shs. 5,304,056/= which was found to be insufficient and hence the bid was non-responsive to that criteria. </w:t>
      </w:r>
      <w:r w:rsidR="00C31EC9">
        <w:rPr>
          <w:rFonts w:ascii="Times New Roman" w:hAnsi="Times New Roman" w:cs="Times New Roman"/>
          <w:sz w:val="24"/>
          <w:szCs w:val="24"/>
        </w:rPr>
        <w:t>The letter issued by the appellant on 3</w:t>
      </w:r>
      <w:r w:rsidR="00C31EC9" w:rsidRPr="00C31EC9">
        <w:rPr>
          <w:rFonts w:ascii="Times New Roman" w:hAnsi="Times New Roman" w:cs="Times New Roman"/>
          <w:sz w:val="24"/>
          <w:szCs w:val="24"/>
          <w:vertAlign w:val="superscript"/>
        </w:rPr>
        <w:t>rd</w:t>
      </w:r>
      <w:r w:rsidR="00C31EC9">
        <w:rPr>
          <w:rFonts w:ascii="Times New Roman" w:hAnsi="Times New Roman" w:cs="Times New Roman"/>
          <w:sz w:val="24"/>
          <w:szCs w:val="24"/>
        </w:rPr>
        <w:t xml:space="preserve"> April 2014 authorised the procuring entity to customise the Standard Bidding Document issued by the appellant for use in the procurement of services for the management of Public Vehicle Parking Areas as they were all revenue collection and management services. The customisation was rightly done under Regulation 48 of </w:t>
      </w:r>
      <w:r w:rsidR="00C31EC9" w:rsidRPr="008D1AC8">
        <w:rPr>
          <w:rFonts w:ascii="Times New Roman" w:hAnsi="Times New Roman" w:cs="Times New Roman"/>
          <w:i/>
          <w:sz w:val="24"/>
          <w:szCs w:val="24"/>
        </w:rPr>
        <w:t>The Local Governments (Public Procurement and Disposal of Public Assets) Regulations, 2006</w:t>
      </w:r>
      <w:r w:rsidR="00C31EC9">
        <w:rPr>
          <w:rFonts w:ascii="Times New Roman" w:hAnsi="Times New Roman" w:cs="Times New Roman"/>
          <w:i/>
          <w:sz w:val="24"/>
          <w:szCs w:val="24"/>
        </w:rPr>
        <w:t>.</w:t>
      </w:r>
      <w:r w:rsidR="00C31EC9">
        <w:rPr>
          <w:rFonts w:ascii="Times New Roman" w:hAnsi="Times New Roman" w:cs="Times New Roman"/>
          <w:sz w:val="24"/>
          <w:szCs w:val="24"/>
        </w:rPr>
        <w:t xml:space="preserve"> The procuring entity did not have to request for all subsequent customisations. The Government Policy on the Development and Management of markets in City, Municipalities and Towns issued by the Ministry of Local Government in 2007 was meant to benefit SACCOs whose membership own stalls, kiosks, etc. in the market tendered for yet the due diligence carried out revealed that none of the respondent’s members owned or operated any stalls, kiosks, etc. in Kubala Market.</w:t>
      </w:r>
      <w:r w:rsidR="00EF0378">
        <w:rPr>
          <w:rFonts w:ascii="Times New Roman" w:hAnsi="Times New Roman" w:cs="Times New Roman"/>
          <w:sz w:val="24"/>
          <w:szCs w:val="24"/>
        </w:rPr>
        <w:t xml:space="preserve"> It is for that reason that the procuring entity adopted the Open Domestic Bidding method. One of the conditions of the bid was the requirement to attach previous contracts alongside receipts for the quarterly remittances made, where applicable. Although the respondent deliberately failed to attach its contract for the previous year and the accompanying receipts in respect of Ejupala Market as required by the terms of the bid, the Evaluation Committee was faulted for determining from other sources that the respondent had failed to comply with the quarterly remittances set by the contract terms. The Committee should instead have directed further due diligence first and then relied on information so obtained to make an informed decision. In light of the latter finding, although the rest of the grounds had been rejected, the appellant directed the procuring entity to re-evaluate all the bids for procurement of services for the management and collection of revenue for Kubala Market. It also directed that the procurement entity should not refund the administrative review fee paid by the respondent.</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Still dissatisfied with the decision of the appellant, the respondent on 26</w:t>
      </w:r>
      <w:r w:rsidRPr="00D176E1">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applied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for review of the appellant’s decision. There, the respondent contended and advanced </w:t>
      </w:r>
      <w:r w:rsidR="00163F12">
        <w:rPr>
          <w:rFonts w:ascii="Times New Roman" w:hAnsi="Times New Roman" w:cs="Times New Roman"/>
          <w:sz w:val="24"/>
          <w:szCs w:val="24"/>
        </w:rPr>
        <w:t>two</w:t>
      </w:r>
      <w:r>
        <w:rPr>
          <w:rFonts w:ascii="Times New Roman" w:hAnsi="Times New Roman" w:cs="Times New Roman"/>
          <w:sz w:val="24"/>
          <w:szCs w:val="24"/>
        </w:rPr>
        <w:t xml:space="preserve"> ground</w:t>
      </w:r>
      <w:r w:rsidR="00163F12">
        <w:rPr>
          <w:rFonts w:ascii="Times New Roman" w:hAnsi="Times New Roman" w:cs="Times New Roman"/>
          <w:sz w:val="24"/>
          <w:szCs w:val="24"/>
        </w:rPr>
        <w:t>s</w:t>
      </w:r>
      <w:r>
        <w:rPr>
          <w:rFonts w:ascii="Times New Roman" w:hAnsi="Times New Roman" w:cs="Times New Roman"/>
          <w:sz w:val="24"/>
          <w:szCs w:val="24"/>
        </w:rPr>
        <w:t>, that;-</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pStyle w:val="ListParagraph"/>
        <w:numPr>
          <w:ilvl w:val="0"/>
          <w:numId w:val="11"/>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appellant had erred in law and in fact by </w:t>
      </w:r>
      <w:r w:rsidR="00163F12">
        <w:rPr>
          <w:rFonts w:ascii="Times New Roman" w:hAnsi="Times New Roman" w:cs="Times New Roman"/>
          <w:sz w:val="24"/>
          <w:szCs w:val="24"/>
        </w:rPr>
        <w:t>its failure to properly evaluate the evidence on record thus arriving at a wrong conclusion in finding that the procuring entity correctly ignored the reservation scheme and policy on development and management of markets</w:t>
      </w:r>
      <w:r>
        <w:rPr>
          <w:rFonts w:ascii="Times New Roman" w:hAnsi="Times New Roman" w:cs="Times New Roman"/>
          <w:sz w:val="24"/>
          <w:szCs w:val="24"/>
        </w:rPr>
        <w:t>.</w:t>
      </w:r>
    </w:p>
    <w:p w:rsidR="00163F12" w:rsidRDefault="00163F12" w:rsidP="00B23499">
      <w:pPr>
        <w:pStyle w:val="ListParagraph"/>
        <w:numPr>
          <w:ilvl w:val="0"/>
          <w:numId w:val="11"/>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appellant erred in law and in fact in finding that the respondent does not have vendors in Kubala Market.</w:t>
      </w:r>
    </w:p>
    <w:p w:rsidR="00163F12" w:rsidRDefault="00163F12" w:rsidP="00163F12">
      <w:pPr>
        <w:pStyle w:val="ListParagraph"/>
        <w:spacing w:after="0" w:line="360" w:lineRule="auto"/>
        <w:ind w:right="576"/>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written submissions, the respondent argued that the Government Policy on the Development and Management of markets in City, Municipalities and Towns issued by the Ministry of Local Government in 2007, by which it was decided that in awarding such contracts, priority should be given to market vendors’ SACCOs. The appellant therefore should have adopted the Restricted Domestic Bidding method under the provisions of section 82 of </w:t>
      </w:r>
      <w:r w:rsidRPr="008D1AC8">
        <w:rPr>
          <w:rFonts w:ascii="Times New Roman" w:hAnsi="Times New Roman" w:cs="Times New Roman"/>
          <w:i/>
          <w:sz w:val="24"/>
          <w:szCs w:val="24"/>
        </w:rPr>
        <w:t>The Public Procurement and Disposal of Public Assets</w:t>
      </w:r>
      <w:r>
        <w:rPr>
          <w:rFonts w:ascii="Times New Roman" w:hAnsi="Times New Roman" w:cs="Times New Roman"/>
          <w:i/>
          <w:sz w:val="24"/>
          <w:szCs w:val="24"/>
        </w:rPr>
        <w:t xml:space="preserve"> Act</w:t>
      </w:r>
      <w:r w:rsidRPr="008D1AC8">
        <w:rPr>
          <w:rFonts w:ascii="Times New Roman" w:hAnsi="Times New Roman" w:cs="Times New Roman"/>
          <w:i/>
          <w:sz w:val="24"/>
          <w:szCs w:val="24"/>
        </w:rPr>
        <w:t>, 200</w:t>
      </w:r>
      <w:r>
        <w:rPr>
          <w:rFonts w:ascii="Times New Roman" w:hAnsi="Times New Roman" w:cs="Times New Roman"/>
          <w:i/>
          <w:sz w:val="24"/>
          <w:szCs w:val="24"/>
        </w:rPr>
        <w:t>3</w:t>
      </w:r>
      <w:r>
        <w:rPr>
          <w:rFonts w:ascii="Times New Roman" w:hAnsi="Times New Roman" w:cs="Times New Roman"/>
          <w:sz w:val="24"/>
          <w:szCs w:val="24"/>
        </w:rPr>
        <w:t xml:space="preserve"> by which the bidding should have been limited to sitting SACCOs only. </w:t>
      </w:r>
      <w:r w:rsidR="00C3510A">
        <w:rPr>
          <w:rFonts w:ascii="Times New Roman" w:hAnsi="Times New Roman" w:cs="Times New Roman"/>
          <w:sz w:val="24"/>
          <w:szCs w:val="24"/>
        </w:rPr>
        <w:t xml:space="preserve">The verification exercise undertaken by the appellant was flawed since members of the respondent were not notified to be present during the exercise. The exercise of verification in any case should have been conducted before the advertisement. </w:t>
      </w:r>
    </w:p>
    <w:p w:rsidR="00D77DE4" w:rsidRDefault="00D77DE4"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written submissions to the Tribunal, the appellant contended that it undertook a verification exercise in </w:t>
      </w:r>
      <w:r w:rsidR="00163F12">
        <w:rPr>
          <w:rFonts w:ascii="Times New Roman" w:hAnsi="Times New Roman" w:cs="Times New Roman"/>
          <w:sz w:val="24"/>
          <w:szCs w:val="24"/>
        </w:rPr>
        <w:t>Kubala</w:t>
      </w:r>
      <w:r>
        <w:rPr>
          <w:rFonts w:ascii="Times New Roman" w:hAnsi="Times New Roman" w:cs="Times New Roman"/>
          <w:sz w:val="24"/>
          <w:szCs w:val="24"/>
        </w:rPr>
        <w:t xml:space="preserve"> Market on </w:t>
      </w:r>
      <w:r w:rsidR="00163F12">
        <w:rPr>
          <w:rFonts w:ascii="Times New Roman" w:hAnsi="Times New Roman" w:cs="Times New Roman"/>
          <w:sz w:val="24"/>
          <w:szCs w:val="24"/>
        </w:rPr>
        <w:t>7</w:t>
      </w:r>
      <w:r w:rsidRPr="00B76D5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where it found that the persons listed as members in the respondent’s bid were not operating on the ground as owners of stalls, kiosks, etc. in </w:t>
      </w:r>
      <w:r w:rsidR="00163F12">
        <w:rPr>
          <w:rFonts w:ascii="Times New Roman" w:hAnsi="Times New Roman" w:cs="Times New Roman"/>
          <w:sz w:val="24"/>
          <w:szCs w:val="24"/>
        </w:rPr>
        <w:t>Kubala</w:t>
      </w:r>
      <w:r>
        <w:rPr>
          <w:rFonts w:ascii="Times New Roman" w:hAnsi="Times New Roman" w:cs="Times New Roman"/>
          <w:sz w:val="24"/>
          <w:szCs w:val="24"/>
        </w:rPr>
        <w:t xml:space="preserve"> Market. </w:t>
      </w:r>
      <w:r w:rsidR="00C3510A">
        <w:rPr>
          <w:rFonts w:ascii="Times New Roman" w:hAnsi="Times New Roman" w:cs="Times New Roman"/>
          <w:sz w:val="24"/>
          <w:szCs w:val="24"/>
        </w:rPr>
        <w:t xml:space="preserve">This exercise was undertaken in the presence of the Chairperson and the Legal Assistant of the respondent. The exercise revealed that the respondent’s members were not registered as vendors in Kubala Market. </w:t>
      </w:r>
      <w:r>
        <w:rPr>
          <w:rFonts w:ascii="Times New Roman" w:hAnsi="Times New Roman" w:cs="Times New Roman"/>
          <w:sz w:val="24"/>
          <w:szCs w:val="24"/>
        </w:rPr>
        <w:t>The respondent therefore could not be a beneficiary of the policy.</w:t>
      </w:r>
      <w:r w:rsidR="00C3510A">
        <w:rPr>
          <w:rFonts w:ascii="Times New Roman" w:hAnsi="Times New Roman" w:cs="Times New Roman"/>
          <w:sz w:val="24"/>
          <w:szCs w:val="24"/>
        </w:rPr>
        <w:t xml:space="preserve"> In the circumstances, the procuring entity was therefore justified in adopting the Open Domestic Bidding method.</w:t>
      </w:r>
    </w:p>
    <w:p w:rsidR="00B23499" w:rsidRDefault="00B23499" w:rsidP="00B23499">
      <w:pPr>
        <w:spacing w:after="0" w:line="360" w:lineRule="auto"/>
        <w:jc w:val="both"/>
        <w:rPr>
          <w:rFonts w:ascii="Times New Roman" w:hAnsi="Times New Roman" w:cs="Times New Roman"/>
          <w:sz w:val="24"/>
          <w:szCs w:val="24"/>
        </w:rPr>
      </w:pPr>
    </w:p>
    <w:p w:rsidR="00C3510A" w:rsidRPr="0034093D"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decision, The Tribunal found that the aim of the Government Policy on the Development and Management of markets in City, Municipalities and Towns issued by the Ministry of Local Government </w:t>
      </w:r>
      <w:r w:rsidR="00C3510A">
        <w:rPr>
          <w:rFonts w:ascii="Times New Roman" w:hAnsi="Times New Roman" w:cs="Times New Roman"/>
          <w:sz w:val="24"/>
          <w:szCs w:val="24"/>
        </w:rPr>
        <w:t>on 17</w:t>
      </w:r>
      <w:r w:rsidR="00C3510A" w:rsidRPr="00C3510A">
        <w:rPr>
          <w:rFonts w:ascii="Times New Roman" w:hAnsi="Times New Roman" w:cs="Times New Roman"/>
          <w:sz w:val="24"/>
          <w:szCs w:val="24"/>
          <w:vertAlign w:val="superscript"/>
        </w:rPr>
        <w:t>th</w:t>
      </w:r>
      <w:r w:rsidR="00C3510A">
        <w:rPr>
          <w:rFonts w:ascii="Times New Roman" w:hAnsi="Times New Roman" w:cs="Times New Roman"/>
          <w:sz w:val="24"/>
          <w:szCs w:val="24"/>
        </w:rPr>
        <w:t xml:space="preserve"> September</w:t>
      </w:r>
      <w:r>
        <w:rPr>
          <w:rFonts w:ascii="Times New Roman" w:hAnsi="Times New Roman" w:cs="Times New Roman"/>
          <w:sz w:val="24"/>
          <w:szCs w:val="24"/>
        </w:rPr>
        <w:t xml:space="preserve"> 2007 </w:t>
      </w:r>
      <w:r w:rsidR="00C3510A">
        <w:rPr>
          <w:rFonts w:ascii="Times New Roman" w:hAnsi="Times New Roman" w:cs="Times New Roman"/>
          <w:sz w:val="24"/>
          <w:szCs w:val="24"/>
        </w:rPr>
        <w:t>was</w:t>
      </w:r>
      <w:r>
        <w:rPr>
          <w:rFonts w:ascii="Times New Roman" w:hAnsi="Times New Roman" w:cs="Times New Roman"/>
          <w:sz w:val="24"/>
          <w:szCs w:val="24"/>
        </w:rPr>
        <w:t xml:space="preserve"> that the owners of stalls, kiosks, etc. in markets should register under associations which w</w:t>
      </w:r>
      <w:r w:rsidR="00C3510A">
        <w:rPr>
          <w:rFonts w:ascii="Times New Roman" w:hAnsi="Times New Roman" w:cs="Times New Roman"/>
          <w:sz w:val="24"/>
          <w:szCs w:val="24"/>
        </w:rPr>
        <w:t>ould</w:t>
      </w:r>
      <w:r>
        <w:rPr>
          <w:rFonts w:ascii="Times New Roman" w:hAnsi="Times New Roman" w:cs="Times New Roman"/>
          <w:sz w:val="24"/>
          <w:szCs w:val="24"/>
        </w:rPr>
        <w:t xml:space="preserve"> then be given first priority in re-development and </w:t>
      </w:r>
      <w:r>
        <w:rPr>
          <w:rFonts w:ascii="Times New Roman" w:hAnsi="Times New Roman" w:cs="Times New Roman"/>
          <w:sz w:val="24"/>
          <w:szCs w:val="24"/>
        </w:rPr>
        <w:lastRenderedPageBreak/>
        <w:t xml:space="preserve">management of markets. </w:t>
      </w:r>
      <w:r w:rsidR="00C3510A">
        <w:rPr>
          <w:rFonts w:ascii="Times New Roman" w:hAnsi="Times New Roman" w:cs="Times New Roman"/>
          <w:sz w:val="24"/>
          <w:szCs w:val="24"/>
        </w:rPr>
        <w:t>The procuring entity ought to have taken that policy into account and should not have ignored it simply because</w:t>
      </w:r>
      <w:r w:rsidR="00F143CD">
        <w:rPr>
          <w:rFonts w:ascii="Times New Roman" w:hAnsi="Times New Roman" w:cs="Times New Roman"/>
          <w:sz w:val="24"/>
          <w:szCs w:val="24"/>
        </w:rPr>
        <w:t xml:space="preserve"> there </w:t>
      </w:r>
      <w:proofErr w:type="gramStart"/>
      <w:r w:rsidR="00F143CD">
        <w:rPr>
          <w:rFonts w:ascii="Times New Roman" w:hAnsi="Times New Roman" w:cs="Times New Roman"/>
          <w:sz w:val="24"/>
          <w:szCs w:val="24"/>
        </w:rPr>
        <w:t>existed</w:t>
      </w:r>
      <w:proofErr w:type="gramEnd"/>
      <w:r w:rsidR="00F143CD">
        <w:rPr>
          <w:rFonts w:ascii="Times New Roman" w:hAnsi="Times New Roman" w:cs="Times New Roman"/>
          <w:sz w:val="24"/>
          <w:szCs w:val="24"/>
        </w:rPr>
        <w:t xml:space="preserve"> no registered association or cooperative in a particular market. The District Chairperson and the entire Local Government had failed in its duty to sensitize the market stall owners to take advantage of the policy. They had as a result failed to implement the government policy which they were not at liberty to ignore. The appellant as well was admonished for its failure to issue a Standard Bidding Document for the procurement of services for the development and management of markets. The Tribunal did not find any fault with the appellant’s verification exercise to establish the true membership of the respondent. In the process of considering the application, the Tribunal took judicial notice of the fact that the procuring entity had customised Standard Bidding Document issued by the appellant for use in the procurement of services for the management of Public Vehicle Parking Areas and instead applied it to the procurement of services for the development and management of markets. It found that the procurement entity’s reliance on Regulation 48 of </w:t>
      </w:r>
      <w:r w:rsidR="00F143CD" w:rsidRPr="008D1AC8">
        <w:rPr>
          <w:rFonts w:ascii="Times New Roman" w:hAnsi="Times New Roman" w:cs="Times New Roman"/>
          <w:i/>
          <w:sz w:val="24"/>
          <w:szCs w:val="24"/>
        </w:rPr>
        <w:t>The Local Governments (Public Procurement and Disposal of Public Assets) Regulations, 2006</w:t>
      </w:r>
      <w:r w:rsidR="00F143CD">
        <w:rPr>
          <w:rFonts w:ascii="Times New Roman" w:hAnsi="Times New Roman" w:cs="Times New Roman"/>
          <w:sz w:val="24"/>
          <w:szCs w:val="24"/>
        </w:rPr>
        <w:t xml:space="preserve"> was erroneous as that provision is limited to minor or cosmetic changes. The procurement entity should instead have relied on </w:t>
      </w:r>
      <w:r w:rsidR="0034093D">
        <w:rPr>
          <w:rFonts w:ascii="Times New Roman" w:hAnsi="Times New Roman" w:cs="Times New Roman"/>
          <w:sz w:val="24"/>
          <w:szCs w:val="24"/>
        </w:rPr>
        <w:t xml:space="preserve">Regulations 7 (1), (d), (e) and 10 of </w:t>
      </w:r>
      <w:r w:rsidR="0034093D" w:rsidRPr="008D1AC8">
        <w:rPr>
          <w:rFonts w:ascii="Times New Roman" w:hAnsi="Times New Roman" w:cs="Times New Roman"/>
          <w:i/>
          <w:sz w:val="24"/>
          <w:szCs w:val="24"/>
        </w:rPr>
        <w:t>The Local Governments (Public Procurement and Disposal of Public Assets) Regulations, 2006</w:t>
      </w:r>
      <w:r w:rsidR="0034093D">
        <w:rPr>
          <w:rFonts w:ascii="Times New Roman" w:hAnsi="Times New Roman" w:cs="Times New Roman"/>
          <w:i/>
          <w:sz w:val="24"/>
          <w:szCs w:val="24"/>
        </w:rPr>
        <w:t>.</w:t>
      </w:r>
      <w:r w:rsidR="0034093D">
        <w:rPr>
          <w:rFonts w:ascii="Times New Roman" w:hAnsi="Times New Roman" w:cs="Times New Roman"/>
          <w:sz w:val="24"/>
          <w:szCs w:val="24"/>
        </w:rPr>
        <w:t xml:space="preserve"> It decided finally that the application was successful for which reason the respondent’s administrative review fee should be refunded. It directed the procuring entity to implement the Government policy on the Development and Management of markets in City, Municipalities and Towns when procuring services for the development of markets. The appellant’s decision directing the procuring entity to re-evaluate the bids was set aside and awarded the respondent shs. 2,000,000/= to cover out of pocket expenses and legal costs.</w:t>
      </w:r>
    </w:p>
    <w:p w:rsidR="00C3510A" w:rsidRDefault="00C3510A"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is dissatisfied with that decision and has appealed to this court on </w:t>
      </w:r>
      <w:r w:rsidR="0034093D">
        <w:rPr>
          <w:rFonts w:ascii="Times New Roman" w:hAnsi="Times New Roman" w:cs="Times New Roman"/>
          <w:sz w:val="24"/>
          <w:szCs w:val="24"/>
        </w:rPr>
        <w:t>ten</w:t>
      </w:r>
      <w:r>
        <w:rPr>
          <w:rFonts w:ascii="Times New Roman" w:hAnsi="Times New Roman" w:cs="Times New Roman"/>
          <w:sz w:val="24"/>
          <w:szCs w:val="24"/>
        </w:rPr>
        <w:t xml:space="preserve"> grounds, namely;</w:t>
      </w:r>
    </w:p>
    <w:p w:rsidR="00B23499" w:rsidRDefault="00B23499"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w:t>
      </w:r>
      <w:r w:rsidR="00BF5A76">
        <w:rPr>
          <w:rFonts w:ascii="Times New Roman" w:hAnsi="Times New Roman" w:cs="Times New Roman"/>
          <w:sz w:val="24"/>
          <w:szCs w:val="24"/>
        </w:rPr>
        <w:t xml:space="preserve">law and fact in </w:t>
      </w:r>
      <w:r w:rsidR="0034093D">
        <w:rPr>
          <w:rFonts w:ascii="Times New Roman" w:hAnsi="Times New Roman" w:cs="Times New Roman"/>
          <w:sz w:val="24"/>
          <w:szCs w:val="24"/>
        </w:rPr>
        <w:t>deciding that Arua District Local Government (DLG) failed to implement the Government Policy Decision of 2007 on management of markets because Kubala Market has no registered association of stall owners</w:t>
      </w:r>
      <w:r>
        <w:rPr>
          <w:rFonts w:ascii="Times New Roman" w:hAnsi="Times New Roman" w:cs="Times New Roman"/>
          <w:sz w:val="24"/>
          <w:szCs w:val="24"/>
        </w:rPr>
        <w:t>.</w:t>
      </w:r>
    </w:p>
    <w:p w:rsidR="0034093D" w:rsidRDefault="0034093D"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lastRenderedPageBreak/>
        <w:t xml:space="preserve">The members of the PPDA Appeals Tribunal erred in </w:t>
      </w:r>
      <w:r w:rsidR="00BF5A76">
        <w:rPr>
          <w:rFonts w:ascii="Times New Roman" w:hAnsi="Times New Roman" w:cs="Times New Roman"/>
          <w:sz w:val="24"/>
          <w:szCs w:val="24"/>
        </w:rPr>
        <w:t xml:space="preserve">law and fact in </w:t>
      </w:r>
      <w:r>
        <w:rPr>
          <w:rFonts w:ascii="Times New Roman" w:hAnsi="Times New Roman" w:cs="Times New Roman"/>
          <w:sz w:val="24"/>
          <w:szCs w:val="24"/>
        </w:rPr>
        <w:t>deciding that a Procuring and Disposing Entity (PDE) cannot and should not ignore Government Policy on management of markets simply because there is no registered association of stall owners to manage the market.</w:t>
      </w:r>
    </w:p>
    <w:p w:rsidR="00BF5A76" w:rsidRDefault="00BF5A76"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in law and fact in faulting Arua DLG for misapplying the spirit and intention of the Government Policy on markets.</w:t>
      </w:r>
    </w:p>
    <w:p w:rsidR="00BF5A76" w:rsidRDefault="00BF5A76"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in law and fact in faulting the Appellant (PPDA) for finding that Arua DLG was justified to ignore the Government Policy on markets since there were no market vendors organised in associations or cooperatives in Kubala Market.</w:t>
      </w:r>
    </w:p>
    <w:p w:rsidR="00BF5A76" w:rsidRDefault="00BF5A76"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in law and fact in deciding that the application succeeds in spite of their finding that the members listed in the respondent’s bid as vendors did not operate / own stalls at Kubala Market.</w:t>
      </w:r>
    </w:p>
    <w:p w:rsidR="00B23499" w:rsidRDefault="00B23499"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in law and fact in framing the customisation of bidding documents as a ground for review and on making a decision on the said ground although it was not raised by the app</w:t>
      </w:r>
      <w:r w:rsidR="00BF5A76">
        <w:rPr>
          <w:rFonts w:ascii="Times New Roman" w:hAnsi="Times New Roman" w:cs="Times New Roman"/>
          <w:sz w:val="24"/>
          <w:szCs w:val="24"/>
        </w:rPr>
        <w:t>licant</w:t>
      </w:r>
      <w:r>
        <w:rPr>
          <w:rFonts w:ascii="Times New Roman" w:hAnsi="Times New Roman" w:cs="Times New Roman"/>
          <w:sz w:val="24"/>
          <w:szCs w:val="24"/>
        </w:rPr>
        <w:t xml:space="preserve"> and the </w:t>
      </w:r>
      <w:r w:rsidR="00BF5A76">
        <w:rPr>
          <w:rFonts w:ascii="Times New Roman" w:hAnsi="Times New Roman" w:cs="Times New Roman"/>
          <w:sz w:val="24"/>
          <w:szCs w:val="24"/>
        </w:rPr>
        <w:t>parties were not given an opportunity to address the said ground before the Tribunal</w:t>
      </w:r>
      <w:r>
        <w:rPr>
          <w:rFonts w:ascii="Times New Roman" w:hAnsi="Times New Roman" w:cs="Times New Roman"/>
          <w:sz w:val="24"/>
          <w:szCs w:val="24"/>
        </w:rPr>
        <w:t>.</w:t>
      </w:r>
    </w:p>
    <w:p w:rsidR="00B23499" w:rsidRDefault="00B23499"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in law and fact in deciding that Arua District Local Government used a bidding document that was a deviation from the Standard Bidding Document issued by the Authority for a different purpose, without seeking and obtaining approval from the Authority to use the bidding document.</w:t>
      </w:r>
    </w:p>
    <w:p w:rsidR="00B23499" w:rsidRDefault="00B23499"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members of the PPDA Appeals Tribunal erred in law and fact in failing to consider and take into account the fact that at the material time there was no Standard Bidding Document for the management of markets issued by the Authority.</w:t>
      </w:r>
    </w:p>
    <w:p w:rsidR="00B23499" w:rsidRDefault="00B23499"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 xml:space="preserve">The members of the PPDA Appeals Tribunal erred in law and fact in deciding that the customisation of the Standard Bidding Document under Regulation 48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is limited to minor or cosmetic change.</w:t>
      </w:r>
    </w:p>
    <w:p w:rsidR="00B23499" w:rsidRPr="00554B9A" w:rsidRDefault="00B23499" w:rsidP="00B23499">
      <w:pPr>
        <w:pStyle w:val="ListParagraph"/>
        <w:numPr>
          <w:ilvl w:val="0"/>
          <w:numId w:val="10"/>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lastRenderedPageBreak/>
        <w:t>The members of the PPDA Appeals Tribunal erred in law and fact in awarding the respondent costs of shs. 2,000,000/= (two million shillings).</w:t>
      </w:r>
    </w:p>
    <w:p w:rsidR="00B23499" w:rsidRPr="0065357E" w:rsidRDefault="00B23499" w:rsidP="00B23499">
      <w:pPr>
        <w:spacing w:after="0" w:line="360" w:lineRule="auto"/>
        <w:jc w:val="both"/>
        <w:rPr>
          <w:rFonts w:ascii="Times New Roman" w:hAnsi="Times New Roman" w:cs="Times New Roman"/>
          <w:sz w:val="24"/>
          <w:szCs w:val="24"/>
        </w:rPr>
      </w:pPr>
    </w:p>
    <w:p w:rsidR="00664433"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appeal, counsel for the appellant Mr. John Kalemera </w:t>
      </w:r>
      <w:r w:rsidR="00664433">
        <w:rPr>
          <w:rFonts w:ascii="Times New Roman" w:hAnsi="Times New Roman" w:cs="Times New Roman"/>
          <w:sz w:val="24"/>
          <w:szCs w:val="24"/>
        </w:rPr>
        <w:t xml:space="preserve">abandoned ground 9 and </w:t>
      </w:r>
      <w:r>
        <w:rPr>
          <w:rFonts w:ascii="Times New Roman" w:hAnsi="Times New Roman" w:cs="Times New Roman"/>
          <w:sz w:val="24"/>
          <w:szCs w:val="24"/>
        </w:rPr>
        <w:t xml:space="preserve">argued </w:t>
      </w:r>
      <w:r w:rsidR="00664433">
        <w:rPr>
          <w:rFonts w:ascii="Times New Roman" w:hAnsi="Times New Roman" w:cs="Times New Roman"/>
          <w:sz w:val="24"/>
          <w:szCs w:val="24"/>
        </w:rPr>
        <w:t xml:space="preserve">in respect of ground 5 that </w:t>
      </w:r>
      <w:r w:rsidR="00C17FA5">
        <w:rPr>
          <w:rFonts w:ascii="Times New Roman" w:hAnsi="Times New Roman" w:cs="Times New Roman"/>
          <w:sz w:val="24"/>
          <w:szCs w:val="24"/>
        </w:rPr>
        <w:t>the Tribunal having found that following a due diligence it was established that none of the respondent’s members owned stall, kiosks, etc. in Kubala Market, it should have concluded that the application had failed.</w:t>
      </w:r>
      <w:r w:rsidR="00E30A6C">
        <w:rPr>
          <w:rFonts w:ascii="Times New Roman" w:hAnsi="Times New Roman" w:cs="Times New Roman"/>
          <w:sz w:val="24"/>
          <w:szCs w:val="24"/>
        </w:rPr>
        <w:t xml:space="preserve"> It is on a similar basis that in respect of grounds 1, 2, 3, and 4, the Tribunal should have found in favour of the appellant. As regards grounds 6, 7 and 8, he argued that customisation of the bidding document not having been one of the grounds raised by the parties, the appellant had no prior notice that it would be raised and therefore was denied the opportunity to address the tribunal. </w:t>
      </w:r>
      <w:r w:rsidR="00747C28">
        <w:rPr>
          <w:rFonts w:ascii="Times New Roman" w:hAnsi="Times New Roman" w:cs="Times New Roman"/>
          <w:sz w:val="24"/>
          <w:szCs w:val="24"/>
        </w:rPr>
        <w:t>The Tribunal as a result violated the rules of natural justice. He therefore prayed that the appeal be allowed with costs.</w:t>
      </w:r>
    </w:p>
    <w:p w:rsidR="00664433" w:rsidRDefault="00664433" w:rsidP="00B23499">
      <w:pPr>
        <w:spacing w:after="0" w:line="360" w:lineRule="auto"/>
        <w:jc w:val="both"/>
        <w:rPr>
          <w:rFonts w:ascii="Times New Roman" w:hAnsi="Times New Roman" w:cs="Times New Roman"/>
          <w:sz w:val="24"/>
          <w:szCs w:val="24"/>
        </w:rPr>
      </w:pPr>
    </w:p>
    <w:p w:rsidR="00B23499" w:rsidRDefault="00747C28"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counsel for the respondent Mr. Ezadri Michael submitted that since the procurement entity had done a due diligence inquiry on the status of the respondent’s membership, it was unnecessary for the appellant to have conducted another</w:t>
      </w:r>
      <w:r w:rsidR="00B23499">
        <w:rPr>
          <w:rFonts w:ascii="Times New Roman" w:hAnsi="Times New Roman" w:cs="Times New Roman"/>
          <w:sz w:val="24"/>
          <w:szCs w:val="24"/>
        </w:rPr>
        <w:t>.</w:t>
      </w:r>
      <w:r>
        <w:rPr>
          <w:rFonts w:ascii="Times New Roman" w:hAnsi="Times New Roman" w:cs="Times New Roman"/>
          <w:sz w:val="24"/>
          <w:szCs w:val="24"/>
        </w:rPr>
        <w:t xml:space="preserve"> Therefore in respect of ground 5, the Tribunal cannot be faulted for arriving at the decision it did. With regard to grounds 1, 2, 3, and 4 he submitted that although the method used in verifying the respondent’s membership was in violation of the respondent’s right to be heard, the grounds should fail.</w:t>
      </w:r>
      <w:r w:rsidR="00697EDA">
        <w:rPr>
          <w:rFonts w:ascii="Times New Roman" w:hAnsi="Times New Roman" w:cs="Times New Roman"/>
          <w:sz w:val="24"/>
          <w:szCs w:val="24"/>
        </w:rPr>
        <w:t xml:space="preserve"> As for grounds 6, 7, and 8 he argued that the Tribunal came to the correct conclusion since the aspects of deviation were not authorised by the appellant. </w:t>
      </w:r>
    </w:p>
    <w:p w:rsidR="00697EDA" w:rsidRDefault="00697EDA" w:rsidP="00B23499">
      <w:pPr>
        <w:spacing w:after="0" w:line="360" w:lineRule="auto"/>
        <w:jc w:val="both"/>
        <w:rPr>
          <w:rFonts w:ascii="Times New Roman" w:hAnsi="Times New Roman" w:cs="Times New Roman"/>
          <w:sz w:val="24"/>
          <w:szCs w:val="24"/>
        </w:rPr>
      </w:pPr>
    </w:p>
    <w:p w:rsidR="00697EDA" w:rsidRDefault="00697EDA" w:rsidP="00697E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 5 faults the Tribunal for deciding that the application succeeded in spite of its finding that the members listed in the respondent’s bid as vendors did not operate / own stalls at Kubala Market. The respondent filed an application to the Tribunal based on two grounds; the decision by the procurement entity not to implement the Government policy on the Development and Management of markets in City, Municipalities and Towns on the one hand, and the finding that the respondent’s membership did not own stall, kiosks, etc. in Kubala Market. The remedies sought were threefold; setting aside the decision awarding the contract to their rival, </w:t>
      </w:r>
      <w:r w:rsidR="00290381">
        <w:rPr>
          <w:rFonts w:ascii="Times New Roman" w:hAnsi="Times New Roman" w:cs="Times New Roman"/>
          <w:sz w:val="24"/>
          <w:szCs w:val="24"/>
        </w:rPr>
        <w:t xml:space="preserve">an award of costs and any other relief. Having considered the application, the Tribunal decided that the procuring entity ought to have taken that policy into account and should not have ignored it </w:t>
      </w:r>
      <w:r w:rsidR="00290381">
        <w:rPr>
          <w:rFonts w:ascii="Times New Roman" w:hAnsi="Times New Roman" w:cs="Times New Roman"/>
          <w:sz w:val="24"/>
          <w:szCs w:val="24"/>
        </w:rPr>
        <w:lastRenderedPageBreak/>
        <w:t xml:space="preserve">simply because there </w:t>
      </w:r>
      <w:proofErr w:type="gramStart"/>
      <w:r w:rsidR="00290381">
        <w:rPr>
          <w:rFonts w:ascii="Times New Roman" w:hAnsi="Times New Roman" w:cs="Times New Roman"/>
          <w:sz w:val="24"/>
          <w:szCs w:val="24"/>
        </w:rPr>
        <w:t>existed</w:t>
      </w:r>
      <w:proofErr w:type="gramEnd"/>
      <w:r w:rsidR="00290381">
        <w:rPr>
          <w:rFonts w:ascii="Times New Roman" w:hAnsi="Times New Roman" w:cs="Times New Roman"/>
          <w:sz w:val="24"/>
          <w:szCs w:val="24"/>
        </w:rPr>
        <w:t xml:space="preserve"> no registered association or cooperative in a particular market. The District Chairperson and the entire Local Government had failed in its duty to sensitize the market stall owners to take advantage of the policy. They had as a result failed to implement the government policy which they were not at liberty to ignore. The appellant as well was admonished for its failure to issue a Standard Bidding Document for the procurement of services for the development and management of markets. The Tribunal did not find any fault with the appellant’s verification exercise to establish the true membership of the respondent. In the process of considering the application, the Tribunal took judicial notice of the fact that the procuring entity had customised Standard Bidding Document issued by the appellant for use in the procurement of services for the management of Public Vehicle Parking Areas and instead applied it to the procurement of services for the development and management of markets. It found that the procurement entity’s reliance on Regulation 48 of </w:t>
      </w:r>
      <w:r w:rsidR="00290381" w:rsidRPr="008D1AC8">
        <w:rPr>
          <w:rFonts w:ascii="Times New Roman" w:hAnsi="Times New Roman" w:cs="Times New Roman"/>
          <w:i/>
          <w:sz w:val="24"/>
          <w:szCs w:val="24"/>
        </w:rPr>
        <w:t>The Local Governments (Public Procurement and Disposal of Public Assets) Regulations, 2006</w:t>
      </w:r>
      <w:r w:rsidR="00290381">
        <w:rPr>
          <w:rFonts w:ascii="Times New Roman" w:hAnsi="Times New Roman" w:cs="Times New Roman"/>
          <w:sz w:val="24"/>
          <w:szCs w:val="24"/>
        </w:rPr>
        <w:t xml:space="preserve"> was erroneous as that provision is limited to minor or cosmetic changes. The procurement entity should instead have relied on Regulations 7 (1), (d), (e) and 10 of </w:t>
      </w:r>
      <w:r w:rsidR="00290381" w:rsidRPr="008D1AC8">
        <w:rPr>
          <w:rFonts w:ascii="Times New Roman" w:hAnsi="Times New Roman" w:cs="Times New Roman"/>
          <w:i/>
          <w:sz w:val="24"/>
          <w:szCs w:val="24"/>
        </w:rPr>
        <w:t>The Local Governments (Public Procurement and Disposal of Public Assets) Regulations, 2006</w:t>
      </w:r>
      <w:r w:rsidR="00290381">
        <w:rPr>
          <w:rFonts w:ascii="Times New Roman" w:hAnsi="Times New Roman" w:cs="Times New Roman"/>
          <w:i/>
          <w:sz w:val="24"/>
          <w:szCs w:val="24"/>
        </w:rPr>
        <w:t>.</w:t>
      </w:r>
      <w:r w:rsidR="00290381">
        <w:rPr>
          <w:rFonts w:ascii="Times New Roman" w:hAnsi="Times New Roman" w:cs="Times New Roman"/>
          <w:sz w:val="24"/>
          <w:szCs w:val="24"/>
        </w:rPr>
        <w:t xml:space="preserve"> It decided finally that the application was successful for which reason the respondent’s administrative review fee should be refunded. It directed the procuring entity to implement the Government policy on the Development and Management of markets in City, Municipalities and Towns when procuring services for the development of markets. The appellant’s decision directing the procuring entity to re-evaluate the bids was set aside and awarded the respondent shs. 2,000,000/= to cover out of pocket expenses and legal costs</w:t>
      </w:r>
    </w:p>
    <w:p w:rsidR="00697EDA" w:rsidRDefault="00697EDA" w:rsidP="00697EDA">
      <w:pPr>
        <w:autoSpaceDE w:val="0"/>
        <w:autoSpaceDN w:val="0"/>
        <w:adjustRightInd w:val="0"/>
        <w:spacing w:after="0" w:line="360" w:lineRule="auto"/>
        <w:jc w:val="both"/>
        <w:rPr>
          <w:rFonts w:ascii="Times New Roman" w:hAnsi="Times New Roman" w:cs="Times New Roman"/>
          <w:sz w:val="24"/>
          <w:szCs w:val="24"/>
        </w:rPr>
      </w:pPr>
    </w:p>
    <w:p w:rsidR="00697EDA" w:rsidRDefault="00290381" w:rsidP="00697E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ground of the application was therefore unsuccessful as the Tribunal </w:t>
      </w:r>
      <w:r w:rsidR="00697EDA">
        <w:rPr>
          <w:rFonts w:ascii="Times New Roman" w:hAnsi="Times New Roman" w:cs="Times New Roman"/>
          <w:sz w:val="24"/>
          <w:szCs w:val="24"/>
        </w:rPr>
        <w:t xml:space="preserve">found </w:t>
      </w:r>
      <w:r>
        <w:rPr>
          <w:rFonts w:ascii="Times New Roman" w:hAnsi="Times New Roman" w:cs="Times New Roman"/>
          <w:sz w:val="24"/>
          <w:szCs w:val="24"/>
        </w:rPr>
        <w:t xml:space="preserve">it </w:t>
      </w:r>
      <w:r w:rsidR="00697EDA">
        <w:rPr>
          <w:rFonts w:ascii="Times New Roman" w:hAnsi="Times New Roman" w:cs="Times New Roman"/>
          <w:sz w:val="24"/>
          <w:szCs w:val="24"/>
        </w:rPr>
        <w:t xml:space="preserve">lacked merit and was rejected. But </w:t>
      </w:r>
      <w:r>
        <w:rPr>
          <w:rFonts w:ascii="Times New Roman" w:hAnsi="Times New Roman" w:cs="Times New Roman"/>
          <w:sz w:val="24"/>
          <w:szCs w:val="24"/>
        </w:rPr>
        <w:t>the Tribunal</w:t>
      </w:r>
      <w:r w:rsidR="00697EDA">
        <w:rPr>
          <w:rFonts w:ascii="Times New Roman" w:hAnsi="Times New Roman" w:cs="Times New Roman"/>
          <w:sz w:val="24"/>
          <w:szCs w:val="24"/>
        </w:rPr>
        <w:t xml:space="preserve"> found, </w:t>
      </w:r>
      <w:r w:rsidR="00697EDA" w:rsidRPr="00CB3B55">
        <w:rPr>
          <w:rFonts w:ascii="Times New Roman" w:hAnsi="Times New Roman" w:cs="Times New Roman"/>
          <w:i/>
          <w:sz w:val="24"/>
          <w:szCs w:val="24"/>
        </w:rPr>
        <w:t>proprio motu</w:t>
      </w:r>
      <w:r w:rsidR="00697EDA">
        <w:rPr>
          <w:rFonts w:ascii="Times New Roman" w:hAnsi="Times New Roman" w:cs="Times New Roman"/>
          <w:i/>
          <w:sz w:val="24"/>
          <w:szCs w:val="24"/>
        </w:rPr>
        <w:t>,</w:t>
      </w:r>
      <w:r w:rsidR="00697EDA">
        <w:rPr>
          <w:rFonts w:ascii="Times New Roman" w:hAnsi="Times New Roman" w:cs="Times New Roman"/>
          <w:sz w:val="24"/>
          <w:szCs w:val="24"/>
        </w:rPr>
        <w:t xml:space="preserve"> that the procurement entity had unlawfully customised a Standard Bidding Document designed and issued by the appellant for the management of Public Vehicle Parking Areas, and instead applied it to the procurement of management and revenue collection from markets without the appellant’s prior approval, the entire process was </w:t>
      </w:r>
      <w:r w:rsidR="00697EDA" w:rsidRPr="00675267">
        <w:rPr>
          <w:rFonts w:ascii="Times New Roman" w:hAnsi="Times New Roman" w:cs="Times New Roman"/>
          <w:i/>
          <w:sz w:val="24"/>
          <w:szCs w:val="24"/>
        </w:rPr>
        <w:t>void ab initio</w:t>
      </w:r>
      <w:r w:rsidR="00697EDA">
        <w:rPr>
          <w:rFonts w:ascii="Times New Roman" w:hAnsi="Times New Roman" w:cs="Times New Roman"/>
          <w:sz w:val="24"/>
          <w:szCs w:val="24"/>
        </w:rPr>
        <w:t xml:space="preserve"> and a nullity. </w:t>
      </w:r>
      <w:r>
        <w:rPr>
          <w:rFonts w:ascii="Times New Roman" w:hAnsi="Times New Roman" w:cs="Times New Roman"/>
          <w:sz w:val="24"/>
          <w:szCs w:val="24"/>
        </w:rPr>
        <w:t xml:space="preserve">It also found that the procurement entity was wrong in disregarding the government policy. Although the applicant could not be a beneficiary of that policy, </w:t>
      </w:r>
      <w:r w:rsidR="00697EDA">
        <w:rPr>
          <w:rFonts w:ascii="Times New Roman" w:hAnsi="Times New Roman" w:cs="Times New Roman"/>
          <w:sz w:val="24"/>
          <w:szCs w:val="24"/>
        </w:rPr>
        <w:t xml:space="preserve">It </w:t>
      </w:r>
      <w:r>
        <w:rPr>
          <w:rFonts w:ascii="Times New Roman" w:hAnsi="Times New Roman" w:cs="Times New Roman"/>
          <w:sz w:val="24"/>
          <w:szCs w:val="24"/>
        </w:rPr>
        <w:t xml:space="preserve">succeeded in causing annulment of the decision of the procuring entity, that of </w:t>
      </w:r>
      <w:r>
        <w:rPr>
          <w:rFonts w:ascii="Times New Roman" w:hAnsi="Times New Roman" w:cs="Times New Roman"/>
          <w:sz w:val="24"/>
          <w:szCs w:val="24"/>
        </w:rPr>
        <w:lastRenderedPageBreak/>
        <w:t xml:space="preserve">the Chief Administrative Officer and of the appellant. It </w:t>
      </w:r>
      <w:r w:rsidR="00697EDA">
        <w:rPr>
          <w:rFonts w:ascii="Times New Roman" w:hAnsi="Times New Roman" w:cs="Times New Roman"/>
          <w:sz w:val="24"/>
          <w:szCs w:val="24"/>
        </w:rPr>
        <w:t xml:space="preserve">is on this account that the Tribunal </w:t>
      </w:r>
      <w:r w:rsidR="00697EDA" w:rsidRPr="00E05F33">
        <w:rPr>
          <w:rFonts w:ascii="Times New Roman" w:hAnsi="Times New Roman" w:cs="Times New Roman"/>
          <w:sz w:val="24"/>
          <w:szCs w:val="24"/>
        </w:rPr>
        <w:t>ordered a refund of the complainant’s administrative review fees</w:t>
      </w:r>
      <w:r w:rsidR="00697EDA">
        <w:rPr>
          <w:rFonts w:ascii="Times New Roman" w:hAnsi="Times New Roman" w:cs="Times New Roman"/>
          <w:sz w:val="24"/>
          <w:szCs w:val="24"/>
        </w:rPr>
        <w:t>.</w:t>
      </w:r>
    </w:p>
    <w:p w:rsidR="00697EDA" w:rsidRPr="00E05F33" w:rsidRDefault="00697EDA" w:rsidP="00697EDA">
      <w:pPr>
        <w:autoSpaceDE w:val="0"/>
        <w:autoSpaceDN w:val="0"/>
        <w:adjustRightInd w:val="0"/>
        <w:spacing w:after="0" w:line="360" w:lineRule="auto"/>
        <w:jc w:val="both"/>
        <w:rPr>
          <w:rFonts w:ascii="Times New Roman" w:hAnsi="Times New Roman" w:cs="Times New Roman"/>
          <w:sz w:val="24"/>
          <w:szCs w:val="24"/>
        </w:rPr>
      </w:pPr>
    </w:p>
    <w:p w:rsidR="00697EDA" w:rsidRPr="00AB1C29" w:rsidRDefault="00697EDA" w:rsidP="00697E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application </w:t>
      </w:r>
      <w:r w:rsidR="00290381">
        <w:rPr>
          <w:rFonts w:ascii="Times New Roman" w:hAnsi="Times New Roman" w:cs="Times New Roman"/>
          <w:sz w:val="24"/>
          <w:szCs w:val="24"/>
        </w:rPr>
        <w:t xml:space="preserve">failed on one ground, </w:t>
      </w:r>
      <w:r w:rsidR="009634F7">
        <w:rPr>
          <w:rFonts w:ascii="Times New Roman" w:hAnsi="Times New Roman" w:cs="Times New Roman"/>
          <w:sz w:val="24"/>
          <w:szCs w:val="24"/>
        </w:rPr>
        <w:t xml:space="preserve">but </w:t>
      </w:r>
      <w:r>
        <w:rPr>
          <w:rFonts w:ascii="Times New Roman" w:hAnsi="Times New Roman" w:cs="Times New Roman"/>
          <w:sz w:val="24"/>
          <w:szCs w:val="24"/>
        </w:rPr>
        <w:t xml:space="preserve">succeeded on </w:t>
      </w:r>
      <w:r w:rsidR="00D66C73">
        <w:rPr>
          <w:rFonts w:ascii="Times New Roman" w:hAnsi="Times New Roman" w:cs="Times New Roman"/>
          <w:sz w:val="24"/>
          <w:szCs w:val="24"/>
        </w:rPr>
        <w:t xml:space="preserve">the other </w:t>
      </w:r>
      <w:r w:rsidR="00290381">
        <w:rPr>
          <w:rFonts w:ascii="Times New Roman" w:hAnsi="Times New Roman" w:cs="Times New Roman"/>
          <w:sz w:val="24"/>
          <w:szCs w:val="24"/>
        </w:rPr>
        <w:t xml:space="preserve">and on </w:t>
      </w:r>
      <w:r>
        <w:rPr>
          <w:rFonts w:ascii="Times New Roman" w:hAnsi="Times New Roman" w:cs="Times New Roman"/>
          <w:sz w:val="24"/>
          <w:szCs w:val="24"/>
        </w:rPr>
        <w:t>a</w:t>
      </w:r>
      <w:r w:rsidR="00D66C73">
        <w:rPr>
          <w:rFonts w:ascii="Times New Roman" w:hAnsi="Times New Roman" w:cs="Times New Roman"/>
          <w:sz w:val="24"/>
          <w:szCs w:val="24"/>
        </w:rPr>
        <w:t>n</w:t>
      </w:r>
      <w:r>
        <w:rPr>
          <w:rFonts w:ascii="Times New Roman" w:hAnsi="Times New Roman" w:cs="Times New Roman"/>
          <w:sz w:val="24"/>
          <w:szCs w:val="24"/>
        </w:rPr>
        <w:t xml:space="preserve"> </w:t>
      </w:r>
      <w:r w:rsidR="009634F7">
        <w:rPr>
          <w:rFonts w:ascii="Times New Roman" w:hAnsi="Times New Roman" w:cs="Times New Roman"/>
          <w:sz w:val="24"/>
          <w:szCs w:val="24"/>
        </w:rPr>
        <w:t xml:space="preserve">additional </w:t>
      </w:r>
      <w:r w:rsidR="00D66C73">
        <w:rPr>
          <w:rFonts w:ascii="Times New Roman" w:hAnsi="Times New Roman" w:cs="Times New Roman"/>
          <w:sz w:val="24"/>
          <w:szCs w:val="24"/>
        </w:rPr>
        <w:t xml:space="preserve">ground raised by the Tribunal </w:t>
      </w:r>
      <w:r w:rsidR="00D66C73" w:rsidRPr="00D66C73">
        <w:rPr>
          <w:rFonts w:ascii="Times New Roman" w:hAnsi="Times New Roman" w:cs="Times New Roman"/>
          <w:i/>
          <w:sz w:val="24"/>
          <w:szCs w:val="24"/>
        </w:rPr>
        <w:t>proprio motu</w:t>
      </w:r>
      <w:r w:rsidR="009634F7">
        <w:rPr>
          <w:rFonts w:ascii="Times New Roman" w:hAnsi="Times New Roman" w:cs="Times New Roman"/>
          <w:sz w:val="24"/>
          <w:szCs w:val="24"/>
        </w:rPr>
        <w:t>, resulting in the annulment of the decision of the procurement entity, that of the Chief Administrati</w:t>
      </w:r>
      <w:r w:rsidR="00D66C73">
        <w:rPr>
          <w:rFonts w:ascii="Times New Roman" w:hAnsi="Times New Roman" w:cs="Times New Roman"/>
          <w:sz w:val="24"/>
          <w:szCs w:val="24"/>
        </w:rPr>
        <w:t>ve Officer and of the appellant</w:t>
      </w:r>
      <w:r>
        <w:rPr>
          <w:rFonts w:ascii="Times New Roman" w:hAnsi="Times New Roman" w:cs="Times New Roman"/>
          <w:sz w:val="24"/>
          <w:szCs w:val="24"/>
        </w:rPr>
        <w:t xml:space="preserve">. That an application has failed on </w:t>
      </w:r>
      <w:r w:rsidR="009634F7">
        <w:rPr>
          <w:rFonts w:ascii="Times New Roman" w:hAnsi="Times New Roman" w:cs="Times New Roman"/>
          <w:sz w:val="24"/>
          <w:szCs w:val="24"/>
        </w:rPr>
        <w:t>one</w:t>
      </w:r>
      <w:r>
        <w:rPr>
          <w:rFonts w:ascii="Times New Roman" w:hAnsi="Times New Roman" w:cs="Times New Roman"/>
          <w:sz w:val="24"/>
          <w:szCs w:val="24"/>
        </w:rPr>
        <w:t xml:space="preserve"> ground submitted by the applicant but the decision of the procurement entity has nevertheless been annulled</w:t>
      </w:r>
      <w:r w:rsidR="009634F7">
        <w:rPr>
          <w:rFonts w:ascii="Times New Roman" w:hAnsi="Times New Roman" w:cs="Times New Roman"/>
          <w:sz w:val="24"/>
          <w:szCs w:val="24"/>
        </w:rPr>
        <w:t xml:space="preserve"> on the remaining </w:t>
      </w:r>
      <w:r w:rsidR="00D66C73">
        <w:rPr>
          <w:rFonts w:ascii="Times New Roman" w:hAnsi="Times New Roman" w:cs="Times New Roman"/>
          <w:sz w:val="24"/>
          <w:szCs w:val="24"/>
        </w:rPr>
        <w:t>ground and</w:t>
      </w:r>
      <w:r w:rsidR="009634F7">
        <w:rPr>
          <w:rFonts w:ascii="Times New Roman" w:hAnsi="Times New Roman" w:cs="Times New Roman"/>
          <w:sz w:val="24"/>
          <w:szCs w:val="24"/>
        </w:rPr>
        <w:t xml:space="preserve"> an additional one </w:t>
      </w:r>
      <w:proofErr w:type="gramStart"/>
      <w:r w:rsidR="009634F7">
        <w:rPr>
          <w:rFonts w:ascii="Times New Roman" w:hAnsi="Times New Roman" w:cs="Times New Roman"/>
          <w:sz w:val="24"/>
          <w:szCs w:val="24"/>
        </w:rPr>
        <w:t>raised</w:t>
      </w:r>
      <w:proofErr w:type="gramEnd"/>
      <w:r w:rsidR="009634F7">
        <w:rPr>
          <w:rFonts w:ascii="Times New Roman" w:hAnsi="Times New Roman" w:cs="Times New Roman"/>
          <w:sz w:val="24"/>
          <w:szCs w:val="24"/>
        </w:rPr>
        <w:t xml:space="preserve"> by the Tribunal itself</w:t>
      </w:r>
      <w:r>
        <w:rPr>
          <w:rFonts w:ascii="Times New Roman" w:hAnsi="Times New Roman" w:cs="Times New Roman"/>
          <w:sz w:val="24"/>
          <w:szCs w:val="24"/>
        </w:rPr>
        <w:t xml:space="preserve">, </w:t>
      </w:r>
      <w:r w:rsidR="00D66C73">
        <w:rPr>
          <w:rFonts w:ascii="Times New Roman" w:hAnsi="Times New Roman" w:cs="Times New Roman"/>
          <w:sz w:val="24"/>
          <w:szCs w:val="24"/>
        </w:rPr>
        <w:t>implies</w:t>
      </w:r>
      <w:r>
        <w:rPr>
          <w:rFonts w:ascii="Times New Roman" w:hAnsi="Times New Roman" w:cs="Times New Roman"/>
          <w:sz w:val="24"/>
          <w:szCs w:val="24"/>
        </w:rPr>
        <w:t xml:space="preserve"> that the overall result is that the application was successful.  From the perspective of the applicant, it succeeded in causing the annulment of the decision</w:t>
      </w:r>
      <w:r w:rsidR="00D66C73">
        <w:rPr>
          <w:rFonts w:ascii="Times New Roman" w:hAnsi="Times New Roman" w:cs="Times New Roman"/>
          <w:sz w:val="24"/>
          <w:szCs w:val="24"/>
        </w:rPr>
        <w:t>s</w:t>
      </w:r>
      <w:r>
        <w:rPr>
          <w:rFonts w:ascii="Times New Roman" w:hAnsi="Times New Roman" w:cs="Times New Roman"/>
          <w:sz w:val="24"/>
          <w:szCs w:val="24"/>
        </w:rPr>
        <w:t xml:space="preserve">, albeit in </w:t>
      </w:r>
      <w:r w:rsidR="009634F7">
        <w:rPr>
          <w:rFonts w:ascii="Times New Roman" w:hAnsi="Times New Roman" w:cs="Times New Roman"/>
          <w:sz w:val="24"/>
          <w:szCs w:val="24"/>
        </w:rPr>
        <w:t xml:space="preserve">a partially </w:t>
      </w:r>
      <w:r>
        <w:rPr>
          <w:rFonts w:ascii="Times New Roman" w:hAnsi="Times New Roman" w:cs="Times New Roman"/>
          <w:sz w:val="24"/>
          <w:szCs w:val="24"/>
        </w:rPr>
        <w:t xml:space="preserve">unintended manner, </w:t>
      </w:r>
      <w:r w:rsidR="009634F7">
        <w:rPr>
          <w:rFonts w:ascii="Times New Roman" w:hAnsi="Times New Roman" w:cs="Times New Roman"/>
          <w:sz w:val="24"/>
          <w:szCs w:val="24"/>
        </w:rPr>
        <w:t xml:space="preserve">and </w:t>
      </w:r>
      <w:r w:rsidR="00D66C73">
        <w:rPr>
          <w:rFonts w:ascii="Times New Roman" w:hAnsi="Times New Roman" w:cs="Times New Roman"/>
          <w:sz w:val="24"/>
          <w:szCs w:val="24"/>
        </w:rPr>
        <w:t xml:space="preserve">it </w:t>
      </w:r>
      <w:r w:rsidR="009634F7">
        <w:rPr>
          <w:rFonts w:ascii="Times New Roman" w:hAnsi="Times New Roman" w:cs="Times New Roman"/>
          <w:sz w:val="24"/>
          <w:szCs w:val="24"/>
        </w:rPr>
        <w:t>still</w:t>
      </w:r>
      <w:r>
        <w:rPr>
          <w:rFonts w:ascii="Times New Roman" w:hAnsi="Times New Roman" w:cs="Times New Roman"/>
          <w:sz w:val="24"/>
          <w:szCs w:val="24"/>
        </w:rPr>
        <w:t xml:space="preserve"> attain</w:t>
      </w:r>
      <w:r w:rsidR="009634F7">
        <w:rPr>
          <w:rFonts w:ascii="Times New Roman" w:hAnsi="Times New Roman" w:cs="Times New Roman"/>
          <w:sz w:val="24"/>
          <w:szCs w:val="24"/>
        </w:rPr>
        <w:t>ed</w:t>
      </w:r>
      <w:r>
        <w:rPr>
          <w:rFonts w:ascii="Times New Roman" w:hAnsi="Times New Roman" w:cs="Times New Roman"/>
          <w:sz w:val="24"/>
          <w:szCs w:val="24"/>
        </w:rPr>
        <w:t xml:space="preserve"> the reliefs sought. </w:t>
      </w:r>
      <w:r w:rsidR="009634F7">
        <w:rPr>
          <w:rFonts w:ascii="Times New Roman" w:hAnsi="Times New Roman" w:cs="Times New Roman"/>
          <w:sz w:val="24"/>
          <w:szCs w:val="24"/>
        </w:rPr>
        <w:t xml:space="preserve">That the applicant would not </w:t>
      </w:r>
      <w:r w:rsidR="00161DAA">
        <w:rPr>
          <w:rFonts w:ascii="Times New Roman" w:hAnsi="Times New Roman" w:cs="Times New Roman"/>
          <w:sz w:val="24"/>
          <w:szCs w:val="24"/>
        </w:rPr>
        <w:t xml:space="preserve">directly </w:t>
      </w:r>
      <w:r w:rsidR="009634F7">
        <w:rPr>
          <w:rFonts w:ascii="Times New Roman" w:hAnsi="Times New Roman" w:cs="Times New Roman"/>
          <w:sz w:val="24"/>
          <w:szCs w:val="24"/>
        </w:rPr>
        <w:t xml:space="preserve">benefit from the government policy for lack of a qualifying membership is beside the point. </w:t>
      </w:r>
      <w:r w:rsidR="00A13031">
        <w:rPr>
          <w:rFonts w:ascii="Times New Roman" w:eastAsia="Times New Roman" w:hAnsi="Times New Roman" w:cs="Times New Roman"/>
          <w:sz w:val="24"/>
          <w:szCs w:val="24"/>
        </w:rPr>
        <w:t xml:space="preserve">Whereas the success of any legal proceeding can be seen and measured from the narrow perspective of the direct benefits accruing to the parties, but this does not preclude seeing it from the wider policy and public interest perspective. </w:t>
      </w:r>
      <w:r w:rsidR="00161DAA">
        <w:rPr>
          <w:rFonts w:ascii="Times New Roman" w:hAnsi="Times New Roman" w:cs="Times New Roman"/>
          <w:sz w:val="24"/>
          <w:szCs w:val="24"/>
        </w:rPr>
        <w:t>The respondent</w:t>
      </w:r>
      <w:r w:rsidR="009634F7">
        <w:rPr>
          <w:rFonts w:ascii="Times New Roman" w:hAnsi="Times New Roman" w:cs="Times New Roman"/>
          <w:sz w:val="24"/>
          <w:szCs w:val="24"/>
        </w:rPr>
        <w:t xml:space="preserve"> may not be a direct beneficiary of the decision but it is because of its application </w:t>
      </w:r>
      <w:r w:rsidR="00A13031">
        <w:rPr>
          <w:rFonts w:ascii="Times New Roman" w:hAnsi="Times New Roman" w:cs="Times New Roman"/>
          <w:sz w:val="24"/>
          <w:szCs w:val="24"/>
        </w:rPr>
        <w:t xml:space="preserve">to the Tribunal </w:t>
      </w:r>
      <w:r w:rsidR="009634F7">
        <w:rPr>
          <w:rFonts w:ascii="Times New Roman" w:hAnsi="Times New Roman" w:cs="Times New Roman"/>
          <w:sz w:val="24"/>
          <w:szCs w:val="24"/>
        </w:rPr>
        <w:t xml:space="preserve">that </w:t>
      </w:r>
      <w:r w:rsidR="00D66C73">
        <w:rPr>
          <w:rFonts w:ascii="Times New Roman" w:eastAsia="Times New Roman" w:hAnsi="Times New Roman" w:cs="Times New Roman"/>
          <w:sz w:val="24"/>
          <w:szCs w:val="24"/>
        </w:rPr>
        <w:t>t</w:t>
      </w:r>
      <w:r w:rsidR="00D66C73" w:rsidRPr="00A268ED">
        <w:rPr>
          <w:rFonts w:ascii="Times New Roman" w:eastAsia="Times New Roman" w:hAnsi="Times New Roman" w:cs="Times New Roman"/>
          <w:sz w:val="24"/>
          <w:szCs w:val="24"/>
        </w:rPr>
        <w:t xml:space="preserve">he public interest </w:t>
      </w:r>
      <w:r w:rsidR="00D66C73">
        <w:rPr>
          <w:rFonts w:ascii="Times New Roman" w:eastAsia="Times New Roman" w:hAnsi="Times New Roman" w:cs="Times New Roman"/>
          <w:sz w:val="24"/>
          <w:szCs w:val="24"/>
        </w:rPr>
        <w:t>“</w:t>
      </w:r>
      <w:r w:rsidR="00D66C73" w:rsidRPr="00A268ED">
        <w:rPr>
          <w:rFonts w:ascii="Times New Roman" w:eastAsia="Times New Roman" w:hAnsi="Times New Roman" w:cs="Times New Roman"/>
          <w:sz w:val="24"/>
          <w:szCs w:val="24"/>
        </w:rPr>
        <w:t>w</w:t>
      </w:r>
      <w:r w:rsidR="00D66C73">
        <w:rPr>
          <w:rFonts w:ascii="Times New Roman" w:eastAsia="Times New Roman" w:hAnsi="Times New Roman" w:cs="Times New Roman"/>
          <w:sz w:val="24"/>
          <w:szCs w:val="24"/>
        </w:rPr>
        <w:t>on”</w:t>
      </w:r>
      <w:r w:rsidR="00D66C73" w:rsidRPr="00A268ED">
        <w:rPr>
          <w:rFonts w:ascii="Times New Roman" w:eastAsia="Times New Roman" w:hAnsi="Times New Roman" w:cs="Times New Roman"/>
          <w:sz w:val="24"/>
          <w:szCs w:val="24"/>
        </w:rPr>
        <w:t xml:space="preserve"> just as much because correct or prefer</w:t>
      </w:r>
      <w:r w:rsidR="00D66C73">
        <w:rPr>
          <w:rFonts w:ascii="Times New Roman" w:eastAsia="Times New Roman" w:hAnsi="Times New Roman" w:cs="Times New Roman"/>
          <w:sz w:val="24"/>
          <w:szCs w:val="24"/>
        </w:rPr>
        <w:t>able decision making contribute</w:t>
      </w:r>
      <w:r w:rsidR="00161DAA">
        <w:rPr>
          <w:rFonts w:ascii="Times New Roman" w:eastAsia="Times New Roman" w:hAnsi="Times New Roman" w:cs="Times New Roman"/>
          <w:sz w:val="24"/>
          <w:szCs w:val="24"/>
        </w:rPr>
        <w:t>s</w:t>
      </w:r>
      <w:r w:rsidR="00D66C73" w:rsidRPr="00A268ED">
        <w:rPr>
          <w:rFonts w:ascii="Times New Roman" w:eastAsia="Times New Roman" w:hAnsi="Times New Roman" w:cs="Times New Roman"/>
          <w:sz w:val="24"/>
          <w:szCs w:val="24"/>
        </w:rPr>
        <w:t xml:space="preserve">, through its normative effect, to </w:t>
      </w:r>
      <w:r w:rsidR="00D66C73">
        <w:rPr>
          <w:rFonts w:ascii="Times New Roman" w:eastAsia="Times New Roman" w:hAnsi="Times New Roman" w:cs="Times New Roman"/>
          <w:sz w:val="24"/>
          <w:szCs w:val="24"/>
        </w:rPr>
        <w:t xml:space="preserve">correct and fair administration </w:t>
      </w:r>
      <w:r w:rsidR="00D66C73" w:rsidRPr="00A268ED">
        <w:rPr>
          <w:rFonts w:ascii="Times New Roman" w:eastAsia="Times New Roman" w:hAnsi="Times New Roman" w:cs="Times New Roman"/>
          <w:sz w:val="24"/>
          <w:szCs w:val="24"/>
        </w:rPr>
        <w:t>and to the jurisprudence and policy in th</w:t>
      </w:r>
      <w:r w:rsidR="00D66C73">
        <w:rPr>
          <w:rFonts w:ascii="Times New Roman" w:eastAsia="Times New Roman" w:hAnsi="Times New Roman" w:cs="Times New Roman"/>
          <w:sz w:val="24"/>
          <w:szCs w:val="24"/>
        </w:rPr>
        <w:t>is</w:t>
      </w:r>
      <w:r w:rsidR="00D66C73" w:rsidRPr="00A268ED">
        <w:rPr>
          <w:rFonts w:ascii="Times New Roman" w:eastAsia="Times New Roman" w:hAnsi="Times New Roman" w:cs="Times New Roman"/>
          <w:sz w:val="24"/>
          <w:szCs w:val="24"/>
        </w:rPr>
        <w:t xml:space="preserve"> particular area. The values underpinning administrative review </w:t>
      </w:r>
      <w:r w:rsidR="00D66C73">
        <w:rPr>
          <w:rFonts w:ascii="Times New Roman" w:eastAsia="Times New Roman" w:hAnsi="Times New Roman" w:cs="Times New Roman"/>
          <w:sz w:val="24"/>
          <w:szCs w:val="24"/>
        </w:rPr>
        <w:t xml:space="preserve">cannot be narrowed to the private interests of the applicant but should </w:t>
      </w:r>
      <w:r w:rsidR="00A13031">
        <w:rPr>
          <w:rFonts w:ascii="Times New Roman" w:eastAsia="Times New Roman" w:hAnsi="Times New Roman" w:cs="Times New Roman"/>
          <w:sz w:val="24"/>
          <w:szCs w:val="24"/>
        </w:rPr>
        <w:t xml:space="preserve">as well </w:t>
      </w:r>
      <w:r w:rsidR="00D66C73">
        <w:rPr>
          <w:rFonts w:ascii="Times New Roman" w:eastAsia="Times New Roman" w:hAnsi="Times New Roman" w:cs="Times New Roman"/>
          <w:sz w:val="24"/>
          <w:szCs w:val="24"/>
        </w:rPr>
        <w:t xml:space="preserve">be seen from the wider context of </w:t>
      </w:r>
      <w:r w:rsidR="00D66C73" w:rsidRPr="00A268ED">
        <w:rPr>
          <w:rFonts w:ascii="Times New Roman" w:eastAsia="Times New Roman" w:hAnsi="Times New Roman" w:cs="Times New Roman"/>
          <w:sz w:val="24"/>
          <w:szCs w:val="24"/>
        </w:rPr>
        <w:t xml:space="preserve">the desire for </w:t>
      </w:r>
      <w:r w:rsidR="00A13031">
        <w:rPr>
          <w:rFonts w:ascii="Times New Roman" w:eastAsia="Times New Roman" w:hAnsi="Times New Roman" w:cs="Times New Roman"/>
          <w:sz w:val="24"/>
          <w:szCs w:val="24"/>
        </w:rPr>
        <w:t xml:space="preserve">putting in place </w:t>
      </w:r>
      <w:r w:rsidR="00D66C73" w:rsidRPr="00A268ED">
        <w:rPr>
          <w:rFonts w:ascii="Times New Roman" w:eastAsia="Times New Roman" w:hAnsi="Times New Roman" w:cs="Times New Roman"/>
          <w:sz w:val="24"/>
          <w:szCs w:val="24"/>
        </w:rPr>
        <w:t>a system</w:t>
      </w:r>
      <w:r w:rsidR="00D66C73">
        <w:rPr>
          <w:rFonts w:ascii="Times New Roman" w:eastAsia="Times New Roman" w:hAnsi="Times New Roman" w:cs="Times New Roman"/>
          <w:sz w:val="24"/>
          <w:szCs w:val="24"/>
        </w:rPr>
        <w:t xml:space="preserve"> of </w:t>
      </w:r>
      <w:r w:rsidR="00D66C73" w:rsidRPr="00A268ED">
        <w:rPr>
          <w:rFonts w:ascii="Times New Roman" w:eastAsia="Times New Roman" w:hAnsi="Times New Roman" w:cs="Times New Roman"/>
          <w:sz w:val="24"/>
          <w:szCs w:val="24"/>
        </w:rPr>
        <w:t>review which promotes lawfulness, fairness, openness, participation and rationality</w:t>
      </w:r>
      <w:r w:rsidR="00D66C73">
        <w:rPr>
          <w:rFonts w:ascii="Times New Roman" w:eastAsia="Times New Roman" w:hAnsi="Times New Roman" w:cs="Times New Roman"/>
          <w:sz w:val="24"/>
          <w:szCs w:val="24"/>
        </w:rPr>
        <w:t xml:space="preserve">. </w:t>
      </w:r>
      <w:r w:rsidR="00161DAA">
        <w:rPr>
          <w:rFonts w:ascii="Times New Roman" w:eastAsia="Times New Roman" w:hAnsi="Times New Roman" w:cs="Times New Roman"/>
          <w:sz w:val="24"/>
          <w:szCs w:val="24"/>
        </w:rPr>
        <w:t>The second ground of appeal therefore fails.</w:t>
      </w:r>
    </w:p>
    <w:p w:rsidR="00697EDA" w:rsidRDefault="00697EDA" w:rsidP="00B23499">
      <w:pPr>
        <w:spacing w:after="0" w:line="360" w:lineRule="auto"/>
        <w:jc w:val="both"/>
        <w:rPr>
          <w:rFonts w:ascii="Times New Roman" w:hAnsi="Times New Roman" w:cs="Times New Roman"/>
          <w:sz w:val="24"/>
          <w:szCs w:val="24"/>
        </w:rPr>
      </w:pPr>
    </w:p>
    <w:p w:rsidR="00090546" w:rsidRDefault="00161DAA" w:rsidP="00161DAA">
      <w:pPr>
        <w:spacing w:after="0" w:line="360" w:lineRule="auto"/>
        <w:jc w:val="both"/>
      </w:pPr>
      <w:r>
        <w:rPr>
          <w:rFonts w:ascii="Times New Roman" w:hAnsi="Times New Roman" w:cs="Times New Roman"/>
          <w:sz w:val="24"/>
          <w:szCs w:val="24"/>
        </w:rPr>
        <w:t xml:space="preserve">Grounds 1, 2, 3, and 4 of this appeal challenge the decision of the Tribunal for reasons that it </w:t>
      </w:r>
      <w:r w:rsidRPr="00161DAA">
        <w:rPr>
          <w:rFonts w:ascii="Times New Roman" w:hAnsi="Times New Roman" w:cs="Times New Roman"/>
          <w:sz w:val="24"/>
          <w:szCs w:val="24"/>
        </w:rPr>
        <w:t xml:space="preserve">erred in deciding that Arua District Local Government failed to implement the Government Policy Decision of 2007 on </w:t>
      </w:r>
      <w:r>
        <w:rPr>
          <w:rFonts w:ascii="Times New Roman" w:hAnsi="Times New Roman" w:cs="Times New Roman"/>
          <w:sz w:val="24"/>
          <w:szCs w:val="24"/>
        </w:rPr>
        <w:t xml:space="preserve">the </w:t>
      </w:r>
      <w:r w:rsidRPr="00161DAA">
        <w:rPr>
          <w:rFonts w:ascii="Times New Roman" w:hAnsi="Times New Roman" w:cs="Times New Roman"/>
          <w:sz w:val="24"/>
          <w:szCs w:val="24"/>
        </w:rPr>
        <w:t xml:space="preserve">management of markets </w:t>
      </w:r>
      <w:r>
        <w:rPr>
          <w:rFonts w:ascii="Times New Roman" w:hAnsi="Times New Roman" w:cs="Times New Roman"/>
          <w:sz w:val="24"/>
          <w:szCs w:val="24"/>
        </w:rPr>
        <w:t xml:space="preserve">simply </w:t>
      </w:r>
      <w:r w:rsidRPr="00161DAA">
        <w:rPr>
          <w:rFonts w:ascii="Times New Roman" w:hAnsi="Times New Roman" w:cs="Times New Roman"/>
          <w:sz w:val="24"/>
          <w:szCs w:val="24"/>
        </w:rPr>
        <w:t>because Kubala Market has no registered association of stall owners</w:t>
      </w:r>
      <w:r>
        <w:rPr>
          <w:rFonts w:ascii="Times New Roman" w:hAnsi="Times New Roman" w:cs="Times New Roman"/>
          <w:sz w:val="24"/>
          <w:szCs w:val="24"/>
        </w:rPr>
        <w:t xml:space="preserve">; </w:t>
      </w:r>
      <w:r w:rsidR="00A13031">
        <w:rPr>
          <w:rFonts w:ascii="Times New Roman" w:hAnsi="Times New Roman" w:cs="Times New Roman"/>
          <w:sz w:val="24"/>
          <w:szCs w:val="24"/>
        </w:rPr>
        <w:t xml:space="preserve">also </w:t>
      </w:r>
      <w:r>
        <w:rPr>
          <w:rFonts w:ascii="Times New Roman" w:hAnsi="Times New Roman" w:cs="Times New Roman"/>
          <w:sz w:val="24"/>
          <w:szCs w:val="24"/>
        </w:rPr>
        <w:t xml:space="preserve">in </w:t>
      </w:r>
      <w:r w:rsidRPr="00161DAA">
        <w:rPr>
          <w:rFonts w:ascii="Times New Roman" w:hAnsi="Times New Roman" w:cs="Times New Roman"/>
          <w:sz w:val="24"/>
          <w:szCs w:val="24"/>
        </w:rPr>
        <w:t>deciding that a Procuring and Disposing Entity cannot and should not ignore Government Policy on management of markets simply because there is no registered association of st</w:t>
      </w:r>
      <w:r>
        <w:rPr>
          <w:rFonts w:ascii="Times New Roman" w:hAnsi="Times New Roman" w:cs="Times New Roman"/>
          <w:sz w:val="24"/>
          <w:szCs w:val="24"/>
        </w:rPr>
        <w:t xml:space="preserve">all owners to manage the market and </w:t>
      </w:r>
      <w:r w:rsidR="00A13031">
        <w:rPr>
          <w:rFonts w:ascii="Times New Roman" w:hAnsi="Times New Roman" w:cs="Times New Roman"/>
          <w:sz w:val="24"/>
          <w:szCs w:val="24"/>
        </w:rPr>
        <w:t xml:space="preserve">that </w:t>
      </w:r>
      <w:r>
        <w:rPr>
          <w:rFonts w:ascii="Times New Roman" w:hAnsi="Times New Roman" w:cs="Times New Roman"/>
          <w:sz w:val="24"/>
          <w:szCs w:val="24"/>
        </w:rPr>
        <w:t xml:space="preserve">it thereby erred </w:t>
      </w:r>
      <w:r w:rsidRPr="00161DAA">
        <w:rPr>
          <w:rFonts w:ascii="Times New Roman" w:hAnsi="Times New Roman" w:cs="Times New Roman"/>
          <w:sz w:val="24"/>
          <w:szCs w:val="24"/>
        </w:rPr>
        <w:t>in faulting Arua District Local Government for mi</w:t>
      </w:r>
      <w:r>
        <w:rPr>
          <w:rFonts w:ascii="Times New Roman" w:hAnsi="Times New Roman" w:cs="Times New Roman"/>
          <w:sz w:val="24"/>
          <w:szCs w:val="24"/>
        </w:rPr>
        <w:t xml:space="preserve">sdirecting itself on </w:t>
      </w:r>
      <w:r w:rsidRPr="00161DAA">
        <w:rPr>
          <w:rFonts w:ascii="Times New Roman" w:hAnsi="Times New Roman" w:cs="Times New Roman"/>
          <w:sz w:val="24"/>
          <w:szCs w:val="24"/>
        </w:rPr>
        <w:t>the spirit and intention of t</w:t>
      </w:r>
      <w:r>
        <w:rPr>
          <w:rFonts w:ascii="Times New Roman" w:hAnsi="Times New Roman" w:cs="Times New Roman"/>
          <w:sz w:val="24"/>
          <w:szCs w:val="24"/>
        </w:rPr>
        <w:t xml:space="preserve">he Government Policy on markets </w:t>
      </w:r>
      <w:r w:rsidR="006001EA">
        <w:rPr>
          <w:rFonts w:ascii="Times New Roman" w:hAnsi="Times New Roman" w:cs="Times New Roman"/>
          <w:sz w:val="24"/>
          <w:szCs w:val="24"/>
        </w:rPr>
        <w:t xml:space="preserve">since </w:t>
      </w:r>
      <w:r>
        <w:rPr>
          <w:rFonts w:ascii="Times New Roman" w:hAnsi="Times New Roman" w:cs="Times New Roman"/>
          <w:sz w:val="24"/>
          <w:szCs w:val="24"/>
        </w:rPr>
        <w:t xml:space="preserve">the absence of market vendors organised in associations or </w:t>
      </w:r>
      <w:r>
        <w:rPr>
          <w:rFonts w:ascii="Times New Roman" w:hAnsi="Times New Roman" w:cs="Times New Roman"/>
          <w:sz w:val="24"/>
          <w:szCs w:val="24"/>
        </w:rPr>
        <w:lastRenderedPageBreak/>
        <w:t xml:space="preserve">cooperatives in Kubala Market was justification enough for </w:t>
      </w:r>
      <w:r w:rsidR="00A13031" w:rsidRPr="00161DAA">
        <w:rPr>
          <w:rFonts w:ascii="Times New Roman" w:hAnsi="Times New Roman" w:cs="Times New Roman"/>
          <w:sz w:val="24"/>
          <w:szCs w:val="24"/>
        </w:rPr>
        <w:t>Arua District Local Government</w:t>
      </w:r>
      <w:r w:rsidRPr="00161DAA">
        <w:rPr>
          <w:rFonts w:ascii="Times New Roman" w:hAnsi="Times New Roman" w:cs="Times New Roman"/>
          <w:sz w:val="24"/>
          <w:szCs w:val="24"/>
        </w:rPr>
        <w:t xml:space="preserve"> to ignore the Government Policy.</w:t>
      </w:r>
      <w:r w:rsidR="00090546" w:rsidRPr="00090546">
        <w:t xml:space="preserve"> </w:t>
      </w:r>
    </w:p>
    <w:p w:rsidR="00090546" w:rsidRDefault="00090546" w:rsidP="00161DAA">
      <w:pPr>
        <w:spacing w:after="0" w:line="360" w:lineRule="auto"/>
        <w:jc w:val="both"/>
      </w:pPr>
    </w:p>
    <w:p w:rsidR="00421A30" w:rsidRDefault="00090546" w:rsidP="00161DAA">
      <w:pPr>
        <w:spacing w:after="0" w:line="360" w:lineRule="auto"/>
        <w:jc w:val="both"/>
        <w:rPr>
          <w:rFonts w:ascii="Times New Roman" w:hAnsi="Times New Roman" w:cs="Times New Roman"/>
          <w:sz w:val="24"/>
          <w:szCs w:val="24"/>
        </w:rPr>
      </w:pPr>
      <w:r w:rsidRPr="00090546">
        <w:rPr>
          <w:rFonts w:ascii="Times New Roman" w:hAnsi="Times New Roman" w:cs="Times New Roman"/>
          <w:sz w:val="24"/>
          <w:szCs w:val="24"/>
        </w:rPr>
        <w:t>The power to lay policy by executive decision or by legislation</w:t>
      </w:r>
      <w:r>
        <w:rPr>
          <w:rFonts w:ascii="Times New Roman" w:hAnsi="Times New Roman" w:cs="Times New Roman"/>
          <w:sz w:val="24"/>
          <w:szCs w:val="24"/>
        </w:rPr>
        <w:t xml:space="preserve"> is ordinarily guided by public interest considerations.  </w:t>
      </w:r>
      <w:r w:rsidR="00421A30" w:rsidRPr="00421A30">
        <w:rPr>
          <w:rFonts w:ascii="Times New Roman" w:hAnsi="Times New Roman" w:cs="Times New Roman"/>
          <w:sz w:val="24"/>
          <w:szCs w:val="24"/>
        </w:rPr>
        <w:t>Policy decisions are conceived of as a subset of discretionary decisions, typically characterized as raising social, economic and political considerations</w:t>
      </w:r>
      <w:r w:rsidR="00421A30">
        <w:rPr>
          <w:rFonts w:ascii="Times New Roman" w:hAnsi="Times New Roman" w:cs="Times New Roman"/>
          <w:sz w:val="24"/>
          <w:szCs w:val="24"/>
        </w:rPr>
        <w:t>.</w:t>
      </w:r>
      <w:r w:rsidR="00421A30" w:rsidRPr="00421A30">
        <w:rPr>
          <w:rFonts w:ascii="Times New Roman" w:hAnsi="Times New Roman" w:cs="Times New Roman"/>
          <w:sz w:val="24"/>
          <w:szCs w:val="24"/>
        </w:rPr>
        <w:t xml:space="preserve"> </w:t>
      </w:r>
      <w:r w:rsidRPr="00090546">
        <w:rPr>
          <w:rFonts w:ascii="Times New Roman" w:hAnsi="Times New Roman" w:cs="Times New Roman"/>
          <w:sz w:val="24"/>
          <w:szCs w:val="24"/>
        </w:rPr>
        <w:t xml:space="preserve">Government </w:t>
      </w:r>
      <w:r>
        <w:rPr>
          <w:rFonts w:ascii="Times New Roman" w:hAnsi="Times New Roman" w:cs="Times New Roman"/>
          <w:sz w:val="24"/>
          <w:szCs w:val="24"/>
        </w:rPr>
        <w:t>ordinarily</w:t>
      </w:r>
      <w:r w:rsidRPr="00090546">
        <w:rPr>
          <w:rFonts w:ascii="Times New Roman" w:hAnsi="Times New Roman" w:cs="Times New Roman"/>
          <w:sz w:val="24"/>
          <w:szCs w:val="24"/>
        </w:rPr>
        <w:t xml:space="preserve"> take</w:t>
      </w:r>
      <w:r>
        <w:rPr>
          <w:rFonts w:ascii="Times New Roman" w:hAnsi="Times New Roman" w:cs="Times New Roman"/>
          <w:sz w:val="24"/>
          <w:szCs w:val="24"/>
        </w:rPr>
        <w:t>s</w:t>
      </w:r>
      <w:r w:rsidRPr="00090546">
        <w:rPr>
          <w:rFonts w:ascii="Times New Roman" w:hAnsi="Times New Roman" w:cs="Times New Roman"/>
          <w:sz w:val="24"/>
          <w:szCs w:val="24"/>
        </w:rPr>
        <w:t xml:space="preserve"> diverse factors </w:t>
      </w:r>
      <w:r>
        <w:rPr>
          <w:rFonts w:ascii="Times New Roman" w:hAnsi="Times New Roman" w:cs="Times New Roman"/>
          <w:sz w:val="24"/>
          <w:szCs w:val="24"/>
        </w:rPr>
        <w:t>when</w:t>
      </w:r>
      <w:r w:rsidRPr="00090546">
        <w:rPr>
          <w:rFonts w:ascii="Times New Roman" w:hAnsi="Times New Roman" w:cs="Times New Roman"/>
          <w:sz w:val="24"/>
          <w:szCs w:val="24"/>
        </w:rPr>
        <w:t xml:space="preserve"> formulating </w:t>
      </w:r>
      <w:r>
        <w:rPr>
          <w:rFonts w:ascii="Times New Roman" w:hAnsi="Times New Roman" w:cs="Times New Roman"/>
          <w:sz w:val="24"/>
          <w:szCs w:val="24"/>
        </w:rPr>
        <w:t>policies and t</w:t>
      </w:r>
      <w:r w:rsidRPr="00090546">
        <w:rPr>
          <w:rFonts w:ascii="Times New Roman" w:hAnsi="Times New Roman" w:cs="Times New Roman"/>
          <w:sz w:val="24"/>
          <w:szCs w:val="24"/>
        </w:rPr>
        <w:t xml:space="preserve">he court leaves the authority to decide </w:t>
      </w:r>
      <w:r>
        <w:rPr>
          <w:rFonts w:ascii="Times New Roman" w:hAnsi="Times New Roman" w:cs="Times New Roman"/>
          <w:sz w:val="24"/>
          <w:szCs w:val="24"/>
        </w:rPr>
        <w:t>on the</w:t>
      </w:r>
      <w:r w:rsidRPr="00090546">
        <w:rPr>
          <w:rFonts w:ascii="Times New Roman" w:hAnsi="Times New Roman" w:cs="Times New Roman"/>
          <w:sz w:val="24"/>
          <w:szCs w:val="24"/>
        </w:rPr>
        <w:t xml:space="preserve"> full range of choice</w:t>
      </w:r>
      <w:r>
        <w:rPr>
          <w:rFonts w:ascii="Times New Roman" w:hAnsi="Times New Roman" w:cs="Times New Roman"/>
          <w:sz w:val="24"/>
          <w:szCs w:val="24"/>
        </w:rPr>
        <w:t>s,</w:t>
      </w:r>
      <w:r w:rsidRPr="00090546">
        <w:rPr>
          <w:rFonts w:ascii="Times New Roman" w:hAnsi="Times New Roman" w:cs="Times New Roman"/>
          <w:sz w:val="24"/>
          <w:szCs w:val="24"/>
        </w:rPr>
        <w:t xml:space="preserve"> within the executive or legislative power. </w:t>
      </w:r>
      <w:r w:rsidR="00AC39A8">
        <w:rPr>
          <w:rFonts w:ascii="Times New Roman" w:hAnsi="Times New Roman" w:cs="Times New Roman"/>
          <w:sz w:val="24"/>
          <w:szCs w:val="24"/>
        </w:rPr>
        <w:t xml:space="preserve">Although this policy appears to contradict one of the cardinal priceless of public procurement, </w:t>
      </w:r>
      <w:r w:rsidR="00421A30">
        <w:rPr>
          <w:rFonts w:ascii="Times New Roman" w:hAnsi="Times New Roman" w:cs="Times New Roman"/>
          <w:sz w:val="24"/>
          <w:szCs w:val="24"/>
        </w:rPr>
        <w:t xml:space="preserve">i.e. </w:t>
      </w:r>
      <w:r w:rsidR="00AC39A8">
        <w:rPr>
          <w:rFonts w:ascii="Times New Roman" w:hAnsi="Times New Roman" w:cs="Times New Roman"/>
          <w:sz w:val="24"/>
          <w:szCs w:val="24"/>
        </w:rPr>
        <w:t>the p</w:t>
      </w:r>
      <w:r w:rsidR="00AC39A8" w:rsidRPr="00AC39A8">
        <w:rPr>
          <w:rFonts w:ascii="Times New Roman" w:hAnsi="Times New Roman" w:cs="Times New Roman"/>
          <w:sz w:val="24"/>
          <w:szCs w:val="24"/>
        </w:rPr>
        <w:t>romotion of competition</w:t>
      </w:r>
      <w:r w:rsidR="00AC39A8">
        <w:rPr>
          <w:rFonts w:ascii="Times New Roman" w:hAnsi="Times New Roman" w:cs="Times New Roman"/>
          <w:sz w:val="24"/>
          <w:szCs w:val="24"/>
        </w:rPr>
        <w:t>,</w:t>
      </w:r>
      <w:r w:rsidR="00AC39A8" w:rsidRPr="00AC39A8">
        <w:rPr>
          <w:rFonts w:ascii="Times New Roman" w:hAnsi="Times New Roman" w:cs="Times New Roman"/>
          <w:sz w:val="24"/>
          <w:szCs w:val="24"/>
        </w:rPr>
        <w:t xml:space="preserve"> </w:t>
      </w:r>
      <w:r w:rsidR="00AC39A8">
        <w:rPr>
          <w:rFonts w:ascii="Times New Roman" w:hAnsi="Times New Roman" w:cs="Times New Roman"/>
          <w:sz w:val="24"/>
          <w:szCs w:val="24"/>
        </w:rPr>
        <w:t>i</w:t>
      </w:r>
      <w:r w:rsidRPr="00090546">
        <w:rPr>
          <w:rFonts w:ascii="Times New Roman" w:hAnsi="Times New Roman" w:cs="Times New Roman"/>
          <w:sz w:val="24"/>
          <w:szCs w:val="24"/>
        </w:rPr>
        <w:t>t is settled that court</w:t>
      </w:r>
      <w:r>
        <w:rPr>
          <w:rFonts w:ascii="Times New Roman" w:hAnsi="Times New Roman" w:cs="Times New Roman"/>
          <w:sz w:val="24"/>
          <w:szCs w:val="24"/>
        </w:rPr>
        <w:t>s</w:t>
      </w:r>
      <w:r w:rsidRPr="00090546">
        <w:rPr>
          <w:rFonts w:ascii="Times New Roman" w:hAnsi="Times New Roman" w:cs="Times New Roman"/>
          <w:sz w:val="24"/>
          <w:szCs w:val="24"/>
        </w:rPr>
        <w:t xml:space="preserve"> give a large leeway to the executive and the legislature</w:t>
      </w:r>
      <w:r>
        <w:rPr>
          <w:rFonts w:ascii="Times New Roman" w:hAnsi="Times New Roman" w:cs="Times New Roman"/>
          <w:sz w:val="24"/>
          <w:szCs w:val="24"/>
        </w:rPr>
        <w:t xml:space="preserve"> in policy matters except where such policies are </w:t>
      </w:r>
      <w:r w:rsidR="00466D4E" w:rsidRPr="00466D4E">
        <w:rPr>
          <w:rFonts w:ascii="Times New Roman" w:hAnsi="Times New Roman" w:cs="Times New Roman"/>
          <w:sz w:val="24"/>
          <w:szCs w:val="24"/>
        </w:rPr>
        <w:t>irrational</w:t>
      </w:r>
      <w:r w:rsidR="00466D4E">
        <w:rPr>
          <w:rFonts w:ascii="Times New Roman" w:hAnsi="Times New Roman" w:cs="Times New Roman"/>
          <w:sz w:val="24"/>
          <w:szCs w:val="24"/>
        </w:rPr>
        <w:t>,</w:t>
      </w:r>
      <w:r w:rsidR="00466D4E" w:rsidRPr="00466D4E">
        <w:rPr>
          <w:rFonts w:ascii="Times New Roman" w:hAnsi="Times New Roman" w:cs="Times New Roman"/>
          <w:sz w:val="24"/>
          <w:szCs w:val="24"/>
        </w:rPr>
        <w:t xml:space="preserve"> taken in bad faith </w:t>
      </w:r>
      <w:r w:rsidR="00466D4E">
        <w:rPr>
          <w:rFonts w:ascii="Times New Roman" w:hAnsi="Times New Roman" w:cs="Times New Roman"/>
          <w:sz w:val="24"/>
          <w:szCs w:val="24"/>
        </w:rPr>
        <w:t xml:space="preserve">or are </w:t>
      </w:r>
      <w:r>
        <w:rPr>
          <w:rFonts w:ascii="Times New Roman" w:hAnsi="Times New Roman" w:cs="Times New Roman"/>
          <w:sz w:val="24"/>
          <w:szCs w:val="24"/>
        </w:rPr>
        <w:t>the product of</w:t>
      </w:r>
      <w:r w:rsidRPr="00090546">
        <w:rPr>
          <w:rFonts w:ascii="Times New Roman" w:hAnsi="Times New Roman" w:cs="Times New Roman"/>
          <w:sz w:val="24"/>
          <w:szCs w:val="24"/>
        </w:rPr>
        <w:t xml:space="preserve"> </w:t>
      </w:r>
      <w:r w:rsidRPr="00090546">
        <w:rPr>
          <w:rFonts w:ascii="Times New Roman" w:hAnsi="Times New Roman" w:cs="Times New Roman"/>
          <w:i/>
          <w:sz w:val="24"/>
          <w:szCs w:val="24"/>
        </w:rPr>
        <w:t>mala fide</w:t>
      </w:r>
      <w:r w:rsidRPr="00090546">
        <w:rPr>
          <w:rFonts w:ascii="Times New Roman" w:hAnsi="Times New Roman" w:cs="Times New Roman"/>
          <w:sz w:val="24"/>
          <w:szCs w:val="24"/>
        </w:rPr>
        <w:t xml:space="preserve"> exercise of power or </w:t>
      </w:r>
      <w:r>
        <w:rPr>
          <w:rFonts w:ascii="Times New Roman" w:hAnsi="Times New Roman" w:cs="Times New Roman"/>
          <w:sz w:val="24"/>
          <w:szCs w:val="24"/>
        </w:rPr>
        <w:t>made</w:t>
      </w:r>
      <w:r w:rsidRPr="00090546">
        <w:rPr>
          <w:rFonts w:ascii="Times New Roman" w:hAnsi="Times New Roman" w:cs="Times New Roman"/>
          <w:sz w:val="24"/>
          <w:szCs w:val="24"/>
        </w:rPr>
        <w:t xml:space="preserve"> in abuse of power</w:t>
      </w:r>
      <w:r w:rsidR="00421A30">
        <w:rPr>
          <w:rFonts w:ascii="Times New Roman" w:hAnsi="Times New Roman" w:cs="Times New Roman"/>
          <w:sz w:val="24"/>
          <w:szCs w:val="24"/>
        </w:rPr>
        <w:t xml:space="preserve"> (see </w:t>
      </w:r>
      <w:r w:rsidR="00421A30" w:rsidRPr="00421A30">
        <w:rPr>
          <w:rFonts w:ascii="Times New Roman" w:hAnsi="Times New Roman" w:cs="Times New Roman"/>
          <w:i/>
          <w:sz w:val="24"/>
          <w:szCs w:val="24"/>
        </w:rPr>
        <w:t>X v. Bedfordshire County Council, [1995] 3 All E.R. 353</w:t>
      </w:r>
      <w:r w:rsidR="00421A30">
        <w:rPr>
          <w:rFonts w:ascii="Times New Roman" w:hAnsi="Times New Roman" w:cs="Times New Roman"/>
          <w:i/>
          <w:sz w:val="24"/>
          <w:szCs w:val="24"/>
        </w:rPr>
        <w:t>;</w:t>
      </w:r>
      <w:r w:rsidR="00421A30" w:rsidRPr="00421A30">
        <w:t xml:space="preserve"> </w:t>
      </w:r>
      <w:r w:rsidR="00421A30" w:rsidRPr="00421A30">
        <w:rPr>
          <w:rFonts w:ascii="Times New Roman" w:hAnsi="Times New Roman" w:cs="Times New Roman"/>
          <w:i/>
          <w:sz w:val="24"/>
          <w:szCs w:val="24"/>
        </w:rPr>
        <w:t>Stovin v. Wise, [1996] A.C. 923</w:t>
      </w:r>
      <w:r w:rsidR="00421A30">
        <w:rPr>
          <w:rFonts w:ascii="Times New Roman" w:hAnsi="Times New Roman" w:cs="Times New Roman"/>
          <w:i/>
          <w:sz w:val="24"/>
          <w:szCs w:val="24"/>
        </w:rPr>
        <w:t xml:space="preserve"> and  </w:t>
      </w:r>
      <w:r w:rsidR="00421A30" w:rsidRPr="00421A30">
        <w:rPr>
          <w:rFonts w:ascii="Times New Roman" w:hAnsi="Times New Roman" w:cs="Times New Roman"/>
          <w:i/>
          <w:sz w:val="24"/>
          <w:szCs w:val="24"/>
        </w:rPr>
        <w:t>Barrett v. Enfield London Borough Council, [2001] 2 A.C. 550</w:t>
      </w:r>
      <w:r w:rsidR="00421A30">
        <w:rPr>
          <w:rFonts w:ascii="Times New Roman" w:hAnsi="Times New Roman" w:cs="Times New Roman"/>
          <w:sz w:val="24"/>
          <w:szCs w:val="24"/>
        </w:rPr>
        <w:t>)</w:t>
      </w:r>
      <w:r>
        <w:rPr>
          <w:rFonts w:ascii="Times New Roman" w:hAnsi="Times New Roman" w:cs="Times New Roman"/>
          <w:sz w:val="24"/>
          <w:szCs w:val="24"/>
        </w:rPr>
        <w:t xml:space="preserve">.  </w:t>
      </w:r>
    </w:p>
    <w:p w:rsidR="00421A30" w:rsidRDefault="00421A30" w:rsidP="00161DAA">
      <w:pPr>
        <w:spacing w:after="0" w:line="360" w:lineRule="auto"/>
        <w:jc w:val="both"/>
        <w:rPr>
          <w:rFonts w:ascii="Times New Roman" w:hAnsi="Times New Roman" w:cs="Times New Roman"/>
          <w:sz w:val="24"/>
          <w:szCs w:val="24"/>
        </w:rPr>
      </w:pPr>
    </w:p>
    <w:p w:rsidR="00E413B8" w:rsidRDefault="00090546" w:rsidP="00161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declared purpose of </w:t>
      </w:r>
      <w:r w:rsidR="00E413B8" w:rsidRPr="00E413B8">
        <w:rPr>
          <w:rFonts w:ascii="Times New Roman" w:hAnsi="Times New Roman" w:cs="Times New Roman"/>
          <w:i/>
          <w:sz w:val="24"/>
          <w:szCs w:val="24"/>
        </w:rPr>
        <w:t>The Government Policy on the Development and Management of Markets in the City, Municipalities and Towns</w:t>
      </w:r>
      <w:r w:rsidR="00E413B8">
        <w:rPr>
          <w:rFonts w:ascii="Times New Roman" w:hAnsi="Times New Roman" w:cs="Times New Roman"/>
          <w:sz w:val="24"/>
          <w:szCs w:val="24"/>
        </w:rPr>
        <w:t>, in a letter dated 17</w:t>
      </w:r>
      <w:r w:rsidR="00E413B8" w:rsidRPr="00E413B8">
        <w:rPr>
          <w:rFonts w:ascii="Times New Roman" w:hAnsi="Times New Roman" w:cs="Times New Roman"/>
          <w:sz w:val="24"/>
          <w:szCs w:val="24"/>
          <w:vertAlign w:val="superscript"/>
        </w:rPr>
        <w:t>th</w:t>
      </w:r>
      <w:r w:rsidR="00E413B8">
        <w:rPr>
          <w:rFonts w:ascii="Times New Roman" w:hAnsi="Times New Roman" w:cs="Times New Roman"/>
          <w:sz w:val="24"/>
          <w:szCs w:val="24"/>
        </w:rPr>
        <w:t xml:space="preserve"> September 2007 and signed by the Minister of Local Government, is; </w:t>
      </w:r>
    </w:p>
    <w:p w:rsidR="00161DAA" w:rsidRDefault="00E413B8" w:rsidP="00E413B8">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To help Kampala City Council and other Local Governments resolve the disputes over the management and re-development of the markets in Kampala City and other Local Governments and will allow market vendors and other stakeholders to settle down on their work.</w:t>
      </w:r>
    </w:p>
    <w:p w:rsidR="006001EA" w:rsidRDefault="006001EA" w:rsidP="00161DAA">
      <w:pPr>
        <w:spacing w:after="0" w:line="360" w:lineRule="auto"/>
        <w:jc w:val="both"/>
        <w:rPr>
          <w:rFonts w:ascii="Times New Roman" w:hAnsi="Times New Roman" w:cs="Times New Roman"/>
          <w:sz w:val="24"/>
          <w:szCs w:val="24"/>
        </w:rPr>
      </w:pPr>
    </w:p>
    <w:p w:rsidR="00E413B8" w:rsidRDefault="00E96D84" w:rsidP="00161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intended that </w:t>
      </w:r>
      <w:r w:rsidR="00E413B8">
        <w:rPr>
          <w:rFonts w:ascii="Times New Roman" w:hAnsi="Times New Roman" w:cs="Times New Roman"/>
          <w:sz w:val="24"/>
          <w:szCs w:val="24"/>
        </w:rPr>
        <w:t xml:space="preserve">streamlining the management and development </w:t>
      </w:r>
      <w:r>
        <w:rPr>
          <w:rFonts w:ascii="Times New Roman" w:hAnsi="Times New Roman" w:cs="Times New Roman"/>
          <w:sz w:val="24"/>
          <w:szCs w:val="24"/>
        </w:rPr>
        <w:t xml:space="preserve">of markets </w:t>
      </w:r>
      <w:r w:rsidR="00E413B8">
        <w:rPr>
          <w:rFonts w:ascii="Times New Roman" w:hAnsi="Times New Roman" w:cs="Times New Roman"/>
          <w:sz w:val="24"/>
          <w:szCs w:val="24"/>
        </w:rPr>
        <w:t>was to be achieved by</w:t>
      </w:r>
      <w:r>
        <w:rPr>
          <w:rFonts w:ascii="Times New Roman" w:hAnsi="Times New Roman" w:cs="Times New Roman"/>
          <w:sz w:val="24"/>
          <w:szCs w:val="24"/>
        </w:rPr>
        <w:t xml:space="preserve"> a series of steps, including</w:t>
      </w:r>
      <w:r w:rsidR="00E413B8">
        <w:rPr>
          <w:rFonts w:ascii="Times New Roman" w:hAnsi="Times New Roman" w:cs="Times New Roman"/>
          <w:sz w:val="24"/>
          <w:szCs w:val="24"/>
        </w:rPr>
        <w:t>;</w:t>
      </w:r>
    </w:p>
    <w:p w:rsidR="00E96D84" w:rsidRDefault="00E96D84" w:rsidP="00161DAA">
      <w:pPr>
        <w:spacing w:after="0" w:line="360" w:lineRule="auto"/>
        <w:jc w:val="both"/>
        <w:rPr>
          <w:rFonts w:ascii="Times New Roman" w:hAnsi="Times New Roman" w:cs="Times New Roman"/>
          <w:sz w:val="24"/>
          <w:szCs w:val="24"/>
        </w:rPr>
      </w:pPr>
    </w:p>
    <w:p w:rsidR="00E413B8" w:rsidRDefault="00E413B8" w:rsidP="00E96D84">
      <w:pPr>
        <w:spacing w:after="0"/>
        <w:ind w:left="1440" w:right="576" w:hanging="864"/>
        <w:jc w:val="both"/>
        <w:rPr>
          <w:rFonts w:ascii="Times New Roman" w:hAnsi="Times New Roman" w:cs="Times New Roman"/>
          <w:sz w:val="24"/>
          <w:szCs w:val="24"/>
        </w:rPr>
      </w:pPr>
      <w:r>
        <w:rPr>
          <w:rFonts w:ascii="Times New Roman" w:hAnsi="Times New Roman" w:cs="Times New Roman"/>
          <w:sz w:val="24"/>
          <w:szCs w:val="24"/>
        </w:rPr>
        <w:t xml:space="preserve">(b) </w:t>
      </w:r>
      <w:r w:rsidR="00E96D84">
        <w:rPr>
          <w:rFonts w:ascii="Times New Roman" w:hAnsi="Times New Roman" w:cs="Times New Roman"/>
          <w:sz w:val="24"/>
          <w:szCs w:val="24"/>
        </w:rPr>
        <w:tab/>
        <w:t>The</w:t>
      </w:r>
      <w:r>
        <w:rPr>
          <w:rFonts w:ascii="Times New Roman" w:hAnsi="Times New Roman" w:cs="Times New Roman"/>
          <w:sz w:val="24"/>
          <w:szCs w:val="24"/>
        </w:rPr>
        <w:t xml:space="preserve"> sitting tenants who own stalls (</w:t>
      </w:r>
      <w:r w:rsidRPr="00E96D84">
        <w:rPr>
          <w:rFonts w:ascii="Times New Roman" w:hAnsi="Times New Roman" w:cs="Times New Roman"/>
          <w:i/>
          <w:sz w:val="24"/>
          <w:szCs w:val="24"/>
        </w:rPr>
        <w:t>emidaala</w:t>
      </w:r>
      <w:r>
        <w:rPr>
          <w:rFonts w:ascii="Times New Roman" w:hAnsi="Times New Roman" w:cs="Times New Roman"/>
          <w:sz w:val="24"/>
          <w:szCs w:val="24"/>
        </w:rPr>
        <w:t>) kiosks, etc. in the market stall shall register</w:t>
      </w:r>
      <w:r w:rsidR="00E96D84">
        <w:rPr>
          <w:rFonts w:ascii="Times New Roman" w:hAnsi="Times New Roman" w:cs="Times New Roman"/>
          <w:sz w:val="24"/>
          <w:szCs w:val="24"/>
        </w:rPr>
        <w:t xml:space="preserve"> under their associations and that the registered market vendors shall be given first priority to re-develop and manage the markets.</w:t>
      </w:r>
    </w:p>
    <w:p w:rsidR="00E96D84" w:rsidRDefault="00E96D84" w:rsidP="00E96D84">
      <w:pPr>
        <w:spacing w:after="0" w:line="360" w:lineRule="auto"/>
        <w:ind w:right="576"/>
        <w:jc w:val="both"/>
        <w:rPr>
          <w:rFonts w:ascii="Times New Roman" w:hAnsi="Times New Roman" w:cs="Times New Roman"/>
          <w:sz w:val="24"/>
          <w:szCs w:val="24"/>
        </w:rPr>
      </w:pPr>
    </w:p>
    <w:p w:rsidR="00E96D84" w:rsidRDefault="00E96D84" w:rsidP="00E96D84">
      <w:p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However, the implementation of this aspect was conditional on</w:t>
      </w:r>
      <w:r w:rsidR="007E1740">
        <w:rPr>
          <w:rFonts w:ascii="Times New Roman" w:hAnsi="Times New Roman" w:cs="Times New Roman"/>
          <w:sz w:val="24"/>
          <w:szCs w:val="24"/>
        </w:rPr>
        <w:t xml:space="preserve"> the consideration that</w:t>
      </w:r>
      <w:r>
        <w:rPr>
          <w:rFonts w:ascii="Times New Roman" w:hAnsi="Times New Roman" w:cs="Times New Roman"/>
          <w:sz w:val="24"/>
          <w:szCs w:val="24"/>
        </w:rPr>
        <w:t>;</w:t>
      </w:r>
    </w:p>
    <w:p w:rsidR="00E96D84" w:rsidRDefault="00E96D84" w:rsidP="00E96D84">
      <w:pPr>
        <w:spacing w:after="0"/>
        <w:ind w:left="1440" w:right="576" w:hanging="864"/>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In the event that the Market Vendors fail to fulfil terms (b) [registration under associations], (c) [ability to mobilise funds and technical capacity], </w:t>
      </w:r>
      <w:r>
        <w:rPr>
          <w:rFonts w:ascii="Times New Roman" w:hAnsi="Times New Roman" w:cs="Times New Roman"/>
          <w:sz w:val="24"/>
          <w:szCs w:val="24"/>
        </w:rPr>
        <w:lastRenderedPageBreak/>
        <w:t>and (d) [joining in partnership with persons of financial means and capacity]</w:t>
      </w:r>
      <w:r w:rsidR="007E1740">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7E1740">
        <w:rPr>
          <w:rFonts w:ascii="Times New Roman" w:hAnsi="Times New Roman" w:cs="Times New Roman"/>
          <w:sz w:val="24"/>
          <w:szCs w:val="24"/>
        </w:rPr>
        <w:t>[</w:t>
      </w:r>
      <w:r>
        <w:rPr>
          <w:rFonts w:ascii="Times New Roman" w:hAnsi="Times New Roman" w:cs="Times New Roman"/>
          <w:sz w:val="24"/>
          <w:szCs w:val="24"/>
        </w:rPr>
        <w:t>then</w:t>
      </w:r>
      <w:r w:rsidR="007E1740">
        <w:rPr>
          <w:rFonts w:ascii="Times New Roman" w:hAnsi="Times New Roman" w:cs="Times New Roman"/>
          <w:sz w:val="24"/>
          <w:szCs w:val="24"/>
        </w:rPr>
        <w:t xml:space="preserve">] the Government and Local Governments shall develop the markets and rent them to the vendors giving priority to the sitting / existing vendors. </w:t>
      </w:r>
    </w:p>
    <w:p w:rsidR="00E96D84" w:rsidRDefault="00E96D84" w:rsidP="00E96D84">
      <w:pPr>
        <w:spacing w:after="0" w:line="360" w:lineRule="auto"/>
        <w:ind w:right="576"/>
        <w:jc w:val="both"/>
        <w:rPr>
          <w:rFonts w:ascii="Times New Roman" w:hAnsi="Times New Roman" w:cs="Times New Roman"/>
          <w:sz w:val="24"/>
          <w:szCs w:val="24"/>
        </w:rPr>
      </w:pPr>
    </w:p>
    <w:p w:rsidR="007E1740" w:rsidRPr="008674F1" w:rsidRDefault="007E1740" w:rsidP="007E1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essence or practical implication of this policy within the context of existing procurement law is that Local Governments cannot undertake a process of public procurement of services for the development and management of markets except by way of </w:t>
      </w:r>
      <w:r w:rsidRPr="007E1740">
        <w:rPr>
          <w:rFonts w:ascii="Times New Roman" w:hAnsi="Times New Roman" w:cs="Times New Roman"/>
          <w:sz w:val="24"/>
          <w:szCs w:val="24"/>
        </w:rPr>
        <w:t xml:space="preserve">Restricted </w:t>
      </w:r>
      <w:r>
        <w:rPr>
          <w:rFonts w:ascii="Times New Roman" w:hAnsi="Times New Roman" w:cs="Times New Roman"/>
          <w:sz w:val="24"/>
          <w:szCs w:val="24"/>
        </w:rPr>
        <w:t>D</w:t>
      </w:r>
      <w:r w:rsidRPr="007E1740">
        <w:rPr>
          <w:rFonts w:ascii="Times New Roman" w:hAnsi="Times New Roman" w:cs="Times New Roman"/>
          <w:sz w:val="24"/>
          <w:szCs w:val="24"/>
        </w:rPr>
        <w:t xml:space="preserve">omestic </w:t>
      </w:r>
      <w:r>
        <w:rPr>
          <w:rFonts w:ascii="Times New Roman" w:hAnsi="Times New Roman" w:cs="Times New Roman"/>
          <w:sz w:val="24"/>
          <w:szCs w:val="24"/>
        </w:rPr>
        <w:t>B</w:t>
      </w:r>
      <w:r w:rsidRPr="007E1740">
        <w:rPr>
          <w:rFonts w:ascii="Times New Roman" w:hAnsi="Times New Roman" w:cs="Times New Roman"/>
          <w:sz w:val="24"/>
          <w:szCs w:val="24"/>
        </w:rPr>
        <w:t>idding</w:t>
      </w:r>
      <w:r>
        <w:rPr>
          <w:rFonts w:ascii="Times New Roman" w:hAnsi="Times New Roman" w:cs="Times New Roman"/>
          <w:sz w:val="24"/>
          <w:szCs w:val="24"/>
        </w:rPr>
        <w:t xml:space="preserve"> under the provisions of section 82 of </w:t>
      </w:r>
      <w:r w:rsidRPr="007E1740">
        <w:rPr>
          <w:rFonts w:ascii="Times New Roman" w:hAnsi="Times New Roman" w:cs="Times New Roman"/>
          <w:i/>
          <w:sz w:val="24"/>
          <w:szCs w:val="24"/>
        </w:rPr>
        <w:t>The Public Procurement and Disposal of Public Assets Act, 2003</w:t>
      </w:r>
      <w:r>
        <w:rPr>
          <w:rFonts w:ascii="Times New Roman" w:hAnsi="Times New Roman" w:cs="Times New Roman"/>
          <w:i/>
          <w:sz w:val="24"/>
          <w:szCs w:val="24"/>
        </w:rPr>
        <w:t>,</w:t>
      </w:r>
      <w:r>
        <w:rPr>
          <w:rFonts w:ascii="Times New Roman" w:hAnsi="Times New Roman" w:cs="Times New Roman"/>
          <w:sz w:val="24"/>
          <w:szCs w:val="24"/>
        </w:rPr>
        <w:t xml:space="preserve"> otherwise the Local Governments are to develop the markets and rent them to the vendors giving priority to the sitting / existing vendors. </w:t>
      </w:r>
      <w:r w:rsidR="00AC39A8">
        <w:rPr>
          <w:rFonts w:ascii="Times New Roman" w:hAnsi="Times New Roman" w:cs="Times New Roman"/>
          <w:sz w:val="24"/>
          <w:szCs w:val="24"/>
        </w:rPr>
        <w:t xml:space="preserve">According to item 3 (2) (b) of the Fourth Schedule to </w:t>
      </w:r>
      <w:r w:rsidR="00AC39A8" w:rsidRPr="007E1740">
        <w:rPr>
          <w:rFonts w:ascii="Times New Roman" w:hAnsi="Times New Roman" w:cs="Times New Roman"/>
          <w:i/>
          <w:sz w:val="24"/>
          <w:szCs w:val="24"/>
        </w:rPr>
        <w:t>The Public Procurement and Disposal of Public Assets Act, 2003</w:t>
      </w:r>
      <w:r w:rsidR="00AC39A8">
        <w:rPr>
          <w:rFonts w:ascii="Times New Roman" w:hAnsi="Times New Roman" w:cs="Times New Roman"/>
          <w:i/>
          <w:sz w:val="24"/>
          <w:szCs w:val="24"/>
        </w:rPr>
        <w:t>,</w:t>
      </w:r>
      <w:r w:rsidR="00AC39A8">
        <w:rPr>
          <w:rFonts w:ascii="Times New Roman" w:hAnsi="Times New Roman" w:cs="Times New Roman"/>
          <w:sz w:val="24"/>
          <w:szCs w:val="24"/>
        </w:rPr>
        <w:t xml:space="preserve"> the</w:t>
      </w:r>
      <w:r w:rsidR="00AC39A8" w:rsidRPr="00AC39A8">
        <w:rPr>
          <w:rFonts w:ascii="Times New Roman" w:hAnsi="Times New Roman" w:cs="Times New Roman"/>
          <w:sz w:val="24"/>
          <w:szCs w:val="24"/>
        </w:rPr>
        <w:t xml:space="preserve"> invitation to bid sh</w:t>
      </w:r>
      <w:r w:rsidR="00AC39A8">
        <w:rPr>
          <w:rFonts w:ascii="Times New Roman" w:hAnsi="Times New Roman" w:cs="Times New Roman"/>
          <w:sz w:val="24"/>
          <w:szCs w:val="24"/>
        </w:rPr>
        <w:t>ould</w:t>
      </w:r>
      <w:r w:rsidR="00AC39A8" w:rsidRPr="00AC39A8">
        <w:rPr>
          <w:rFonts w:ascii="Times New Roman" w:hAnsi="Times New Roman" w:cs="Times New Roman"/>
          <w:sz w:val="24"/>
          <w:szCs w:val="24"/>
        </w:rPr>
        <w:t xml:space="preserve"> be addressed to a limited number of potential bidders without advertising the opportunity in a Bid Notice.</w:t>
      </w:r>
      <w:r w:rsidR="008674F1">
        <w:rPr>
          <w:rFonts w:ascii="Times New Roman" w:hAnsi="Times New Roman" w:cs="Times New Roman"/>
          <w:sz w:val="24"/>
          <w:szCs w:val="24"/>
        </w:rPr>
        <w:t xml:space="preserve"> By providing only two options; restrictive bidding in situations where the sitting tenants who own stalls (</w:t>
      </w:r>
      <w:r w:rsidR="008674F1" w:rsidRPr="00E96D84">
        <w:rPr>
          <w:rFonts w:ascii="Times New Roman" w:hAnsi="Times New Roman" w:cs="Times New Roman"/>
          <w:i/>
          <w:sz w:val="24"/>
          <w:szCs w:val="24"/>
        </w:rPr>
        <w:t>emidaala</w:t>
      </w:r>
      <w:r w:rsidR="008674F1">
        <w:rPr>
          <w:rFonts w:ascii="Times New Roman" w:hAnsi="Times New Roman" w:cs="Times New Roman"/>
          <w:sz w:val="24"/>
          <w:szCs w:val="24"/>
        </w:rPr>
        <w:t xml:space="preserve">) kiosks, etc. in the market have registered under their associations or else the Government and Local Governments develop the markets themselves and rent them to the vendors giving priority to the sitting / existing vendors, </w:t>
      </w:r>
      <w:r w:rsidR="008674F1" w:rsidRPr="00E413B8">
        <w:rPr>
          <w:rFonts w:ascii="Times New Roman" w:hAnsi="Times New Roman" w:cs="Times New Roman"/>
          <w:i/>
          <w:sz w:val="24"/>
          <w:szCs w:val="24"/>
        </w:rPr>
        <w:t>The Government Policy on the Development and Management of Markets in the City, Municipalities and Towns</w:t>
      </w:r>
      <w:r w:rsidR="008674F1">
        <w:rPr>
          <w:rFonts w:ascii="Times New Roman" w:hAnsi="Times New Roman" w:cs="Times New Roman"/>
          <w:sz w:val="24"/>
          <w:szCs w:val="24"/>
        </w:rPr>
        <w:t>, effectively ruled out the use of the Open Domestic Bidding method for the procurement of services for the development and management of markets.</w:t>
      </w:r>
    </w:p>
    <w:p w:rsidR="00C13149" w:rsidRDefault="00C13149" w:rsidP="007E1740">
      <w:pPr>
        <w:spacing w:after="0" w:line="360" w:lineRule="auto"/>
        <w:jc w:val="both"/>
        <w:rPr>
          <w:rFonts w:ascii="Times New Roman" w:hAnsi="Times New Roman" w:cs="Times New Roman"/>
          <w:sz w:val="24"/>
          <w:szCs w:val="24"/>
        </w:rPr>
      </w:pPr>
    </w:p>
    <w:p w:rsidR="00AC39A8" w:rsidRDefault="00C13149" w:rsidP="00AC39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item 3 (1) of the Fourth Schedule to </w:t>
      </w:r>
      <w:r w:rsidRPr="007E1740">
        <w:rPr>
          <w:rFonts w:ascii="Times New Roman" w:hAnsi="Times New Roman" w:cs="Times New Roman"/>
          <w:i/>
          <w:sz w:val="24"/>
          <w:szCs w:val="24"/>
        </w:rPr>
        <w:t>The Public Procurement and Disposal of Public Assets Act, 2003</w:t>
      </w:r>
      <w:r>
        <w:rPr>
          <w:rFonts w:ascii="Times New Roman" w:hAnsi="Times New Roman" w:cs="Times New Roman"/>
          <w:i/>
          <w:sz w:val="24"/>
          <w:szCs w:val="24"/>
        </w:rPr>
        <w:t>,</w:t>
      </w:r>
      <w:r>
        <w:rPr>
          <w:rFonts w:ascii="Times New Roman" w:hAnsi="Times New Roman" w:cs="Times New Roman"/>
          <w:sz w:val="24"/>
          <w:szCs w:val="24"/>
        </w:rPr>
        <w:t xml:space="preserve"> </w:t>
      </w:r>
      <w:r w:rsidRPr="00C13149">
        <w:rPr>
          <w:rFonts w:ascii="Times New Roman" w:hAnsi="Times New Roman" w:cs="Times New Roman"/>
          <w:sz w:val="24"/>
          <w:szCs w:val="24"/>
        </w:rPr>
        <w:t xml:space="preserve">Restricted </w:t>
      </w:r>
      <w:r>
        <w:rPr>
          <w:rFonts w:ascii="Times New Roman" w:hAnsi="Times New Roman" w:cs="Times New Roman"/>
          <w:sz w:val="24"/>
          <w:szCs w:val="24"/>
        </w:rPr>
        <w:t>D</w:t>
      </w:r>
      <w:r w:rsidRPr="00C13149">
        <w:rPr>
          <w:rFonts w:ascii="Times New Roman" w:hAnsi="Times New Roman" w:cs="Times New Roman"/>
          <w:sz w:val="24"/>
          <w:szCs w:val="24"/>
        </w:rPr>
        <w:t xml:space="preserve">omestic </w:t>
      </w:r>
      <w:r>
        <w:rPr>
          <w:rFonts w:ascii="Times New Roman" w:hAnsi="Times New Roman" w:cs="Times New Roman"/>
          <w:sz w:val="24"/>
          <w:szCs w:val="24"/>
        </w:rPr>
        <w:t xml:space="preserve">Bidding may be used where; </w:t>
      </w:r>
      <w:r w:rsidRPr="00C13149">
        <w:rPr>
          <w:rFonts w:ascii="Times New Roman" w:hAnsi="Times New Roman" w:cs="Times New Roman"/>
          <w:sz w:val="24"/>
          <w:szCs w:val="24"/>
        </w:rPr>
        <w:t>(a) the supplies, works or services are available only from a limited number of</w:t>
      </w:r>
      <w:r>
        <w:rPr>
          <w:rFonts w:ascii="Times New Roman" w:hAnsi="Times New Roman" w:cs="Times New Roman"/>
          <w:sz w:val="24"/>
          <w:szCs w:val="24"/>
        </w:rPr>
        <w:t xml:space="preserve"> </w:t>
      </w:r>
      <w:r w:rsidRPr="00C13149">
        <w:rPr>
          <w:rFonts w:ascii="Times New Roman" w:hAnsi="Times New Roman" w:cs="Times New Roman"/>
          <w:sz w:val="24"/>
          <w:szCs w:val="24"/>
        </w:rPr>
        <w:t>providers; or</w:t>
      </w:r>
      <w:r>
        <w:rPr>
          <w:rFonts w:ascii="Times New Roman" w:hAnsi="Times New Roman" w:cs="Times New Roman"/>
          <w:sz w:val="24"/>
          <w:szCs w:val="24"/>
        </w:rPr>
        <w:t xml:space="preserve"> </w:t>
      </w:r>
      <w:r w:rsidRPr="00C13149">
        <w:rPr>
          <w:rFonts w:ascii="Times New Roman" w:hAnsi="Times New Roman" w:cs="Times New Roman"/>
          <w:sz w:val="24"/>
          <w:szCs w:val="24"/>
        </w:rPr>
        <w:t>(b) there is insufficient time for an open bidding procedure in an emergency</w:t>
      </w:r>
      <w:r>
        <w:rPr>
          <w:rFonts w:ascii="Times New Roman" w:hAnsi="Times New Roman" w:cs="Times New Roman"/>
          <w:sz w:val="24"/>
          <w:szCs w:val="24"/>
        </w:rPr>
        <w:t xml:space="preserve"> </w:t>
      </w:r>
      <w:r w:rsidRPr="00C13149">
        <w:rPr>
          <w:rFonts w:ascii="Times New Roman" w:hAnsi="Times New Roman" w:cs="Times New Roman"/>
          <w:sz w:val="24"/>
          <w:szCs w:val="24"/>
        </w:rPr>
        <w:t>situation; or</w:t>
      </w:r>
      <w:r>
        <w:rPr>
          <w:rFonts w:ascii="Times New Roman" w:hAnsi="Times New Roman" w:cs="Times New Roman"/>
          <w:sz w:val="24"/>
          <w:szCs w:val="24"/>
        </w:rPr>
        <w:t xml:space="preserve"> </w:t>
      </w:r>
      <w:r w:rsidRPr="00C13149">
        <w:rPr>
          <w:rFonts w:ascii="Times New Roman" w:hAnsi="Times New Roman" w:cs="Times New Roman"/>
          <w:sz w:val="24"/>
          <w:szCs w:val="24"/>
        </w:rPr>
        <w:t>(c) the estimated value of the procurement or disposal does not exceed the threshold</w:t>
      </w:r>
      <w:r>
        <w:rPr>
          <w:rFonts w:ascii="Times New Roman" w:hAnsi="Times New Roman" w:cs="Times New Roman"/>
          <w:sz w:val="24"/>
          <w:szCs w:val="24"/>
        </w:rPr>
        <w:t xml:space="preserve"> </w:t>
      </w:r>
      <w:r w:rsidRPr="00C13149">
        <w:rPr>
          <w:rFonts w:ascii="Times New Roman" w:hAnsi="Times New Roman" w:cs="Times New Roman"/>
          <w:sz w:val="24"/>
          <w:szCs w:val="24"/>
        </w:rPr>
        <w:t>stated in the procurement guidelines issued under this Act.</w:t>
      </w:r>
      <w:r>
        <w:rPr>
          <w:rFonts w:ascii="Times New Roman" w:hAnsi="Times New Roman" w:cs="Times New Roman"/>
          <w:sz w:val="24"/>
          <w:szCs w:val="24"/>
        </w:rPr>
        <w:t xml:space="preserve"> By virtue of </w:t>
      </w:r>
      <w:r w:rsidRPr="00E413B8">
        <w:rPr>
          <w:rFonts w:ascii="Times New Roman" w:hAnsi="Times New Roman" w:cs="Times New Roman"/>
          <w:i/>
          <w:sz w:val="24"/>
          <w:szCs w:val="24"/>
        </w:rPr>
        <w:t>The Government Policy on the Development and Management of Markets in the City, Municipalities and Towns</w:t>
      </w:r>
      <w:r>
        <w:rPr>
          <w:rFonts w:ascii="Times New Roman" w:hAnsi="Times New Roman" w:cs="Times New Roman"/>
          <w:sz w:val="24"/>
          <w:szCs w:val="24"/>
        </w:rPr>
        <w:t xml:space="preserve">, </w:t>
      </w:r>
      <w:r w:rsidRPr="00C13149">
        <w:rPr>
          <w:rFonts w:ascii="Times New Roman" w:hAnsi="Times New Roman" w:cs="Times New Roman"/>
          <w:sz w:val="24"/>
          <w:szCs w:val="24"/>
        </w:rPr>
        <w:t xml:space="preserve">services </w:t>
      </w:r>
      <w:r w:rsidR="00AC39A8">
        <w:rPr>
          <w:rFonts w:ascii="Times New Roman" w:hAnsi="Times New Roman" w:cs="Times New Roman"/>
          <w:sz w:val="24"/>
          <w:szCs w:val="24"/>
        </w:rPr>
        <w:t xml:space="preserve">for the development and management of markets </w:t>
      </w:r>
      <w:r w:rsidRPr="00C13149">
        <w:rPr>
          <w:rFonts w:ascii="Times New Roman" w:hAnsi="Times New Roman" w:cs="Times New Roman"/>
          <w:sz w:val="24"/>
          <w:szCs w:val="24"/>
        </w:rPr>
        <w:t>are available only from a limited number of</w:t>
      </w:r>
      <w:r>
        <w:rPr>
          <w:rFonts w:ascii="Times New Roman" w:hAnsi="Times New Roman" w:cs="Times New Roman"/>
          <w:sz w:val="24"/>
          <w:szCs w:val="24"/>
        </w:rPr>
        <w:t xml:space="preserve"> </w:t>
      </w:r>
      <w:r w:rsidRPr="00C13149">
        <w:rPr>
          <w:rFonts w:ascii="Times New Roman" w:hAnsi="Times New Roman" w:cs="Times New Roman"/>
          <w:sz w:val="24"/>
          <w:szCs w:val="24"/>
        </w:rPr>
        <w:t>providers</w:t>
      </w:r>
      <w:r w:rsidR="00AC39A8">
        <w:rPr>
          <w:rFonts w:ascii="Times New Roman" w:hAnsi="Times New Roman" w:cs="Times New Roman"/>
          <w:sz w:val="24"/>
          <w:szCs w:val="24"/>
        </w:rPr>
        <w:t xml:space="preserve">, viz., </w:t>
      </w:r>
      <w:r w:rsidR="00AC39A8" w:rsidRPr="00C13149">
        <w:rPr>
          <w:rFonts w:ascii="Times New Roman" w:hAnsi="Times New Roman" w:cs="Times New Roman"/>
          <w:sz w:val="24"/>
          <w:szCs w:val="24"/>
        </w:rPr>
        <w:t>regist</w:t>
      </w:r>
      <w:r w:rsidR="00AC39A8">
        <w:rPr>
          <w:rFonts w:ascii="Times New Roman" w:hAnsi="Times New Roman" w:cs="Times New Roman"/>
          <w:sz w:val="24"/>
          <w:szCs w:val="24"/>
        </w:rPr>
        <w:t xml:space="preserve">ered </w:t>
      </w:r>
      <w:r w:rsidR="00AC39A8" w:rsidRPr="00C13149">
        <w:rPr>
          <w:rFonts w:ascii="Times New Roman" w:hAnsi="Times New Roman" w:cs="Times New Roman"/>
          <w:sz w:val="24"/>
          <w:szCs w:val="24"/>
        </w:rPr>
        <w:t>associations</w:t>
      </w:r>
      <w:r w:rsidR="00AC39A8">
        <w:rPr>
          <w:rFonts w:ascii="Times New Roman" w:hAnsi="Times New Roman" w:cs="Times New Roman"/>
          <w:sz w:val="24"/>
          <w:szCs w:val="24"/>
        </w:rPr>
        <w:t xml:space="preserve"> of members who are sitting tenants and own stalls (</w:t>
      </w:r>
      <w:r w:rsidR="00AC39A8" w:rsidRPr="00E96D84">
        <w:rPr>
          <w:rFonts w:ascii="Times New Roman" w:hAnsi="Times New Roman" w:cs="Times New Roman"/>
          <w:i/>
          <w:sz w:val="24"/>
          <w:szCs w:val="24"/>
        </w:rPr>
        <w:t>emidaala</w:t>
      </w:r>
      <w:r w:rsidR="00AC39A8">
        <w:rPr>
          <w:rFonts w:ascii="Times New Roman" w:hAnsi="Times New Roman" w:cs="Times New Roman"/>
          <w:sz w:val="24"/>
          <w:szCs w:val="24"/>
        </w:rPr>
        <w:t>) kiosks, etc. in the market</w:t>
      </w:r>
      <w:r w:rsidR="00AC39A8" w:rsidRPr="00C13149">
        <w:rPr>
          <w:rFonts w:ascii="Times New Roman" w:hAnsi="Times New Roman" w:cs="Times New Roman"/>
          <w:sz w:val="24"/>
          <w:szCs w:val="24"/>
        </w:rPr>
        <w:t xml:space="preserve">, </w:t>
      </w:r>
      <w:r w:rsidR="00AC39A8">
        <w:rPr>
          <w:rFonts w:ascii="Times New Roman" w:hAnsi="Times New Roman" w:cs="Times New Roman"/>
          <w:sz w:val="24"/>
          <w:szCs w:val="24"/>
        </w:rPr>
        <w:t xml:space="preserve">where such associations have the </w:t>
      </w:r>
      <w:r w:rsidR="00AC39A8" w:rsidRPr="00C13149">
        <w:rPr>
          <w:rFonts w:ascii="Times New Roman" w:hAnsi="Times New Roman" w:cs="Times New Roman"/>
          <w:sz w:val="24"/>
          <w:szCs w:val="24"/>
        </w:rPr>
        <w:t>ability to mobili</w:t>
      </w:r>
      <w:r w:rsidR="00AC39A8">
        <w:rPr>
          <w:rFonts w:ascii="Times New Roman" w:hAnsi="Times New Roman" w:cs="Times New Roman"/>
          <w:sz w:val="24"/>
          <w:szCs w:val="24"/>
        </w:rPr>
        <w:t>se funds and at the same time have the technical capacity to develop and manage the market</w:t>
      </w:r>
      <w:r w:rsidR="00AC39A8" w:rsidRPr="00C13149">
        <w:rPr>
          <w:rFonts w:ascii="Times New Roman" w:hAnsi="Times New Roman" w:cs="Times New Roman"/>
          <w:sz w:val="24"/>
          <w:szCs w:val="24"/>
        </w:rPr>
        <w:t xml:space="preserve">, </w:t>
      </w:r>
      <w:r w:rsidR="00AC39A8">
        <w:rPr>
          <w:rFonts w:ascii="Times New Roman" w:hAnsi="Times New Roman" w:cs="Times New Roman"/>
          <w:sz w:val="24"/>
          <w:szCs w:val="24"/>
        </w:rPr>
        <w:t xml:space="preserve">or where they lack such capacity, where </w:t>
      </w:r>
      <w:r w:rsidR="00AC39A8">
        <w:rPr>
          <w:rFonts w:ascii="Times New Roman" w:hAnsi="Times New Roman" w:cs="Times New Roman"/>
          <w:sz w:val="24"/>
          <w:szCs w:val="24"/>
        </w:rPr>
        <w:lastRenderedPageBreak/>
        <w:t xml:space="preserve">such associations have </w:t>
      </w:r>
      <w:r w:rsidR="00AC39A8" w:rsidRPr="00C13149">
        <w:rPr>
          <w:rFonts w:ascii="Times New Roman" w:hAnsi="Times New Roman" w:cs="Times New Roman"/>
          <w:sz w:val="24"/>
          <w:szCs w:val="24"/>
        </w:rPr>
        <w:t>join</w:t>
      </w:r>
      <w:r w:rsidR="00AC39A8">
        <w:rPr>
          <w:rFonts w:ascii="Times New Roman" w:hAnsi="Times New Roman" w:cs="Times New Roman"/>
          <w:sz w:val="24"/>
          <w:szCs w:val="24"/>
        </w:rPr>
        <w:t>ed</w:t>
      </w:r>
      <w:r w:rsidR="00AC39A8" w:rsidRPr="00C13149">
        <w:rPr>
          <w:rFonts w:ascii="Times New Roman" w:hAnsi="Times New Roman" w:cs="Times New Roman"/>
          <w:sz w:val="24"/>
          <w:szCs w:val="24"/>
        </w:rPr>
        <w:t xml:space="preserve"> in partnership with persons </w:t>
      </w:r>
      <w:r w:rsidR="00AC39A8">
        <w:rPr>
          <w:rFonts w:ascii="Times New Roman" w:hAnsi="Times New Roman" w:cs="Times New Roman"/>
          <w:sz w:val="24"/>
          <w:szCs w:val="24"/>
        </w:rPr>
        <w:t xml:space="preserve">of financial means and capacity. </w:t>
      </w:r>
      <w:r w:rsidR="008674F1">
        <w:rPr>
          <w:rFonts w:ascii="Times New Roman" w:hAnsi="Times New Roman" w:cs="Times New Roman"/>
          <w:sz w:val="24"/>
          <w:szCs w:val="24"/>
        </w:rPr>
        <w:t>Where none exists, by implication there should not be any invitations to bid for the development and management of markets but rather the Local Governments are to develop the markets themselves and rent them to the vendors giving priority to the sitting / existing vendors.</w:t>
      </w:r>
    </w:p>
    <w:p w:rsidR="00304A69" w:rsidRDefault="00304A69" w:rsidP="00AC39A8">
      <w:pPr>
        <w:spacing w:after="0" w:line="360" w:lineRule="auto"/>
        <w:jc w:val="both"/>
        <w:rPr>
          <w:rFonts w:ascii="Times New Roman" w:hAnsi="Times New Roman" w:cs="Times New Roman"/>
          <w:sz w:val="24"/>
          <w:szCs w:val="24"/>
        </w:rPr>
      </w:pPr>
    </w:p>
    <w:p w:rsidR="00304A69" w:rsidRDefault="008674F1" w:rsidP="005D10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face of it, the specific policy ring-fencing the public procurement of services for the development and management of markets for </w:t>
      </w:r>
      <w:r w:rsidR="000D602D">
        <w:rPr>
          <w:rFonts w:ascii="Times New Roman" w:hAnsi="Times New Roman" w:cs="Times New Roman"/>
          <w:sz w:val="24"/>
          <w:szCs w:val="24"/>
        </w:rPr>
        <w:t xml:space="preserve">the benefit of </w:t>
      </w:r>
      <w:r>
        <w:rPr>
          <w:rFonts w:ascii="Times New Roman" w:hAnsi="Times New Roman" w:cs="Times New Roman"/>
          <w:sz w:val="24"/>
          <w:szCs w:val="24"/>
        </w:rPr>
        <w:t xml:space="preserve">only </w:t>
      </w:r>
      <w:r w:rsidRPr="00C13149">
        <w:rPr>
          <w:rFonts w:ascii="Times New Roman" w:hAnsi="Times New Roman" w:cs="Times New Roman"/>
          <w:sz w:val="24"/>
          <w:szCs w:val="24"/>
        </w:rPr>
        <w:t>regist</w:t>
      </w:r>
      <w:r>
        <w:rPr>
          <w:rFonts w:ascii="Times New Roman" w:hAnsi="Times New Roman" w:cs="Times New Roman"/>
          <w:sz w:val="24"/>
          <w:szCs w:val="24"/>
        </w:rPr>
        <w:t xml:space="preserve">ered </w:t>
      </w:r>
      <w:r w:rsidRPr="00C13149">
        <w:rPr>
          <w:rFonts w:ascii="Times New Roman" w:hAnsi="Times New Roman" w:cs="Times New Roman"/>
          <w:sz w:val="24"/>
          <w:szCs w:val="24"/>
        </w:rPr>
        <w:t>associations</w:t>
      </w:r>
      <w:r>
        <w:rPr>
          <w:rFonts w:ascii="Times New Roman" w:hAnsi="Times New Roman" w:cs="Times New Roman"/>
          <w:sz w:val="24"/>
          <w:szCs w:val="24"/>
        </w:rPr>
        <w:t xml:space="preserve"> of members who are sitting tenants and own stalls (</w:t>
      </w:r>
      <w:r w:rsidRPr="00E96D84">
        <w:rPr>
          <w:rFonts w:ascii="Times New Roman" w:hAnsi="Times New Roman" w:cs="Times New Roman"/>
          <w:i/>
          <w:sz w:val="24"/>
          <w:szCs w:val="24"/>
        </w:rPr>
        <w:t>emidaala</w:t>
      </w:r>
      <w:r>
        <w:rPr>
          <w:rFonts w:ascii="Times New Roman" w:hAnsi="Times New Roman" w:cs="Times New Roman"/>
          <w:sz w:val="24"/>
          <w:szCs w:val="24"/>
        </w:rPr>
        <w:t>) kiosks, etc. in the market</w:t>
      </w:r>
      <w:r w:rsidRPr="00C13149">
        <w:rPr>
          <w:rFonts w:ascii="Times New Roman" w:hAnsi="Times New Roman" w:cs="Times New Roman"/>
          <w:sz w:val="24"/>
          <w:szCs w:val="24"/>
        </w:rPr>
        <w:t xml:space="preserve">, </w:t>
      </w:r>
      <w:r>
        <w:rPr>
          <w:rFonts w:ascii="Times New Roman" w:hAnsi="Times New Roman" w:cs="Times New Roman"/>
          <w:sz w:val="24"/>
          <w:szCs w:val="24"/>
        </w:rPr>
        <w:t xml:space="preserve">where such associations have the </w:t>
      </w:r>
      <w:r w:rsidRPr="00C13149">
        <w:rPr>
          <w:rFonts w:ascii="Times New Roman" w:hAnsi="Times New Roman" w:cs="Times New Roman"/>
          <w:sz w:val="24"/>
          <w:szCs w:val="24"/>
        </w:rPr>
        <w:t>ability to mobili</w:t>
      </w:r>
      <w:r>
        <w:rPr>
          <w:rFonts w:ascii="Times New Roman" w:hAnsi="Times New Roman" w:cs="Times New Roman"/>
          <w:sz w:val="24"/>
          <w:szCs w:val="24"/>
        </w:rPr>
        <w:t>se funds and at the same time have the technical capacity to develop and manage the market</w:t>
      </w:r>
      <w:r w:rsidRPr="00C13149">
        <w:rPr>
          <w:rFonts w:ascii="Times New Roman" w:hAnsi="Times New Roman" w:cs="Times New Roman"/>
          <w:sz w:val="24"/>
          <w:szCs w:val="24"/>
        </w:rPr>
        <w:t xml:space="preserve">, </w:t>
      </w:r>
      <w:r>
        <w:rPr>
          <w:rFonts w:ascii="Times New Roman" w:hAnsi="Times New Roman" w:cs="Times New Roman"/>
          <w:sz w:val="24"/>
          <w:szCs w:val="24"/>
        </w:rPr>
        <w:t xml:space="preserve">or where they lack such capacity, where such associations have </w:t>
      </w:r>
      <w:r w:rsidRPr="00C13149">
        <w:rPr>
          <w:rFonts w:ascii="Times New Roman" w:hAnsi="Times New Roman" w:cs="Times New Roman"/>
          <w:sz w:val="24"/>
          <w:szCs w:val="24"/>
        </w:rPr>
        <w:t>join</w:t>
      </w:r>
      <w:r>
        <w:rPr>
          <w:rFonts w:ascii="Times New Roman" w:hAnsi="Times New Roman" w:cs="Times New Roman"/>
          <w:sz w:val="24"/>
          <w:szCs w:val="24"/>
        </w:rPr>
        <w:t>ed</w:t>
      </w:r>
      <w:r w:rsidRPr="00C13149">
        <w:rPr>
          <w:rFonts w:ascii="Times New Roman" w:hAnsi="Times New Roman" w:cs="Times New Roman"/>
          <w:sz w:val="24"/>
          <w:szCs w:val="24"/>
        </w:rPr>
        <w:t xml:space="preserve"> in partnership with persons </w:t>
      </w:r>
      <w:r>
        <w:rPr>
          <w:rFonts w:ascii="Times New Roman" w:hAnsi="Times New Roman" w:cs="Times New Roman"/>
          <w:sz w:val="24"/>
          <w:szCs w:val="24"/>
        </w:rPr>
        <w:t>of financial means and capacity</w:t>
      </w:r>
      <w:r w:rsidR="00940ECD">
        <w:rPr>
          <w:rFonts w:ascii="Times New Roman" w:hAnsi="Times New Roman" w:cs="Times New Roman"/>
          <w:sz w:val="24"/>
          <w:szCs w:val="24"/>
        </w:rPr>
        <w:t xml:space="preserve">, </w:t>
      </w:r>
      <w:r>
        <w:rPr>
          <w:rFonts w:ascii="Times New Roman" w:hAnsi="Times New Roman" w:cs="Times New Roman"/>
          <w:sz w:val="24"/>
          <w:szCs w:val="24"/>
        </w:rPr>
        <w:t xml:space="preserve">runs contrary to the general policy behind </w:t>
      </w:r>
      <w:r w:rsidR="00940ECD">
        <w:rPr>
          <w:rFonts w:ascii="Times New Roman" w:hAnsi="Times New Roman" w:cs="Times New Roman"/>
          <w:sz w:val="24"/>
          <w:szCs w:val="24"/>
        </w:rPr>
        <w:t xml:space="preserve">enactment of </w:t>
      </w:r>
      <w:r w:rsidR="00940ECD" w:rsidRPr="007E1740">
        <w:rPr>
          <w:rFonts w:ascii="Times New Roman" w:hAnsi="Times New Roman" w:cs="Times New Roman"/>
          <w:i/>
          <w:sz w:val="24"/>
          <w:szCs w:val="24"/>
        </w:rPr>
        <w:t>The Public Procurement and Disposal of Public Assets Act, 2003</w:t>
      </w:r>
      <w:r w:rsidR="000D602D">
        <w:rPr>
          <w:rFonts w:ascii="Times New Roman" w:hAnsi="Times New Roman" w:cs="Times New Roman"/>
          <w:sz w:val="24"/>
          <w:szCs w:val="24"/>
        </w:rPr>
        <w:t xml:space="preserve">, i.e. promoting;- </w:t>
      </w:r>
      <w:r w:rsidR="00940ECD" w:rsidRPr="00940ECD">
        <w:rPr>
          <w:rFonts w:ascii="Times New Roman" w:hAnsi="Times New Roman" w:cs="Times New Roman"/>
          <w:sz w:val="24"/>
          <w:szCs w:val="24"/>
        </w:rPr>
        <w:t>non-discrimination,</w:t>
      </w:r>
      <w:r w:rsidR="000D602D">
        <w:rPr>
          <w:rFonts w:ascii="Times New Roman" w:hAnsi="Times New Roman" w:cs="Times New Roman"/>
          <w:sz w:val="24"/>
          <w:szCs w:val="24"/>
        </w:rPr>
        <w:t xml:space="preserve"> </w:t>
      </w:r>
      <w:r w:rsidR="00940ECD" w:rsidRPr="00940ECD">
        <w:rPr>
          <w:rFonts w:ascii="Times New Roman" w:hAnsi="Times New Roman" w:cs="Times New Roman"/>
          <w:sz w:val="24"/>
          <w:szCs w:val="24"/>
        </w:rPr>
        <w:t>transparency,</w:t>
      </w:r>
      <w:r w:rsidR="000D602D">
        <w:rPr>
          <w:rFonts w:ascii="Times New Roman" w:hAnsi="Times New Roman" w:cs="Times New Roman"/>
          <w:sz w:val="24"/>
          <w:szCs w:val="24"/>
        </w:rPr>
        <w:t xml:space="preserve"> </w:t>
      </w:r>
      <w:r w:rsidR="00940ECD" w:rsidRPr="00940ECD">
        <w:rPr>
          <w:rFonts w:ascii="Times New Roman" w:hAnsi="Times New Roman" w:cs="Times New Roman"/>
          <w:sz w:val="24"/>
          <w:szCs w:val="24"/>
        </w:rPr>
        <w:t>accountability,</w:t>
      </w:r>
      <w:r w:rsidR="00940ECD">
        <w:rPr>
          <w:rFonts w:ascii="Times New Roman" w:hAnsi="Times New Roman" w:cs="Times New Roman"/>
          <w:sz w:val="24"/>
          <w:szCs w:val="24"/>
        </w:rPr>
        <w:t xml:space="preserve"> </w:t>
      </w:r>
      <w:r w:rsidR="00940ECD" w:rsidRPr="00940ECD">
        <w:rPr>
          <w:rFonts w:ascii="Times New Roman" w:hAnsi="Times New Roman" w:cs="Times New Roman"/>
          <w:sz w:val="24"/>
          <w:szCs w:val="24"/>
        </w:rPr>
        <w:t>fairness,</w:t>
      </w:r>
      <w:r w:rsidR="00940ECD">
        <w:rPr>
          <w:rFonts w:ascii="Times New Roman" w:hAnsi="Times New Roman" w:cs="Times New Roman"/>
          <w:sz w:val="24"/>
          <w:szCs w:val="24"/>
        </w:rPr>
        <w:t xml:space="preserve"> </w:t>
      </w:r>
      <w:r w:rsidR="00940ECD" w:rsidRPr="00940ECD">
        <w:rPr>
          <w:rFonts w:ascii="Times New Roman" w:hAnsi="Times New Roman" w:cs="Times New Roman"/>
          <w:sz w:val="24"/>
          <w:szCs w:val="24"/>
        </w:rPr>
        <w:t>competition,</w:t>
      </w:r>
      <w:r w:rsidR="00940ECD">
        <w:rPr>
          <w:rFonts w:ascii="Times New Roman" w:hAnsi="Times New Roman" w:cs="Times New Roman"/>
          <w:sz w:val="24"/>
          <w:szCs w:val="24"/>
        </w:rPr>
        <w:t xml:space="preserve"> </w:t>
      </w:r>
      <w:r w:rsidR="00940ECD" w:rsidRPr="00940ECD">
        <w:rPr>
          <w:rFonts w:ascii="Times New Roman" w:hAnsi="Times New Roman" w:cs="Times New Roman"/>
          <w:sz w:val="24"/>
          <w:szCs w:val="24"/>
        </w:rPr>
        <w:t>confidentiality,</w:t>
      </w:r>
      <w:r w:rsidR="00940ECD">
        <w:rPr>
          <w:rFonts w:ascii="Times New Roman" w:hAnsi="Times New Roman" w:cs="Times New Roman"/>
          <w:sz w:val="24"/>
          <w:szCs w:val="24"/>
        </w:rPr>
        <w:t xml:space="preserve"> </w:t>
      </w:r>
      <w:r w:rsidR="00940ECD" w:rsidRPr="00940ECD">
        <w:rPr>
          <w:rFonts w:ascii="Times New Roman" w:hAnsi="Times New Roman" w:cs="Times New Roman"/>
          <w:sz w:val="24"/>
          <w:szCs w:val="24"/>
        </w:rPr>
        <w:t>economy and efficiency in</w:t>
      </w:r>
      <w:r w:rsidR="00940ECD">
        <w:rPr>
          <w:rFonts w:ascii="Times New Roman" w:hAnsi="Times New Roman" w:cs="Times New Roman"/>
          <w:sz w:val="24"/>
          <w:szCs w:val="24"/>
        </w:rPr>
        <w:t xml:space="preserve"> public procurement, </w:t>
      </w:r>
      <w:r w:rsidR="000028CA">
        <w:rPr>
          <w:rFonts w:ascii="Times New Roman" w:hAnsi="Times New Roman" w:cs="Times New Roman"/>
          <w:sz w:val="24"/>
          <w:szCs w:val="24"/>
        </w:rPr>
        <w:t xml:space="preserve">with the </w:t>
      </w:r>
      <w:r w:rsidR="000028CA" w:rsidRPr="000028CA">
        <w:rPr>
          <w:rFonts w:ascii="Times New Roman" w:hAnsi="Times New Roman" w:cs="Times New Roman"/>
          <w:sz w:val="24"/>
          <w:szCs w:val="24"/>
        </w:rPr>
        <w:t>ai</w:t>
      </w:r>
      <w:r w:rsidR="000028CA">
        <w:rPr>
          <w:rFonts w:ascii="Times New Roman" w:hAnsi="Times New Roman" w:cs="Times New Roman"/>
          <w:sz w:val="24"/>
          <w:szCs w:val="24"/>
        </w:rPr>
        <w:t xml:space="preserve">m of </w:t>
      </w:r>
      <w:r w:rsidR="000028CA" w:rsidRPr="000028CA">
        <w:rPr>
          <w:rFonts w:ascii="Times New Roman" w:hAnsi="Times New Roman" w:cs="Times New Roman"/>
          <w:sz w:val="24"/>
          <w:szCs w:val="24"/>
        </w:rPr>
        <w:t>secur</w:t>
      </w:r>
      <w:r w:rsidR="000028CA">
        <w:rPr>
          <w:rFonts w:ascii="Times New Roman" w:hAnsi="Times New Roman" w:cs="Times New Roman"/>
          <w:sz w:val="24"/>
          <w:szCs w:val="24"/>
        </w:rPr>
        <w:t xml:space="preserve">ing the best value for public </w:t>
      </w:r>
      <w:r w:rsidR="000028CA" w:rsidRPr="000028CA">
        <w:rPr>
          <w:rFonts w:ascii="Times New Roman" w:hAnsi="Times New Roman" w:cs="Times New Roman"/>
          <w:sz w:val="24"/>
          <w:szCs w:val="24"/>
        </w:rPr>
        <w:t>money</w:t>
      </w:r>
      <w:r w:rsidR="000028CA">
        <w:rPr>
          <w:rFonts w:ascii="Times New Roman" w:hAnsi="Times New Roman" w:cs="Times New Roman"/>
          <w:sz w:val="24"/>
          <w:szCs w:val="24"/>
        </w:rPr>
        <w:t>,</w:t>
      </w:r>
      <w:r w:rsidR="000028CA" w:rsidRPr="000028CA">
        <w:rPr>
          <w:rFonts w:ascii="Times New Roman" w:hAnsi="Times New Roman" w:cs="Times New Roman"/>
          <w:sz w:val="24"/>
          <w:szCs w:val="24"/>
        </w:rPr>
        <w:t xml:space="preserve"> </w:t>
      </w:r>
      <w:r w:rsidR="00940ECD">
        <w:rPr>
          <w:rFonts w:ascii="Times New Roman" w:hAnsi="Times New Roman" w:cs="Times New Roman"/>
          <w:sz w:val="24"/>
          <w:szCs w:val="24"/>
        </w:rPr>
        <w:t xml:space="preserve">it would appear that </w:t>
      </w:r>
      <w:r w:rsidR="00940ECD" w:rsidRPr="00E413B8">
        <w:rPr>
          <w:rFonts w:ascii="Times New Roman" w:hAnsi="Times New Roman" w:cs="Times New Roman"/>
          <w:i/>
          <w:sz w:val="24"/>
          <w:szCs w:val="24"/>
        </w:rPr>
        <w:t>The Government Policy on the Development and Management of Markets in the City, Municipalities and Towns</w:t>
      </w:r>
      <w:r w:rsidR="00940ECD">
        <w:rPr>
          <w:rFonts w:ascii="Times New Roman" w:hAnsi="Times New Roman" w:cs="Times New Roman"/>
          <w:sz w:val="24"/>
          <w:szCs w:val="24"/>
        </w:rPr>
        <w:t xml:space="preserve"> places </w:t>
      </w:r>
      <w:r w:rsidR="000028CA">
        <w:rPr>
          <w:rFonts w:ascii="Times New Roman" w:hAnsi="Times New Roman" w:cs="Times New Roman"/>
          <w:sz w:val="24"/>
          <w:szCs w:val="24"/>
        </w:rPr>
        <w:t xml:space="preserve">the </w:t>
      </w:r>
      <w:r w:rsidR="00940ECD">
        <w:rPr>
          <w:rFonts w:ascii="Times New Roman" w:hAnsi="Times New Roman" w:cs="Times New Roman"/>
          <w:sz w:val="24"/>
          <w:szCs w:val="24"/>
        </w:rPr>
        <w:t xml:space="preserve">resolving </w:t>
      </w:r>
      <w:r w:rsidR="000028CA">
        <w:rPr>
          <w:rFonts w:ascii="Times New Roman" w:hAnsi="Times New Roman" w:cs="Times New Roman"/>
          <w:sz w:val="24"/>
          <w:szCs w:val="24"/>
        </w:rPr>
        <w:t xml:space="preserve">of </w:t>
      </w:r>
      <w:r w:rsidR="00940ECD">
        <w:rPr>
          <w:rFonts w:ascii="Times New Roman" w:hAnsi="Times New Roman" w:cs="Times New Roman"/>
          <w:sz w:val="24"/>
          <w:szCs w:val="24"/>
        </w:rPr>
        <w:t>disputes over the management and re-development of markets in Kampala City and other Local Governments and allowing market vendors and other stakeholders to settle down on their work</w:t>
      </w:r>
      <w:r w:rsidR="000028CA">
        <w:rPr>
          <w:rFonts w:ascii="Times New Roman" w:hAnsi="Times New Roman" w:cs="Times New Roman"/>
          <w:sz w:val="24"/>
          <w:szCs w:val="24"/>
        </w:rPr>
        <w:t>,</w:t>
      </w:r>
      <w:r w:rsidR="00940ECD">
        <w:rPr>
          <w:rFonts w:ascii="Times New Roman" w:hAnsi="Times New Roman" w:cs="Times New Roman"/>
          <w:sz w:val="24"/>
          <w:szCs w:val="24"/>
        </w:rPr>
        <w:t xml:space="preserve"> before those </w:t>
      </w:r>
      <w:r w:rsidR="000D602D">
        <w:rPr>
          <w:rFonts w:ascii="Times New Roman" w:hAnsi="Times New Roman" w:cs="Times New Roman"/>
          <w:sz w:val="24"/>
          <w:szCs w:val="24"/>
        </w:rPr>
        <w:t xml:space="preserve">general policy </w:t>
      </w:r>
      <w:r w:rsidR="00940ECD">
        <w:rPr>
          <w:rFonts w:ascii="Times New Roman" w:hAnsi="Times New Roman" w:cs="Times New Roman"/>
          <w:sz w:val="24"/>
          <w:szCs w:val="24"/>
        </w:rPr>
        <w:t xml:space="preserve">values. </w:t>
      </w:r>
      <w:r w:rsidR="000028CA" w:rsidRPr="000028CA">
        <w:rPr>
          <w:rFonts w:ascii="Times New Roman" w:hAnsi="Times New Roman" w:cs="Times New Roman"/>
          <w:sz w:val="24"/>
          <w:szCs w:val="24"/>
        </w:rPr>
        <w:t xml:space="preserve">The primary objective of an effective procurement </w:t>
      </w:r>
      <w:r w:rsidR="000028CA">
        <w:rPr>
          <w:rFonts w:ascii="Times New Roman" w:hAnsi="Times New Roman" w:cs="Times New Roman"/>
          <w:sz w:val="24"/>
          <w:szCs w:val="24"/>
        </w:rPr>
        <w:t xml:space="preserve">law or </w:t>
      </w:r>
      <w:r w:rsidR="000028CA" w:rsidRPr="000028CA">
        <w:rPr>
          <w:rFonts w:ascii="Times New Roman" w:hAnsi="Times New Roman" w:cs="Times New Roman"/>
          <w:sz w:val="24"/>
          <w:szCs w:val="24"/>
        </w:rPr>
        <w:t xml:space="preserve">policy is the promotion of efficiency, i.e. the selection of the supplier with the lowest price or, more generally, the achievement of the best “value for money”. </w:t>
      </w:r>
      <w:r w:rsidR="00940ECD">
        <w:rPr>
          <w:rFonts w:ascii="Times New Roman" w:hAnsi="Times New Roman" w:cs="Times New Roman"/>
          <w:sz w:val="24"/>
          <w:szCs w:val="24"/>
        </w:rPr>
        <w:t xml:space="preserve">As commented before, it is not for the court to question the wisdom of such decisions </w:t>
      </w:r>
      <w:r w:rsidR="000D602D">
        <w:rPr>
          <w:rFonts w:ascii="Times New Roman" w:hAnsi="Times New Roman" w:cs="Times New Roman"/>
          <w:sz w:val="24"/>
          <w:szCs w:val="24"/>
        </w:rPr>
        <w:t xml:space="preserve">as placing markets stability before value for money by open competition </w:t>
      </w:r>
      <w:r w:rsidR="00940ECD">
        <w:rPr>
          <w:rFonts w:ascii="Times New Roman" w:hAnsi="Times New Roman" w:cs="Times New Roman"/>
          <w:sz w:val="24"/>
          <w:szCs w:val="24"/>
        </w:rPr>
        <w:t xml:space="preserve">since </w:t>
      </w:r>
      <w:r w:rsidR="00940ECD" w:rsidRPr="00090546">
        <w:rPr>
          <w:rFonts w:ascii="Times New Roman" w:hAnsi="Times New Roman" w:cs="Times New Roman"/>
          <w:sz w:val="24"/>
          <w:szCs w:val="24"/>
        </w:rPr>
        <w:t xml:space="preserve">Government </w:t>
      </w:r>
      <w:r w:rsidR="00940ECD">
        <w:rPr>
          <w:rFonts w:ascii="Times New Roman" w:hAnsi="Times New Roman" w:cs="Times New Roman"/>
          <w:sz w:val="24"/>
          <w:szCs w:val="24"/>
        </w:rPr>
        <w:t>ordinarily</w:t>
      </w:r>
      <w:r w:rsidR="00940ECD" w:rsidRPr="00090546">
        <w:rPr>
          <w:rFonts w:ascii="Times New Roman" w:hAnsi="Times New Roman" w:cs="Times New Roman"/>
          <w:sz w:val="24"/>
          <w:szCs w:val="24"/>
        </w:rPr>
        <w:t xml:space="preserve"> take</w:t>
      </w:r>
      <w:r w:rsidR="00940ECD">
        <w:rPr>
          <w:rFonts w:ascii="Times New Roman" w:hAnsi="Times New Roman" w:cs="Times New Roman"/>
          <w:sz w:val="24"/>
          <w:szCs w:val="24"/>
        </w:rPr>
        <w:t>s</w:t>
      </w:r>
      <w:r w:rsidR="00940ECD" w:rsidRPr="00090546">
        <w:rPr>
          <w:rFonts w:ascii="Times New Roman" w:hAnsi="Times New Roman" w:cs="Times New Roman"/>
          <w:sz w:val="24"/>
          <w:szCs w:val="24"/>
        </w:rPr>
        <w:t xml:space="preserve"> diverse factors </w:t>
      </w:r>
      <w:r w:rsidR="00940ECD">
        <w:rPr>
          <w:rFonts w:ascii="Times New Roman" w:hAnsi="Times New Roman" w:cs="Times New Roman"/>
          <w:sz w:val="24"/>
          <w:szCs w:val="24"/>
        </w:rPr>
        <w:t>when</w:t>
      </w:r>
      <w:r w:rsidR="00940ECD" w:rsidRPr="00090546">
        <w:rPr>
          <w:rFonts w:ascii="Times New Roman" w:hAnsi="Times New Roman" w:cs="Times New Roman"/>
          <w:sz w:val="24"/>
          <w:szCs w:val="24"/>
        </w:rPr>
        <w:t xml:space="preserve"> formulating </w:t>
      </w:r>
      <w:r w:rsidR="00940ECD">
        <w:rPr>
          <w:rFonts w:ascii="Times New Roman" w:hAnsi="Times New Roman" w:cs="Times New Roman"/>
          <w:sz w:val="24"/>
          <w:szCs w:val="24"/>
        </w:rPr>
        <w:t>policies and t</w:t>
      </w:r>
      <w:r w:rsidR="00940ECD" w:rsidRPr="00090546">
        <w:rPr>
          <w:rFonts w:ascii="Times New Roman" w:hAnsi="Times New Roman" w:cs="Times New Roman"/>
          <w:sz w:val="24"/>
          <w:szCs w:val="24"/>
        </w:rPr>
        <w:t xml:space="preserve">he court leaves the authority to decide </w:t>
      </w:r>
      <w:r w:rsidR="00940ECD">
        <w:rPr>
          <w:rFonts w:ascii="Times New Roman" w:hAnsi="Times New Roman" w:cs="Times New Roman"/>
          <w:sz w:val="24"/>
          <w:szCs w:val="24"/>
        </w:rPr>
        <w:t>on the</w:t>
      </w:r>
      <w:r w:rsidR="00940ECD" w:rsidRPr="00090546">
        <w:rPr>
          <w:rFonts w:ascii="Times New Roman" w:hAnsi="Times New Roman" w:cs="Times New Roman"/>
          <w:sz w:val="24"/>
          <w:szCs w:val="24"/>
        </w:rPr>
        <w:t xml:space="preserve"> full range of choice</w:t>
      </w:r>
      <w:r w:rsidR="00940ECD">
        <w:rPr>
          <w:rFonts w:ascii="Times New Roman" w:hAnsi="Times New Roman" w:cs="Times New Roman"/>
          <w:sz w:val="24"/>
          <w:szCs w:val="24"/>
        </w:rPr>
        <w:t>s,</w:t>
      </w:r>
      <w:r w:rsidR="00940ECD" w:rsidRPr="00090546">
        <w:rPr>
          <w:rFonts w:ascii="Times New Roman" w:hAnsi="Times New Roman" w:cs="Times New Roman"/>
          <w:sz w:val="24"/>
          <w:szCs w:val="24"/>
        </w:rPr>
        <w:t xml:space="preserve"> within the executive power</w:t>
      </w:r>
      <w:r w:rsidR="00940ECD">
        <w:rPr>
          <w:rFonts w:ascii="Times New Roman" w:hAnsi="Times New Roman" w:cs="Times New Roman"/>
          <w:sz w:val="24"/>
          <w:szCs w:val="24"/>
        </w:rPr>
        <w:t xml:space="preserve">. </w:t>
      </w:r>
      <w:r w:rsidR="00304A69" w:rsidRPr="00304A69">
        <w:rPr>
          <w:rFonts w:ascii="Times New Roman" w:hAnsi="Times New Roman" w:cs="Times New Roman"/>
          <w:sz w:val="24"/>
          <w:szCs w:val="24"/>
        </w:rPr>
        <w:t xml:space="preserve">The weighing of social, economic, and political considerations to arrive at a course or principle of action is the proper role of government, not the courts. </w:t>
      </w:r>
    </w:p>
    <w:p w:rsidR="00304A69" w:rsidRDefault="00304A69" w:rsidP="005D103F">
      <w:pPr>
        <w:spacing w:after="0" w:line="360" w:lineRule="auto"/>
        <w:jc w:val="both"/>
        <w:rPr>
          <w:rFonts w:ascii="Times New Roman" w:hAnsi="Times New Roman" w:cs="Times New Roman"/>
          <w:sz w:val="24"/>
          <w:szCs w:val="24"/>
        </w:rPr>
      </w:pPr>
    </w:p>
    <w:p w:rsidR="00940ECD" w:rsidRPr="00940ECD" w:rsidRDefault="000028CA" w:rsidP="005D10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policy </w:t>
      </w:r>
      <w:r w:rsidR="008964FF">
        <w:rPr>
          <w:rFonts w:ascii="Times New Roman" w:hAnsi="Times New Roman" w:cs="Times New Roman"/>
          <w:sz w:val="24"/>
          <w:szCs w:val="24"/>
        </w:rPr>
        <w:t xml:space="preserve">as I understand it </w:t>
      </w:r>
      <w:r>
        <w:rPr>
          <w:rFonts w:ascii="Times New Roman" w:hAnsi="Times New Roman" w:cs="Times New Roman"/>
          <w:sz w:val="24"/>
          <w:szCs w:val="24"/>
        </w:rPr>
        <w:t xml:space="preserve">promotes </w:t>
      </w:r>
      <w:r w:rsidRPr="000028CA">
        <w:rPr>
          <w:rFonts w:ascii="Times New Roman" w:hAnsi="Times New Roman" w:cs="Times New Roman"/>
          <w:sz w:val="24"/>
          <w:szCs w:val="24"/>
        </w:rPr>
        <w:t>achievement of the</w:t>
      </w:r>
      <w:r>
        <w:rPr>
          <w:rFonts w:ascii="Times New Roman" w:hAnsi="Times New Roman" w:cs="Times New Roman"/>
          <w:sz w:val="24"/>
          <w:szCs w:val="24"/>
        </w:rPr>
        <w:t xml:space="preserve"> best “value for money,” to the extent that it can be a</w:t>
      </w:r>
      <w:r w:rsidR="008964FF">
        <w:rPr>
          <w:rFonts w:ascii="Times New Roman" w:hAnsi="Times New Roman" w:cs="Times New Roman"/>
          <w:sz w:val="24"/>
          <w:szCs w:val="24"/>
        </w:rPr>
        <w:t xml:space="preserve">ttained </w:t>
      </w:r>
      <w:r>
        <w:rPr>
          <w:rFonts w:ascii="Times New Roman" w:hAnsi="Times New Roman" w:cs="Times New Roman"/>
          <w:sz w:val="24"/>
          <w:szCs w:val="24"/>
        </w:rPr>
        <w:t xml:space="preserve">without disrupting harmony </w:t>
      </w:r>
      <w:r w:rsidR="000D602D">
        <w:rPr>
          <w:rFonts w:ascii="Times New Roman" w:hAnsi="Times New Roman" w:cs="Times New Roman"/>
          <w:sz w:val="24"/>
          <w:szCs w:val="24"/>
        </w:rPr>
        <w:t xml:space="preserve">and stability </w:t>
      </w:r>
      <w:r>
        <w:rPr>
          <w:rFonts w:ascii="Times New Roman" w:hAnsi="Times New Roman" w:cs="Times New Roman"/>
          <w:sz w:val="24"/>
          <w:szCs w:val="24"/>
        </w:rPr>
        <w:t>in the operation of markets.</w:t>
      </w:r>
      <w:r w:rsidR="008964FF">
        <w:rPr>
          <w:rFonts w:ascii="Times New Roman" w:hAnsi="Times New Roman" w:cs="Times New Roman"/>
          <w:sz w:val="24"/>
          <w:szCs w:val="24"/>
        </w:rPr>
        <w:t xml:space="preserve"> </w:t>
      </w:r>
      <w:r w:rsidR="005D103F">
        <w:rPr>
          <w:rFonts w:ascii="Times New Roman" w:hAnsi="Times New Roman" w:cs="Times New Roman"/>
          <w:sz w:val="24"/>
          <w:szCs w:val="24"/>
        </w:rPr>
        <w:t>T</w:t>
      </w:r>
      <w:r w:rsidR="005D103F" w:rsidRPr="005D103F">
        <w:rPr>
          <w:rFonts w:ascii="Times New Roman" w:hAnsi="Times New Roman" w:cs="Times New Roman"/>
          <w:sz w:val="24"/>
          <w:szCs w:val="24"/>
        </w:rPr>
        <w:t xml:space="preserve">he  resulting  failure  to  achieve  best  value  for  money  </w:t>
      </w:r>
      <w:r w:rsidR="000D602D">
        <w:rPr>
          <w:rFonts w:ascii="Times New Roman" w:hAnsi="Times New Roman" w:cs="Times New Roman"/>
          <w:sz w:val="24"/>
          <w:szCs w:val="24"/>
        </w:rPr>
        <w:t xml:space="preserve">optimally </w:t>
      </w:r>
      <w:r w:rsidR="005D103F" w:rsidRPr="005D103F">
        <w:rPr>
          <w:rFonts w:ascii="Times New Roman" w:hAnsi="Times New Roman" w:cs="Times New Roman"/>
          <w:sz w:val="24"/>
          <w:szCs w:val="24"/>
        </w:rPr>
        <w:t xml:space="preserve">has  a  negative impact on the </w:t>
      </w:r>
      <w:r w:rsidR="005D103F">
        <w:rPr>
          <w:rFonts w:ascii="Times New Roman" w:hAnsi="Times New Roman" w:cs="Times New Roman"/>
          <w:sz w:val="24"/>
          <w:szCs w:val="24"/>
        </w:rPr>
        <w:t xml:space="preserve">revenue of the Local Government and ultimately the </w:t>
      </w:r>
      <w:r w:rsidR="005D103F" w:rsidRPr="005D103F">
        <w:rPr>
          <w:rFonts w:ascii="Times New Roman" w:hAnsi="Times New Roman" w:cs="Times New Roman"/>
          <w:sz w:val="24"/>
          <w:szCs w:val="24"/>
        </w:rPr>
        <w:t xml:space="preserve">range and depth of services and </w:t>
      </w:r>
      <w:r w:rsidR="005D103F" w:rsidRPr="005D103F">
        <w:rPr>
          <w:rFonts w:ascii="Times New Roman" w:hAnsi="Times New Roman" w:cs="Times New Roman"/>
          <w:sz w:val="24"/>
          <w:szCs w:val="24"/>
        </w:rPr>
        <w:lastRenderedPageBreak/>
        <w:t xml:space="preserve">infrastructure </w:t>
      </w:r>
      <w:r w:rsidR="005D103F">
        <w:rPr>
          <w:rFonts w:ascii="Times New Roman" w:hAnsi="Times New Roman" w:cs="Times New Roman"/>
          <w:sz w:val="24"/>
          <w:szCs w:val="24"/>
        </w:rPr>
        <w:t>the Local Government</w:t>
      </w:r>
      <w:r w:rsidR="005D103F" w:rsidRPr="005D103F">
        <w:rPr>
          <w:rFonts w:ascii="Times New Roman" w:hAnsi="Times New Roman" w:cs="Times New Roman"/>
          <w:sz w:val="24"/>
          <w:szCs w:val="24"/>
        </w:rPr>
        <w:t xml:space="preserve"> can provide.</w:t>
      </w:r>
      <w:r w:rsidR="005D103F">
        <w:rPr>
          <w:rFonts w:ascii="Times New Roman" w:hAnsi="Times New Roman" w:cs="Times New Roman"/>
          <w:sz w:val="24"/>
          <w:szCs w:val="24"/>
        </w:rPr>
        <w:t xml:space="preserve"> Understandably</w:t>
      </w:r>
      <w:r w:rsidR="008964FF">
        <w:rPr>
          <w:rFonts w:ascii="Times New Roman" w:hAnsi="Times New Roman" w:cs="Times New Roman"/>
          <w:sz w:val="24"/>
          <w:szCs w:val="24"/>
        </w:rPr>
        <w:t xml:space="preserve">, aspects of the full benefits of open competition in achieving </w:t>
      </w:r>
      <w:r w:rsidR="008964FF" w:rsidRPr="000028CA">
        <w:rPr>
          <w:rFonts w:ascii="Times New Roman" w:hAnsi="Times New Roman" w:cs="Times New Roman"/>
          <w:sz w:val="24"/>
          <w:szCs w:val="24"/>
        </w:rPr>
        <w:t>the</w:t>
      </w:r>
      <w:r w:rsidR="008964FF">
        <w:rPr>
          <w:rFonts w:ascii="Times New Roman" w:hAnsi="Times New Roman" w:cs="Times New Roman"/>
          <w:sz w:val="24"/>
          <w:szCs w:val="24"/>
        </w:rPr>
        <w:t xml:space="preserve"> best “value for money,” must be sacrificed at the altar of promoting harmony</w:t>
      </w:r>
      <w:r w:rsidR="000D602D">
        <w:rPr>
          <w:rFonts w:ascii="Times New Roman" w:hAnsi="Times New Roman" w:cs="Times New Roman"/>
          <w:sz w:val="24"/>
          <w:szCs w:val="24"/>
        </w:rPr>
        <w:t>, stability</w:t>
      </w:r>
      <w:r w:rsidR="008964FF">
        <w:rPr>
          <w:rFonts w:ascii="Times New Roman" w:hAnsi="Times New Roman" w:cs="Times New Roman"/>
          <w:sz w:val="24"/>
          <w:szCs w:val="24"/>
        </w:rPr>
        <w:t xml:space="preserve"> and a peaceful working environment, with minimal wrangles over the management of markets.</w:t>
      </w:r>
    </w:p>
    <w:p w:rsidR="007E1740" w:rsidRDefault="007E1740" w:rsidP="007E1740">
      <w:pPr>
        <w:spacing w:after="0" w:line="360" w:lineRule="auto"/>
        <w:jc w:val="both"/>
        <w:rPr>
          <w:rFonts w:ascii="Times New Roman" w:hAnsi="Times New Roman" w:cs="Times New Roman"/>
          <w:sz w:val="24"/>
          <w:szCs w:val="24"/>
        </w:rPr>
      </w:pPr>
    </w:p>
    <w:p w:rsidR="00B122C7" w:rsidRPr="00161DAA" w:rsidRDefault="00940ECD" w:rsidP="00B12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matters stand, f</w:t>
      </w:r>
      <w:r w:rsidR="007E1740">
        <w:rPr>
          <w:rFonts w:ascii="Times New Roman" w:hAnsi="Times New Roman" w:cs="Times New Roman"/>
          <w:sz w:val="24"/>
          <w:szCs w:val="24"/>
        </w:rPr>
        <w:t>or a</w:t>
      </w:r>
      <w:r>
        <w:rPr>
          <w:rFonts w:ascii="Times New Roman" w:hAnsi="Times New Roman" w:cs="Times New Roman"/>
          <w:sz w:val="24"/>
          <w:szCs w:val="24"/>
        </w:rPr>
        <w:t>ny</w:t>
      </w:r>
      <w:r w:rsidR="007E1740">
        <w:rPr>
          <w:rFonts w:ascii="Times New Roman" w:hAnsi="Times New Roman" w:cs="Times New Roman"/>
          <w:sz w:val="24"/>
          <w:szCs w:val="24"/>
        </w:rPr>
        <w:t xml:space="preserve"> Local </w:t>
      </w:r>
      <w:r w:rsidR="00C13149">
        <w:rPr>
          <w:rFonts w:ascii="Times New Roman" w:hAnsi="Times New Roman" w:cs="Times New Roman"/>
          <w:sz w:val="24"/>
          <w:szCs w:val="24"/>
        </w:rPr>
        <w:t>Government</w:t>
      </w:r>
      <w:r w:rsidR="007E1740">
        <w:rPr>
          <w:rFonts w:ascii="Times New Roman" w:hAnsi="Times New Roman" w:cs="Times New Roman"/>
          <w:sz w:val="24"/>
          <w:szCs w:val="24"/>
        </w:rPr>
        <w:t xml:space="preserve"> to </w:t>
      </w:r>
      <w:r w:rsidR="00C13149">
        <w:rPr>
          <w:rFonts w:ascii="Times New Roman" w:hAnsi="Times New Roman" w:cs="Times New Roman"/>
          <w:sz w:val="24"/>
          <w:szCs w:val="24"/>
        </w:rPr>
        <w:t xml:space="preserve">invite bids for the development and management of any market within its jurisdiction, </w:t>
      </w:r>
      <w:r>
        <w:rPr>
          <w:rFonts w:ascii="Times New Roman" w:hAnsi="Times New Roman" w:cs="Times New Roman"/>
          <w:sz w:val="24"/>
          <w:szCs w:val="24"/>
        </w:rPr>
        <w:t>initiation of the process</w:t>
      </w:r>
      <w:r w:rsidR="00C13149">
        <w:rPr>
          <w:rFonts w:ascii="Times New Roman" w:hAnsi="Times New Roman" w:cs="Times New Roman"/>
          <w:sz w:val="24"/>
          <w:szCs w:val="24"/>
        </w:rPr>
        <w:t xml:space="preserve"> presupposes the existence of; </w:t>
      </w:r>
      <w:r w:rsidR="00C13149" w:rsidRPr="00C13149">
        <w:rPr>
          <w:rFonts w:ascii="Times New Roman" w:hAnsi="Times New Roman" w:cs="Times New Roman"/>
          <w:sz w:val="24"/>
          <w:szCs w:val="24"/>
        </w:rPr>
        <w:t>(</w:t>
      </w:r>
      <w:r w:rsidR="00C13149">
        <w:rPr>
          <w:rFonts w:ascii="Times New Roman" w:hAnsi="Times New Roman" w:cs="Times New Roman"/>
          <w:sz w:val="24"/>
          <w:szCs w:val="24"/>
        </w:rPr>
        <w:t>a</w:t>
      </w:r>
      <w:r w:rsidR="00C13149" w:rsidRPr="00C13149">
        <w:rPr>
          <w:rFonts w:ascii="Times New Roman" w:hAnsi="Times New Roman" w:cs="Times New Roman"/>
          <w:sz w:val="24"/>
          <w:szCs w:val="24"/>
        </w:rPr>
        <w:t>) regist</w:t>
      </w:r>
      <w:r w:rsidR="00C13149">
        <w:rPr>
          <w:rFonts w:ascii="Times New Roman" w:hAnsi="Times New Roman" w:cs="Times New Roman"/>
          <w:sz w:val="24"/>
          <w:szCs w:val="24"/>
        </w:rPr>
        <w:t xml:space="preserve">ered </w:t>
      </w:r>
      <w:r w:rsidR="00C13149" w:rsidRPr="00C13149">
        <w:rPr>
          <w:rFonts w:ascii="Times New Roman" w:hAnsi="Times New Roman" w:cs="Times New Roman"/>
          <w:sz w:val="24"/>
          <w:szCs w:val="24"/>
        </w:rPr>
        <w:t>associations</w:t>
      </w:r>
      <w:r w:rsidR="00C13149">
        <w:rPr>
          <w:rFonts w:ascii="Times New Roman" w:hAnsi="Times New Roman" w:cs="Times New Roman"/>
          <w:sz w:val="24"/>
          <w:szCs w:val="24"/>
        </w:rPr>
        <w:t xml:space="preserve"> of members who are sitting tenants and own stalls (</w:t>
      </w:r>
      <w:r w:rsidR="00C13149" w:rsidRPr="00E96D84">
        <w:rPr>
          <w:rFonts w:ascii="Times New Roman" w:hAnsi="Times New Roman" w:cs="Times New Roman"/>
          <w:i/>
          <w:sz w:val="24"/>
          <w:szCs w:val="24"/>
        </w:rPr>
        <w:t>emidaala</w:t>
      </w:r>
      <w:r w:rsidR="00C13149">
        <w:rPr>
          <w:rFonts w:ascii="Times New Roman" w:hAnsi="Times New Roman" w:cs="Times New Roman"/>
          <w:sz w:val="24"/>
          <w:szCs w:val="24"/>
        </w:rPr>
        <w:t>) kiosks, etc. in the market</w:t>
      </w:r>
      <w:r w:rsidR="00C13149" w:rsidRPr="00C13149">
        <w:rPr>
          <w:rFonts w:ascii="Times New Roman" w:hAnsi="Times New Roman" w:cs="Times New Roman"/>
          <w:sz w:val="24"/>
          <w:szCs w:val="24"/>
        </w:rPr>
        <w:t>, (</w:t>
      </w:r>
      <w:r w:rsidR="00C13149">
        <w:rPr>
          <w:rFonts w:ascii="Times New Roman" w:hAnsi="Times New Roman" w:cs="Times New Roman"/>
          <w:sz w:val="24"/>
          <w:szCs w:val="24"/>
        </w:rPr>
        <w:t xml:space="preserve">b) </w:t>
      </w:r>
      <w:r w:rsidR="00C13149" w:rsidRPr="00C13149">
        <w:rPr>
          <w:rFonts w:ascii="Times New Roman" w:hAnsi="Times New Roman" w:cs="Times New Roman"/>
          <w:sz w:val="24"/>
          <w:szCs w:val="24"/>
        </w:rPr>
        <w:t xml:space="preserve">ability </w:t>
      </w:r>
      <w:r w:rsidR="00C13149">
        <w:rPr>
          <w:rFonts w:ascii="Times New Roman" w:hAnsi="Times New Roman" w:cs="Times New Roman"/>
          <w:sz w:val="24"/>
          <w:szCs w:val="24"/>
        </w:rPr>
        <w:t>of th</w:t>
      </w:r>
      <w:r>
        <w:rPr>
          <w:rFonts w:ascii="Times New Roman" w:hAnsi="Times New Roman" w:cs="Times New Roman"/>
          <w:sz w:val="24"/>
          <w:szCs w:val="24"/>
        </w:rPr>
        <w:t>ose</w:t>
      </w:r>
      <w:r w:rsidR="00C13149">
        <w:rPr>
          <w:rFonts w:ascii="Times New Roman" w:hAnsi="Times New Roman" w:cs="Times New Roman"/>
          <w:sz w:val="24"/>
          <w:szCs w:val="24"/>
        </w:rPr>
        <w:t xml:space="preserve"> association</w:t>
      </w:r>
      <w:r>
        <w:rPr>
          <w:rFonts w:ascii="Times New Roman" w:hAnsi="Times New Roman" w:cs="Times New Roman"/>
          <w:sz w:val="24"/>
          <w:szCs w:val="24"/>
        </w:rPr>
        <w:t>s</w:t>
      </w:r>
      <w:r w:rsidR="00C13149">
        <w:rPr>
          <w:rFonts w:ascii="Times New Roman" w:hAnsi="Times New Roman" w:cs="Times New Roman"/>
          <w:sz w:val="24"/>
          <w:szCs w:val="24"/>
        </w:rPr>
        <w:t xml:space="preserve"> </w:t>
      </w:r>
      <w:r w:rsidR="00C13149" w:rsidRPr="00C13149">
        <w:rPr>
          <w:rFonts w:ascii="Times New Roman" w:hAnsi="Times New Roman" w:cs="Times New Roman"/>
          <w:sz w:val="24"/>
          <w:szCs w:val="24"/>
        </w:rPr>
        <w:t>to mobili</w:t>
      </w:r>
      <w:r w:rsidR="00C13149">
        <w:rPr>
          <w:rFonts w:ascii="Times New Roman" w:hAnsi="Times New Roman" w:cs="Times New Roman"/>
          <w:sz w:val="24"/>
          <w:szCs w:val="24"/>
        </w:rPr>
        <w:t>se funds and at the same time having the technical capacity to develop and manage the market</w:t>
      </w:r>
      <w:r>
        <w:rPr>
          <w:rFonts w:ascii="Times New Roman" w:hAnsi="Times New Roman" w:cs="Times New Roman"/>
          <w:sz w:val="24"/>
          <w:szCs w:val="24"/>
        </w:rPr>
        <w:t>s</w:t>
      </w:r>
      <w:r w:rsidR="00C13149" w:rsidRPr="00C13149">
        <w:rPr>
          <w:rFonts w:ascii="Times New Roman" w:hAnsi="Times New Roman" w:cs="Times New Roman"/>
          <w:sz w:val="24"/>
          <w:szCs w:val="24"/>
        </w:rPr>
        <w:t xml:space="preserve">, </w:t>
      </w:r>
      <w:r w:rsidR="00C13149">
        <w:rPr>
          <w:rFonts w:ascii="Times New Roman" w:hAnsi="Times New Roman" w:cs="Times New Roman"/>
          <w:sz w:val="24"/>
          <w:szCs w:val="24"/>
        </w:rPr>
        <w:t xml:space="preserve">or where </w:t>
      </w:r>
      <w:r>
        <w:rPr>
          <w:rFonts w:ascii="Times New Roman" w:hAnsi="Times New Roman" w:cs="Times New Roman"/>
          <w:sz w:val="24"/>
          <w:szCs w:val="24"/>
        </w:rPr>
        <w:t xml:space="preserve">they </w:t>
      </w:r>
      <w:r w:rsidR="00C13149">
        <w:rPr>
          <w:rFonts w:ascii="Times New Roman" w:hAnsi="Times New Roman" w:cs="Times New Roman"/>
          <w:sz w:val="24"/>
          <w:szCs w:val="24"/>
        </w:rPr>
        <w:t>lack such capacity, that (d) the association</w:t>
      </w:r>
      <w:r>
        <w:rPr>
          <w:rFonts w:ascii="Times New Roman" w:hAnsi="Times New Roman" w:cs="Times New Roman"/>
          <w:sz w:val="24"/>
          <w:szCs w:val="24"/>
        </w:rPr>
        <w:t>s</w:t>
      </w:r>
      <w:r w:rsidR="00C13149">
        <w:rPr>
          <w:rFonts w:ascii="Times New Roman" w:hAnsi="Times New Roman" w:cs="Times New Roman"/>
          <w:sz w:val="24"/>
          <w:szCs w:val="24"/>
        </w:rPr>
        <w:t xml:space="preserve"> ha</w:t>
      </w:r>
      <w:r>
        <w:rPr>
          <w:rFonts w:ascii="Times New Roman" w:hAnsi="Times New Roman" w:cs="Times New Roman"/>
          <w:sz w:val="24"/>
          <w:szCs w:val="24"/>
        </w:rPr>
        <w:t>ve</w:t>
      </w:r>
      <w:r w:rsidR="00C13149">
        <w:rPr>
          <w:rFonts w:ascii="Times New Roman" w:hAnsi="Times New Roman" w:cs="Times New Roman"/>
          <w:sz w:val="24"/>
          <w:szCs w:val="24"/>
        </w:rPr>
        <w:t xml:space="preserve"> </w:t>
      </w:r>
      <w:r w:rsidR="00C13149" w:rsidRPr="00C13149">
        <w:rPr>
          <w:rFonts w:ascii="Times New Roman" w:hAnsi="Times New Roman" w:cs="Times New Roman"/>
          <w:sz w:val="24"/>
          <w:szCs w:val="24"/>
        </w:rPr>
        <w:t>join</w:t>
      </w:r>
      <w:r w:rsidR="00C13149">
        <w:rPr>
          <w:rFonts w:ascii="Times New Roman" w:hAnsi="Times New Roman" w:cs="Times New Roman"/>
          <w:sz w:val="24"/>
          <w:szCs w:val="24"/>
        </w:rPr>
        <w:t>ed</w:t>
      </w:r>
      <w:r w:rsidR="00C13149" w:rsidRPr="00C13149">
        <w:rPr>
          <w:rFonts w:ascii="Times New Roman" w:hAnsi="Times New Roman" w:cs="Times New Roman"/>
          <w:sz w:val="24"/>
          <w:szCs w:val="24"/>
        </w:rPr>
        <w:t xml:space="preserve"> in partnership with persons </w:t>
      </w:r>
      <w:r w:rsidR="00C13149">
        <w:rPr>
          <w:rFonts w:ascii="Times New Roman" w:hAnsi="Times New Roman" w:cs="Times New Roman"/>
          <w:sz w:val="24"/>
          <w:szCs w:val="24"/>
        </w:rPr>
        <w:t>of financial means and capacity</w:t>
      </w:r>
      <w:r>
        <w:rPr>
          <w:rFonts w:ascii="Times New Roman" w:hAnsi="Times New Roman" w:cs="Times New Roman"/>
          <w:sz w:val="24"/>
          <w:szCs w:val="24"/>
        </w:rPr>
        <w:t xml:space="preserve"> with the ability to do so</w:t>
      </w:r>
      <w:r w:rsidR="00C13149">
        <w:rPr>
          <w:rFonts w:ascii="Times New Roman" w:hAnsi="Times New Roman" w:cs="Times New Roman"/>
          <w:sz w:val="24"/>
          <w:szCs w:val="24"/>
        </w:rPr>
        <w:t xml:space="preserve">. </w:t>
      </w:r>
      <w:r w:rsidR="007B380E" w:rsidRPr="007E1740">
        <w:rPr>
          <w:rFonts w:ascii="Times New Roman" w:hAnsi="Times New Roman" w:cs="Times New Roman"/>
          <w:sz w:val="24"/>
          <w:szCs w:val="24"/>
        </w:rPr>
        <w:t xml:space="preserve">Restricted </w:t>
      </w:r>
      <w:r w:rsidR="007B380E">
        <w:rPr>
          <w:rFonts w:ascii="Times New Roman" w:hAnsi="Times New Roman" w:cs="Times New Roman"/>
          <w:sz w:val="24"/>
          <w:szCs w:val="24"/>
        </w:rPr>
        <w:t>D</w:t>
      </w:r>
      <w:r w:rsidR="007B380E" w:rsidRPr="007E1740">
        <w:rPr>
          <w:rFonts w:ascii="Times New Roman" w:hAnsi="Times New Roman" w:cs="Times New Roman"/>
          <w:sz w:val="24"/>
          <w:szCs w:val="24"/>
        </w:rPr>
        <w:t xml:space="preserve">omestic </w:t>
      </w:r>
      <w:r w:rsidR="007B380E">
        <w:rPr>
          <w:rFonts w:ascii="Times New Roman" w:hAnsi="Times New Roman" w:cs="Times New Roman"/>
          <w:sz w:val="24"/>
          <w:szCs w:val="24"/>
        </w:rPr>
        <w:t>B</w:t>
      </w:r>
      <w:r w:rsidR="007B380E" w:rsidRPr="007E1740">
        <w:rPr>
          <w:rFonts w:ascii="Times New Roman" w:hAnsi="Times New Roman" w:cs="Times New Roman"/>
          <w:sz w:val="24"/>
          <w:szCs w:val="24"/>
        </w:rPr>
        <w:t>idding</w:t>
      </w:r>
      <w:r w:rsidR="007B380E">
        <w:rPr>
          <w:rFonts w:ascii="Times New Roman" w:hAnsi="Times New Roman" w:cs="Times New Roman"/>
          <w:sz w:val="24"/>
          <w:szCs w:val="24"/>
        </w:rPr>
        <w:t xml:space="preserve"> method is to be adopted and the evaluation criteria should accordingly be attuned to these basic criteria. </w:t>
      </w:r>
      <w:r>
        <w:rPr>
          <w:rFonts w:ascii="Times New Roman" w:hAnsi="Times New Roman" w:cs="Times New Roman"/>
          <w:sz w:val="24"/>
          <w:szCs w:val="24"/>
        </w:rPr>
        <w:t>In the absence of associations of that calibre</w:t>
      </w:r>
      <w:r w:rsidR="007B380E">
        <w:rPr>
          <w:rFonts w:ascii="Times New Roman" w:hAnsi="Times New Roman" w:cs="Times New Roman"/>
          <w:sz w:val="24"/>
          <w:szCs w:val="24"/>
        </w:rPr>
        <w:t>, the Local government has no option but to develop the markets themselves and rent them to the vendors giving priority to the sitting / existing vendors. In light of the</w:t>
      </w:r>
      <w:r w:rsidR="00E96D84">
        <w:rPr>
          <w:rFonts w:ascii="Times New Roman" w:hAnsi="Times New Roman" w:cs="Times New Roman"/>
          <w:sz w:val="24"/>
          <w:szCs w:val="24"/>
        </w:rPr>
        <w:t xml:space="preserve"> clear </w:t>
      </w:r>
      <w:r w:rsidR="00E96D84" w:rsidRPr="00E413B8">
        <w:rPr>
          <w:rFonts w:ascii="Times New Roman" w:hAnsi="Times New Roman" w:cs="Times New Roman"/>
          <w:sz w:val="24"/>
          <w:szCs w:val="24"/>
        </w:rPr>
        <w:t xml:space="preserve">policy </w:t>
      </w:r>
      <w:r w:rsidR="00E96D84">
        <w:rPr>
          <w:rFonts w:ascii="Times New Roman" w:hAnsi="Times New Roman" w:cs="Times New Roman"/>
          <w:sz w:val="24"/>
          <w:szCs w:val="24"/>
        </w:rPr>
        <w:t>intention</w:t>
      </w:r>
      <w:r w:rsidR="00E96D84" w:rsidRPr="00E413B8">
        <w:rPr>
          <w:rFonts w:ascii="Times New Roman" w:hAnsi="Times New Roman" w:cs="Times New Roman"/>
          <w:sz w:val="24"/>
          <w:szCs w:val="24"/>
        </w:rPr>
        <w:t xml:space="preserve"> </w:t>
      </w:r>
      <w:r w:rsidR="00E96D84">
        <w:rPr>
          <w:rFonts w:ascii="Times New Roman" w:hAnsi="Times New Roman" w:cs="Times New Roman"/>
          <w:sz w:val="24"/>
          <w:szCs w:val="24"/>
        </w:rPr>
        <w:t xml:space="preserve">and </w:t>
      </w:r>
      <w:r w:rsidR="00E96D84" w:rsidRPr="00E413B8">
        <w:rPr>
          <w:rFonts w:ascii="Times New Roman" w:hAnsi="Times New Roman" w:cs="Times New Roman"/>
          <w:sz w:val="24"/>
          <w:szCs w:val="24"/>
        </w:rPr>
        <w:t xml:space="preserve">decision consciously taken by Government </w:t>
      </w:r>
      <w:r w:rsidR="007B380E">
        <w:rPr>
          <w:rFonts w:ascii="Times New Roman" w:hAnsi="Times New Roman" w:cs="Times New Roman"/>
          <w:sz w:val="24"/>
          <w:szCs w:val="24"/>
        </w:rPr>
        <w:t>for</w:t>
      </w:r>
      <w:r w:rsidR="00E96D84">
        <w:rPr>
          <w:rFonts w:ascii="Times New Roman" w:hAnsi="Times New Roman" w:cs="Times New Roman"/>
          <w:sz w:val="24"/>
          <w:szCs w:val="24"/>
        </w:rPr>
        <w:t xml:space="preserve"> resolving disputes over the management and re-development of markets</w:t>
      </w:r>
      <w:r w:rsidR="007B380E">
        <w:rPr>
          <w:rFonts w:ascii="Times New Roman" w:hAnsi="Times New Roman" w:cs="Times New Roman"/>
          <w:sz w:val="24"/>
          <w:szCs w:val="24"/>
        </w:rPr>
        <w:t>, adopting any other method</w:t>
      </w:r>
      <w:r w:rsidR="00E96D84">
        <w:rPr>
          <w:rFonts w:ascii="Times New Roman" w:hAnsi="Times New Roman" w:cs="Times New Roman"/>
          <w:sz w:val="24"/>
          <w:szCs w:val="24"/>
        </w:rPr>
        <w:t xml:space="preserve"> would </w:t>
      </w:r>
      <w:r w:rsidR="007B380E">
        <w:rPr>
          <w:rFonts w:ascii="Times New Roman" w:hAnsi="Times New Roman" w:cs="Times New Roman"/>
          <w:sz w:val="24"/>
          <w:szCs w:val="24"/>
        </w:rPr>
        <w:t>whittle</w:t>
      </w:r>
      <w:r w:rsidR="00E96D84" w:rsidRPr="00E413B8">
        <w:rPr>
          <w:rFonts w:ascii="Times New Roman" w:hAnsi="Times New Roman" w:cs="Times New Roman"/>
          <w:sz w:val="24"/>
          <w:szCs w:val="24"/>
        </w:rPr>
        <w:t xml:space="preserve"> down</w:t>
      </w:r>
      <w:r w:rsidR="007B380E">
        <w:rPr>
          <w:rFonts w:ascii="Times New Roman" w:hAnsi="Times New Roman" w:cs="Times New Roman"/>
          <w:sz w:val="24"/>
          <w:szCs w:val="24"/>
        </w:rPr>
        <w:t xml:space="preserve"> the policy</w:t>
      </w:r>
      <w:r w:rsidR="00E96D84" w:rsidRPr="00E413B8">
        <w:rPr>
          <w:rFonts w:ascii="Times New Roman" w:hAnsi="Times New Roman" w:cs="Times New Roman"/>
          <w:sz w:val="24"/>
          <w:szCs w:val="24"/>
        </w:rPr>
        <w:t xml:space="preserve">, thereby leading to fresh </w:t>
      </w:r>
      <w:r w:rsidR="00E96D84">
        <w:rPr>
          <w:rFonts w:ascii="Times New Roman" w:hAnsi="Times New Roman" w:cs="Times New Roman"/>
          <w:sz w:val="24"/>
          <w:szCs w:val="24"/>
        </w:rPr>
        <w:t xml:space="preserve">wrangles and </w:t>
      </w:r>
      <w:r w:rsidR="007B380E">
        <w:rPr>
          <w:rFonts w:ascii="Times New Roman" w:hAnsi="Times New Roman" w:cs="Times New Roman"/>
          <w:sz w:val="24"/>
          <w:szCs w:val="24"/>
        </w:rPr>
        <w:t>litigation</w:t>
      </w:r>
      <w:r w:rsidR="00E96D84" w:rsidRPr="00E413B8">
        <w:rPr>
          <w:rFonts w:ascii="Times New Roman" w:hAnsi="Times New Roman" w:cs="Times New Roman"/>
          <w:sz w:val="24"/>
          <w:szCs w:val="24"/>
        </w:rPr>
        <w:t xml:space="preserve"> by various </w:t>
      </w:r>
      <w:r w:rsidR="00E96D84">
        <w:rPr>
          <w:rFonts w:ascii="Times New Roman" w:hAnsi="Times New Roman" w:cs="Times New Roman"/>
          <w:sz w:val="24"/>
          <w:szCs w:val="24"/>
        </w:rPr>
        <w:t>stakeholders</w:t>
      </w:r>
      <w:r w:rsidR="007B380E">
        <w:rPr>
          <w:rFonts w:ascii="Times New Roman" w:hAnsi="Times New Roman" w:cs="Times New Roman"/>
          <w:sz w:val="24"/>
          <w:szCs w:val="24"/>
        </w:rPr>
        <w:t>.</w:t>
      </w:r>
      <w:r w:rsidR="00971B20">
        <w:rPr>
          <w:rFonts w:ascii="Times New Roman" w:hAnsi="Times New Roman" w:cs="Times New Roman"/>
          <w:sz w:val="24"/>
          <w:szCs w:val="24"/>
        </w:rPr>
        <w:t xml:space="preserve"> </w:t>
      </w:r>
      <w:r w:rsidR="000D602D">
        <w:rPr>
          <w:rFonts w:ascii="Times New Roman" w:hAnsi="Times New Roman" w:cs="Times New Roman"/>
          <w:sz w:val="24"/>
          <w:szCs w:val="24"/>
        </w:rPr>
        <w:t xml:space="preserve">Once cognisance of the policy is taken but the procuring entity finds there are no vendors’ associations qualifying, then it should develop the markets itself and rent </w:t>
      </w:r>
      <w:r w:rsidR="00B122C7">
        <w:rPr>
          <w:rFonts w:ascii="Times New Roman" w:hAnsi="Times New Roman" w:cs="Times New Roman"/>
          <w:sz w:val="24"/>
          <w:szCs w:val="24"/>
        </w:rPr>
        <w:t>them</w:t>
      </w:r>
      <w:r w:rsidR="000D602D">
        <w:rPr>
          <w:rFonts w:ascii="Times New Roman" w:hAnsi="Times New Roman" w:cs="Times New Roman"/>
          <w:sz w:val="24"/>
          <w:szCs w:val="24"/>
        </w:rPr>
        <w:t xml:space="preserve"> to the vendors giving priority to the sitting / existing vendors.</w:t>
      </w:r>
      <w:r w:rsidR="00B122C7" w:rsidRPr="00B122C7">
        <w:rPr>
          <w:rFonts w:ascii="Times New Roman" w:hAnsi="Times New Roman" w:cs="Times New Roman"/>
          <w:sz w:val="24"/>
          <w:szCs w:val="24"/>
        </w:rPr>
        <w:t xml:space="preserve"> </w:t>
      </w:r>
      <w:r w:rsidR="00B122C7">
        <w:rPr>
          <w:rFonts w:ascii="Times New Roman" w:hAnsi="Times New Roman" w:cs="Times New Roman"/>
          <w:sz w:val="24"/>
          <w:szCs w:val="24"/>
        </w:rPr>
        <w:t xml:space="preserve">It is trite that all procurement decisions at all levels, inclusive of the primary decision makers and the various tiers of administrative review thereafter, ought to be taken based on </w:t>
      </w:r>
      <w:r w:rsidR="00B122C7" w:rsidRPr="00394CD8">
        <w:rPr>
          <w:rFonts w:ascii="Times New Roman" w:hAnsi="Times New Roman" w:cs="Times New Roman"/>
          <w:sz w:val="24"/>
          <w:szCs w:val="24"/>
        </w:rPr>
        <w:t>the facts</w:t>
      </w:r>
      <w:r w:rsidR="00B122C7">
        <w:rPr>
          <w:rFonts w:ascii="Times New Roman" w:hAnsi="Times New Roman" w:cs="Times New Roman"/>
          <w:sz w:val="24"/>
          <w:szCs w:val="24"/>
        </w:rPr>
        <w:t xml:space="preserve"> </w:t>
      </w:r>
      <w:proofErr w:type="gramStart"/>
      <w:r w:rsidR="00B122C7">
        <w:rPr>
          <w:rFonts w:ascii="Times New Roman" w:hAnsi="Times New Roman" w:cs="Times New Roman"/>
          <w:sz w:val="24"/>
          <w:szCs w:val="24"/>
        </w:rPr>
        <w:t>of each procurement</w:t>
      </w:r>
      <w:proofErr w:type="gramEnd"/>
      <w:r w:rsidR="00B122C7" w:rsidRPr="00394CD8">
        <w:rPr>
          <w:rFonts w:ascii="Times New Roman" w:hAnsi="Times New Roman" w:cs="Times New Roman"/>
          <w:sz w:val="24"/>
          <w:szCs w:val="24"/>
        </w:rPr>
        <w:t xml:space="preserve">, </w:t>
      </w:r>
      <w:r w:rsidR="00B122C7">
        <w:rPr>
          <w:rFonts w:ascii="Times New Roman" w:hAnsi="Times New Roman" w:cs="Times New Roman"/>
          <w:sz w:val="24"/>
          <w:szCs w:val="24"/>
        </w:rPr>
        <w:t xml:space="preserve">in accordance with relevant </w:t>
      </w:r>
      <w:r w:rsidR="00B122C7" w:rsidRPr="00394CD8">
        <w:rPr>
          <w:rFonts w:ascii="Times New Roman" w:hAnsi="Times New Roman" w:cs="Times New Roman"/>
          <w:sz w:val="24"/>
          <w:szCs w:val="24"/>
        </w:rPr>
        <w:t>law and polic</w:t>
      </w:r>
      <w:r w:rsidR="00B122C7">
        <w:rPr>
          <w:rFonts w:ascii="Times New Roman" w:hAnsi="Times New Roman" w:cs="Times New Roman"/>
          <w:sz w:val="24"/>
          <w:szCs w:val="24"/>
        </w:rPr>
        <w:t>ies in place. The Tribunal was therefore correct in its finding that it is not a policy to be ignored by any procuring entity, even where there is no association within its jurisdiction that qualifies under it in a particular market.</w:t>
      </w:r>
    </w:p>
    <w:p w:rsidR="007B380E" w:rsidRDefault="007B380E" w:rsidP="007E1740">
      <w:pPr>
        <w:spacing w:after="0" w:line="360" w:lineRule="auto"/>
        <w:jc w:val="both"/>
        <w:rPr>
          <w:rFonts w:ascii="Times New Roman" w:hAnsi="Times New Roman" w:cs="Times New Roman"/>
          <w:sz w:val="24"/>
          <w:szCs w:val="24"/>
        </w:rPr>
      </w:pPr>
    </w:p>
    <w:p w:rsidR="008964FF" w:rsidRDefault="008964FF" w:rsidP="007E17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duty to implement this policy was expressly cast upon “all District Chairpersons, all Mayors of Municipalities and Chairpersons of Town Councils” to whom the Honourable Minister of Local Government addressed it. The nature of that duty was specified as “to follow these policy guidelines in the process of developing and managing markets in Kampala City and other Local </w:t>
      </w:r>
      <w:r>
        <w:rPr>
          <w:rFonts w:ascii="Times New Roman" w:hAnsi="Times New Roman" w:cs="Times New Roman"/>
          <w:sz w:val="24"/>
          <w:szCs w:val="24"/>
        </w:rPr>
        <w:lastRenderedPageBreak/>
        <w:t>Governments.</w:t>
      </w:r>
      <w:r w:rsidR="00924EF7">
        <w:rPr>
          <w:rFonts w:ascii="Times New Roman" w:hAnsi="Times New Roman" w:cs="Times New Roman"/>
          <w:sz w:val="24"/>
          <w:szCs w:val="24"/>
        </w:rPr>
        <w:t>”</w:t>
      </w:r>
      <w:r>
        <w:rPr>
          <w:rFonts w:ascii="Times New Roman" w:hAnsi="Times New Roman" w:cs="Times New Roman"/>
          <w:sz w:val="24"/>
          <w:szCs w:val="24"/>
        </w:rPr>
        <w:t xml:space="preserve"> The Tribunal interpreted this as imposing a duty upon the addressees to disseminate the policy and sensitize market vendors about it. </w:t>
      </w:r>
      <w:r w:rsidR="00971B20">
        <w:rPr>
          <w:rFonts w:ascii="Times New Roman" w:hAnsi="Times New Roman" w:cs="Times New Roman"/>
          <w:sz w:val="24"/>
          <w:szCs w:val="24"/>
        </w:rPr>
        <w:t>In its own words it stated;</w:t>
      </w:r>
    </w:p>
    <w:p w:rsidR="00971B20" w:rsidRDefault="00971B20" w:rsidP="00971B20">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Unless the Chairperson and the administration of a local government educate the stall owners in markets on this policy, the stall owners would not be aware of its existence nor its benefits and therefore the intention and spirit of the Government Policy on markets will be defeated. Arua DLG had a duty to inform the stall owners in Kubala Market on the Government Policy and to advise them to form associations or cooperatives in order to benefit from the Government Policy. It should be noted that the Government Policy was made in 2007 and the fact that since 2007, Kubala Market has no registered association of stall owners who could have bid to manage the market tells that Arua DLG has failed to implement the policy decision.</w:t>
      </w:r>
    </w:p>
    <w:p w:rsidR="00971B20" w:rsidRDefault="00971B20" w:rsidP="00971B20">
      <w:pPr>
        <w:spacing w:after="0" w:line="360" w:lineRule="auto"/>
        <w:ind w:right="576"/>
        <w:jc w:val="both"/>
        <w:rPr>
          <w:rFonts w:ascii="Times New Roman" w:hAnsi="Times New Roman" w:cs="Times New Roman"/>
          <w:sz w:val="24"/>
          <w:szCs w:val="24"/>
        </w:rPr>
      </w:pPr>
    </w:p>
    <w:p w:rsidR="00E96D84" w:rsidRDefault="00304A69" w:rsidP="00B12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924EF7">
        <w:rPr>
          <w:rFonts w:ascii="Times New Roman" w:hAnsi="Times New Roman" w:cs="Times New Roman"/>
          <w:sz w:val="24"/>
          <w:szCs w:val="24"/>
        </w:rPr>
        <w:t>decentralised</w:t>
      </w:r>
      <w:r>
        <w:rPr>
          <w:rFonts w:ascii="Times New Roman" w:hAnsi="Times New Roman" w:cs="Times New Roman"/>
          <w:sz w:val="24"/>
          <w:szCs w:val="24"/>
        </w:rPr>
        <w:t xml:space="preserve"> system of government, Local</w:t>
      </w:r>
      <w:r w:rsidR="00924EF7">
        <w:rPr>
          <w:rFonts w:ascii="Times New Roman" w:hAnsi="Times New Roman" w:cs="Times New Roman"/>
          <w:sz w:val="24"/>
          <w:szCs w:val="24"/>
        </w:rPr>
        <w:t xml:space="preserve"> Governments are in fact</w:t>
      </w:r>
      <w:r w:rsidRPr="00304A69">
        <w:rPr>
          <w:rFonts w:ascii="Times New Roman" w:hAnsi="Times New Roman" w:cs="Times New Roman"/>
          <w:sz w:val="24"/>
          <w:szCs w:val="24"/>
        </w:rPr>
        <w:t xml:space="preserve"> created precisely for the purpose of implementing </w:t>
      </w:r>
      <w:r w:rsidR="00924EF7">
        <w:rPr>
          <w:rFonts w:ascii="Times New Roman" w:hAnsi="Times New Roman" w:cs="Times New Roman"/>
          <w:sz w:val="24"/>
          <w:szCs w:val="24"/>
        </w:rPr>
        <w:t>Central G</w:t>
      </w:r>
      <w:r w:rsidRPr="00304A69">
        <w:rPr>
          <w:rFonts w:ascii="Times New Roman" w:hAnsi="Times New Roman" w:cs="Times New Roman"/>
          <w:sz w:val="24"/>
          <w:szCs w:val="24"/>
        </w:rPr>
        <w:t xml:space="preserve">overnment policy.  </w:t>
      </w:r>
      <w:r w:rsidR="00924EF7">
        <w:rPr>
          <w:rFonts w:ascii="Times New Roman" w:hAnsi="Times New Roman" w:cs="Times New Roman"/>
          <w:sz w:val="24"/>
          <w:szCs w:val="24"/>
        </w:rPr>
        <w:t>Although the policy instructions given to the District Chairpersons, Mayors of Municipalities and Chairpersons of Town Councils specifically required them only to follow these policy guidelines in the process of developing and managing markets in Kampala City and other Local Governments, and are silent on the  obligation to inform the stall owners in Markets on the Government Policy and to advise them to form associations or cooperatives in order to benefit from the Government Policy, th</w:t>
      </w:r>
      <w:r w:rsidR="00B122C7">
        <w:rPr>
          <w:rFonts w:ascii="Times New Roman" w:hAnsi="Times New Roman" w:cs="Times New Roman"/>
          <w:sz w:val="24"/>
          <w:szCs w:val="24"/>
        </w:rPr>
        <w:t>e latter</w:t>
      </w:r>
      <w:r w:rsidR="00924EF7">
        <w:rPr>
          <w:rFonts w:ascii="Times New Roman" w:hAnsi="Times New Roman" w:cs="Times New Roman"/>
          <w:sz w:val="24"/>
          <w:szCs w:val="24"/>
        </w:rPr>
        <w:t xml:space="preserve"> is implicit in the </w:t>
      </w:r>
      <w:r w:rsidR="00B122C7">
        <w:rPr>
          <w:rFonts w:ascii="Times New Roman" w:hAnsi="Times New Roman" w:cs="Times New Roman"/>
          <w:sz w:val="24"/>
          <w:szCs w:val="24"/>
        </w:rPr>
        <w:t xml:space="preserve">express </w:t>
      </w:r>
      <w:r w:rsidR="00924EF7">
        <w:rPr>
          <w:rFonts w:ascii="Times New Roman" w:hAnsi="Times New Roman" w:cs="Times New Roman"/>
          <w:sz w:val="24"/>
          <w:szCs w:val="24"/>
        </w:rPr>
        <w:t xml:space="preserve">instructions </w:t>
      </w:r>
      <w:r w:rsidR="00B122C7">
        <w:rPr>
          <w:rFonts w:ascii="Times New Roman" w:hAnsi="Times New Roman" w:cs="Times New Roman"/>
          <w:sz w:val="24"/>
          <w:szCs w:val="24"/>
        </w:rPr>
        <w:t>to follow these policy guidelines. O</w:t>
      </w:r>
      <w:r w:rsidR="00924EF7">
        <w:rPr>
          <w:rFonts w:ascii="Times New Roman" w:hAnsi="Times New Roman" w:cs="Times New Roman"/>
          <w:sz w:val="24"/>
          <w:szCs w:val="24"/>
        </w:rPr>
        <w:t>therwise</w:t>
      </w:r>
      <w:r w:rsidRPr="00304A69">
        <w:rPr>
          <w:rFonts w:ascii="Times New Roman" w:hAnsi="Times New Roman" w:cs="Times New Roman"/>
          <w:sz w:val="24"/>
          <w:szCs w:val="24"/>
        </w:rPr>
        <w:t xml:space="preserve"> </w:t>
      </w:r>
      <w:r w:rsidR="00924EF7">
        <w:rPr>
          <w:rFonts w:ascii="Times New Roman" w:hAnsi="Times New Roman" w:cs="Times New Roman"/>
          <w:sz w:val="24"/>
          <w:szCs w:val="24"/>
        </w:rPr>
        <w:t>the policy would fail</w:t>
      </w:r>
      <w:r w:rsidRPr="00304A69">
        <w:rPr>
          <w:rFonts w:ascii="Times New Roman" w:hAnsi="Times New Roman" w:cs="Times New Roman"/>
          <w:sz w:val="24"/>
          <w:szCs w:val="24"/>
        </w:rPr>
        <w:t xml:space="preserve"> </w:t>
      </w:r>
      <w:r w:rsidR="00E96D84">
        <w:rPr>
          <w:rFonts w:ascii="Times New Roman" w:hAnsi="Times New Roman" w:cs="Times New Roman"/>
          <w:sz w:val="24"/>
          <w:szCs w:val="24"/>
        </w:rPr>
        <w:t xml:space="preserve">if no corresponding steps are taken to </w:t>
      </w:r>
      <w:r w:rsidR="00B122C7">
        <w:rPr>
          <w:rFonts w:ascii="Times New Roman" w:hAnsi="Times New Roman" w:cs="Times New Roman"/>
          <w:sz w:val="24"/>
          <w:szCs w:val="24"/>
        </w:rPr>
        <w:t xml:space="preserve">disseminate it and </w:t>
      </w:r>
      <w:r w:rsidR="00E96D84">
        <w:rPr>
          <w:rFonts w:ascii="Times New Roman" w:hAnsi="Times New Roman" w:cs="Times New Roman"/>
          <w:sz w:val="24"/>
          <w:szCs w:val="24"/>
        </w:rPr>
        <w:t>implement</w:t>
      </w:r>
      <w:r w:rsidR="00B122C7">
        <w:rPr>
          <w:rFonts w:ascii="Times New Roman" w:hAnsi="Times New Roman" w:cs="Times New Roman"/>
          <w:sz w:val="24"/>
          <w:szCs w:val="24"/>
        </w:rPr>
        <w:t>ation is restricted</w:t>
      </w:r>
      <w:r w:rsidR="00E96D84">
        <w:rPr>
          <w:rFonts w:ascii="Times New Roman" w:hAnsi="Times New Roman" w:cs="Times New Roman"/>
          <w:sz w:val="24"/>
          <w:szCs w:val="24"/>
        </w:rPr>
        <w:t xml:space="preserve"> </w:t>
      </w:r>
      <w:r w:rsidR="00B122C7">
        <w:rPr>
          <w:rFonts w:ascii="Times New Roman" w:hAnsi="Times New Roman" w:cs="Times New Roman"/>
          <w:sz w:val="24"/>
          <w:szCs w:val="24"/>
        </w:rPr>
        <w:t>to the procurement level</w:t>
      </w:r>
      <w:r w:rsidR="00E96D84">
        <w:rPr>
          <w:rFonts w:ascii="Times New Roman" w:hAnsi="Times New Roman" w:cs="Times New Roman"/>
          <w:sz w:val="24"/>
          <w:szCs w:val="24"/>
        </w:rPr>
        <w:t>.</w:t>
      </w:r>
      <w:r w:rsidR="0051466E" w:rsidRPr="0051466E">
        <w:rPr>
          <w:rFonts w:ascii="Times New Roman" w:hAnsi="Times New Roman" w:cs="Times New Roman"/>
          <w:sz w:val="24"/>
          <w:szCs w:val="24"/>
        </w:rPr>
        <w:t xml:space="preserve"> </w:t>
      </w:r>
      <w:r w:rsidR="0051466E">
        <w:rPr>
          <w:rFonts w:ascii="Times New Roman" w:hAnsi="Times New Roman" w:cs="Times New Roman"/>
          <w:sz w:val="24"/>
          <w:szCs w:val="24"/>
        </w:rPr>
        <w:t>In a d</w:t>
      </w:r>
      <w:r w:rsidR="0051466E" w:rsidRPr="0051466E">
        <w:rPr>
          <w:rFonts w:ascii="Times New Roman" w:hAnsi="Times New Roman" w:cs="Times New Roman"/>
          <w:sz w:val="24"/>
          <w:szCs w:val="24"/>
        </w:rPr>
        <w:t>ecentrali</w:t>
      </w:r>
      <w:r w:rsidR="0051466E">
        <w:rPr>
          <w:rFonts w:ascii="Times New Roman" w:hAnsi="Times New Roman" w:cs="Times New Roman"/>
          <w:sz w:val="24"/>
          <w:szCs w:val="24"/>
        </w:rPr>
        <w:t>sed system of government, Local Governments are</w:t>
      </w:r>
      <w:r w:rsidR="0051466E" w:rsidRPr="0051466E">
        <w:rPr>
          <w:rFonts w:ascii="Times New Roman" w:hAnsi="Times New Roman" w:cs="Times New Roman"/>
          <w:sz w:val="24"/>
          <w:szCs w:val="24"/>
        </w:rPr>
        <w:t xml:space="preserve"> expected to contribute to key elements of good governance, such as increasing people's opportunities for participation in economic, social and political decisions</w:t>
      </w:r>
      <w:r w:rsidR="0051466E">
        <w:rPr>
          <w:rFonts w:ascii="Times New Roman" w:hAnsi="Times New Roman" w:cs="Times New Roman"/>
          <w:sz w:val="24"/>
          <w:szCs w:val="24"/>
        </w:rPr>
        <w:t>.</w:t>
      </w:r>
    </w:p>
    <w:p w:rsidR="00D36B85" w:rsidRDefault="00D36B85" w:rsidP="00B122C7">
      <w:pPr>
        <w:spacing w:after="0" w:line="360" w:lineRule="auto"/>
        <w:jc w:val="both"/>
        <w:rPr>
          <w:rFonts w:ascii="Times New Roman" w:hAnsi="Times New Roman" w:cs="Times New Roman"/>
          <w:sz w:val="24"/>
          <w:szCs w:val="24"/>
        </w:rPr>
      </w:pPr>
    </w:p>
    <w:p w:rsidR="0051466E" w:rsidRDefault="0051466E" w:rsidP="00B12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the</w:t>
      </w:r>
      <w:r w:rsidRPr="0051466E">
        <w:rPr>
          <w:rFonts w:ascii="Times New Roman" w:hAnsi="Times New Roman" w:cs="Times New Roman"/>
          <w:sz w:val="24"/>
          <w:szCs w:val="24"/>
        </w:rPr>
        <w:t xml:space="preserve"> UNDP, </w:t>
      </w:r>
      <w:r w:rsidRPr="0051466E">
        <w:rPr>
          <w:rFonts w:ascii="Times New Roman" w:hAnsi="Times New Roman" w:cs="Times New Roman"/>
          <w:i/>
          <w:sz w:val="24"/>
          <w:szCs w:val="24"/>
        </w:rPr>
        <w:t>Decentralized Governance Programme:  Strengthening Capacity for People-Centered Development,   Management Development and Governance Division, Bureau for Development Policy</w:t>
      </w:r>
      <w:r w:rsidRPr="0051466E">
        <w:rPr>
          <w:rFonts w:ascii="Times New Roman" w:hAnsi="Times New Roman" w:cs="Times New Roman"/>
          <w:sz w:val="24"/>
          <w:szCs w:val="24"/>
        </w:rPr>
        <w:t xml:space="preserve">, September 1997, </w:t>
      </w:r>
      <w:r>
        <w:rPr>
          <w:rFonts w:ascii="Times New Roman" w:hAnsi="Times New Roman" w:cs="Times New Roman"/>
          <w:sz w:val="24"/>
          <w:szCs w:val="24"/>
        </w:rPr>
        <w:t xml:space="preserve">at </w:t>
      </w:r>
      <w:r w:rsidRPr="0051466E">
        <w:rPr>
          <w:rFonts w:ascii="Times New Roman" w:hAnsi="Times New Roman" w:cs="Times New Roman"/>
          <w:sz w:val="24"/>
          <w:szCs w:val="24"/>
        </w:rPr>
        <w:t>p. 4</w:t>
      </w:r>
      <w:r>
        <w:rPr>
          <w:rFonts w:ascii="Times New Roman" w:hAnsi="Times New Roman" w:cs="Times New Roman"/>
          <w:sz w:val="24"/>
          <w:szCs w:val="24"/>
        </w:rPr>
        <w:t>;</w:t>
      </w:r>
    </w:p>
    <w:p w:rsidR="0051466E" w:rsidRDefault="0051466E" w:rsidP="0051466E">
      <w:pPr>
        <w:spacing w:after="0"/>
        <w:ind w:left="576" w:right="576"/>
        <w:jc w:val="both"/>
        <w:rPr>
          <w:rFonts w:ascii="Times New Roman" w:hAnsi="Times New Roman" w:cs="Times New Roman"/>
          <w:sz w:val="24"/>
          <w:szCs w:val="24"/>
        </w:rPr>
      </w:pPr>
      <w:r w:rsidRPr="0051466E">
        <w:rPr>
          <w:rFonts w:ascii="Times New Roman" w:hAnsi="Times New Roman" w:cs="Times New Roman"/>
          <w:sz w:val="24"/>
          <w:szCs w:val="24"/>
        </w:rPr>
        <w:t>Decentralization could also be expected to contribute to key elements of good governance, such as increasing people's opportunities for participation in economic, social and political decisions; assisting in developing people's capacities; and enhancing government responsiveness, transparency and accountability</w:t>
      </w:r>
    </w:p>
    <w:p w:rsidR="0051466E" w:rsidRDefault="0051466E" w:rsidP="00B122C7">
      <w:pPr>
        <w:spacing w:after="0" w:line="360" w:lineRule="auto"/>
        <w:jc w:val="both"/>
        <w:rPr>
          <w:rFonts w:ascii="Times New Roman" w:hAnsi="Times New Roman" w:cs="Times New Roman"/>
          <w:sz w:val="24"/>
          <w:szCs w:val="24"/>
        </w:rPr>
      </w:pPr>
    </w:p>
    <w:p w:rsidR="00497765" w:rsidRDefault="00497765" w:rsidP="00053756">
      <w:pPr>
        <w:spacing w:after="0" w:line="360" w:lineRule="auto"/>
        <w:jc w:val="both"/>
        <w:rPr>
          <w:rFonts w:ascii="Times New Roman" w:hAnsi="Times New Roman" w:cs="Times New Roman"/>
          <w:sz w:val="24"/>
          <w:szCs w:val="24"/>
        </w:rPr>
      </w:pPr>
    </w:p>
    <w:p w:rsidR="00497765" w:rsidRDefault="00437D0C" w:rsidP="00053756">
      <w:pPr>
        <w:spacing w:after="0" w:line="360" w:lineRule="auto"/>
        <w:jc w:val="both"/>
        <w:rPr>
          <w:rFonts w:ascii="Times New Roman" w:hAnsi="Times New Roman" w:cs="Times New Roman"/>
          <w:sz w:val="24"/>
          <w:szCs w:val="24"/>
        </w:rPr>
      </w:pPr>
      <w:r w:rsidRPr="00437D0C">
        <w:rPr>
          <w:rFonts w:ascii="Times New Roman" w:hAnsi="Times New Roman" w:cs="Times New Roman"/>
          <w:sz w:val="24"/>
          <w:szCs w:val="24"/>
        </w:rPr>
        <w:lastRenderedPageBreak/>
        <w:t xml:space="preserve">Olympios Katsiaouni </w:t>
      </w:r>
      <w:r>
        <w:rPr>
          <w:rFonts w:ascii="Times New Roman" w:hAnsi="Times New Roman" w:cs="Times New Roman"/>
          <w:sz w:val="24"/>
          <w:szCs w:val="24"/>
        </w:rPr>
        <w:t>i</w:t>
      </w:r>
      <w:r w:rsidR="00497765">
        <w:rPr>
          <w:rFonts w:ascii="Times New Roman" w:hAnsi="Times New Roman" w:cs="Times New Roman"/>
          <w:sz w:val="24"/>
          <w:szCs w:val="24"/>
        </w:rPr>
        <w:t>n</w:t>
      </w:r>
      <w:r>
        <w:rPr>
          <w:rFonts w:ascii="Times New Roman" w:hAnsi="Times New Roman" w:cs="Times New Roman"/>
          <w:sz w:val="24"/>
          <w:szCs w:val="24"/>
        </w:rPr>
        <w:t xml:space="preserve"> his</w:t>
      </w:r>
      <w:r w:rsidR="00497765">
        <w:rPr>
          <w:rFonts w:ascii="Times New Roman" w:hAnsi="Times New Roman" w:cs="Times New Roman"/>
          <w:sz w:val="24"/>
          <w:szCs w:val="24"/>
        </w:rPr>
        <w:t xml:space="preserve"> publication, </w:t>
      </w:r>
      <w:r w:rsidR="00497765" w:rsidRPr="00497765">
        <w:rPr>
          <w:rFonts w:ascii="Times New Roman" w:hAnsi="Times New Roman" w:cs="Times New Roman"/>
          <w:i/>
          <w:sz w:val="24"/>
          <w:szCs w:val="24"/>
        </w:rPr>
        <w:t>Decentralization: Poverty Reduction Empowerment and Participation</w:t>
      </w:r>
      <w:r w:rsidR="00497765">
        <w:rPr>
          <w:rFonts w:ascii="Times New Roman" w:hAnsi="Times New Roman" w:cs="Times New Roman"/>
          <w:sz w:val="24"/>
          <w:szCs w:val="24"/>
        </w:rPr>
        <w:t xml:space="preserve">, </w:t>
      </w:r>
      <w:r w:rsidR="00497765" w:rsidRPr="00497765">
        <w:rPr>
          <w:rFonts w:ascii="Times New Roman" w:hAnsi="Times New Roman" w:cs="Times New Roman"/>
          <w:sz w:val="24"/>
          <w:szCs w:val="24"/>
        </w:rPr>
        <w:t>United Nations, New York, 2005</w:t>
      </w:r>
      <w:r w:rsidR="00497765">
        <w:rPr>
          <w:rFonts w:ascii="Times New Roman" w:hAnsi="Times New Roman" w:cs="Times New Roman"/>
          <w:sz w:val="24"/>
          <w:szCs w:val="24"/>
        </w:rPr>
        <w:t xml:space="preserve"> (</w:t>
      </w:r>
      <w:r w:rsidR="00497765" w:rsidRPr="00497765">
        <w:rPr>
          <w:rFonts w:ascii="Times New Roman" w:hAnsi="Times New Roman" w:cs="Times New Roman"/>
          <w:sz w:val="24"/>
          <w:szCs w:val="24"/>
        </w:rPr>
        <w:t>ST/ESA/PAD/SER.E/54</w:t>
      </w:r>
      <w:r w:rsidR="00497765">
        <w:rPr>
          <w:rFonts w:ascii="Times New Roman" w:hAnsi="Times New Roman" w:cs="Times New Roman"/>
          <w:sz w:val="24"/>
          <w:szCs w:val="24"/>
        </w:rPr>
        <w:t xml:space="preserve">), </w:t>
      </w:r>
      <w:r w:rsidR="00871C42">
        <w:rPr>
          <w:rFonts w:ascii="Times New Roman" w:hAnsi="Times New Roman" w:cs="Times New Roman"/>
          <w:sz w:val="24"/>
          <w:szCs w:val="24"/>
        </w:rPr>
        <w:t xml:space="preserve">the </w:t>
      </w:r>
      <w:r w:rsidR="00871C42" w:rsidRPr="00871C42">
        <w:rPr>
          <w:rFonts w:ascii="Times New Roman" w:hAnsi="Times New Roman" w:cs="Times New Roman"/>
          <w:sz w:val="24"/>
          <w:szCs w:val="24"/>
        </w:rPr>
        <w:t>Department of Economic and Social Affairs</w:t>
      </w:r>
      <w:r w:rsidR="00871C42">
        <w:rPr>
          <w:rFonts w:ascii="Times New Roman" w:hAnsi="Times New Roman" w:cs="Times New Roman"/>
          <w:sz w:val="24"/>
          <w:szCs w:val="24"/>
        </w:rPr>
        <w:t xml:space="preserve"> state</w:t>
      </w:r>
      <w:r>
        <w:rPr>
          <w:rFonts w:ascii="Times New Roman" w:hAnsi="Times New Roman" w:cs="Times New Roman"/>
          <w:sz w:val="24"/>
          <w:szCs w:val="24"/>
        </w:rPr>
        <w:t>s</w:t>
      </w:r>
      <w:r w:rsidR="00871C42">
        <w:rPr>
          <w:rFonts w:ascii="Times New Roman" w:hAnsi="Times New Roman" w:cs="Times New Roman"/>
          <w:sz w:val="24"/>
          <w:szCs w:val="24"/>
        </w:rPr>
        <w:t xml:space="preserve"> at page 12;</w:t>
      </w:r>
    </w:p>
    <w:p w:rsidR="00871C42" w:rsidRDefault="00871C42" w:rsidP="00871C42">
      <w:pPr>
        <w:spacing w:after="0"/>
        <w:ind w:left="576" w:right="576"/>
        <w:jc w:val="both"/>
        <w:rPr>
          <w:rFonts w:ascii="Times New Roman" w:hAnsi="Times New Roman" w:cs="Times New Roman"/>
          <w:sz w:val="24"/>
          <w:szCs w:val="24"/>
        </w:rPr>
      </w:pPr>
      <w:r w:rsidRPr="00871C42">
        <w:rPr>
          <w:rFonts w:ascii="Times New Roman" w:hAnsi="Times New Roman" w:cs="Times New Roman"/>
          <w:sz w:val="24"/>
          <w:szCs w:val="24"/>
        </w:rPr>
        <w:t>The coupling of decentralization with poverty reduction is a relatively new preoccupation. Traditionally, decentralization was thought in relation to politics, to political sciences, and to the sphere of power play between centre and the periphery, whereas poverty reduction was relegated to economic growth and distribution. This arbitrary division is increasingly thought untenable for good governance is seen as of crucial importance to poverty reduction, and the prerequisites of good governance contain elements of decentralization. The latter deepens the democratic process by engaging communities over decisions that shape their future, and by empowering them in the allocation of resources while holding accountable those that execute decisions on their behalf.</w:t>
      </w:r>
      <w:r w:rsidR="003D6C5F">
        <w:rPr>
          <w:rFonts w:ascii="Times New Roman" w:hAnsi="Times New Roman" w:cs="Times New Roman"/>
          <w:sz w:val="24"/>
          <w:szCs w:val="24"/>
        </w:rPr>
        <w:t>.....</w:t>
      </w:r>
      <w:r w:rsidRPr="00871C42">
        <w:rPr>
          <w:rFonts w:ascii="Times New Roman" w:hAnsi="Times New Roman" w:cs="Times New Roman"/>
          <w:sz w:val="24"/>
          <w:szCs w:val="24"/>
        </w:rPr>
        <w:t xml:space="preserve">  </w:t>
      </w:r>
      <w:r w:rsidR="003D6C5F" w:rsidRPr="003D6C5F">
        <w:rPr>
          <w:rFonts w:ascii="Times New Roman" w:hAnsi="Times New Roman" w:cs="Times New Roman"/>
          <w:sz w:val="24"/>
          <w:szCs w:val="24"/>
        </w:rPr>
        <w:t>The exogenous instruments to decentralization in support of poverty reduction may even be more influential for efficiency considerations alone, and the well targeting of beneficiaries, may go some way but do not in themselves empower the poor.</w:t>
      </w:r>
      <w:r w:rsidRPr="00871C42">
        <w:rPr>
          <w:rFonts w:ascii="Times New Roman" w:hAnsi="Times New Roman" w:cs="Times New Roman"/>
          <w:sz w:val="24"/>
          <w:szCs w:val="24"/>
        </w:rPr>
        <w:t xml:space="preserve"> </w:t>
      </w:r>
    </w:p>
    <w:p w:rsidR="00497765" w:rsidRPr="00497765" w:rsidRDefault="00497765" w:rsidP="00053756">
      <w:pPr>
        <w:spacing w:after="0" w:line="360" w:lineRule="auto"/>
        <w:jc w:val="both"/>
        <w:rPr>
          <w:rFonts w:ascii="Times New Roman" w:hAnsi="Times New Roman" w:cs="Times New Roman"/>
          <w:sz w:val="24"/>
          <w:szCs w:val="24"/>
        </w:rPr>
      </w:pPr>
    </w:p>
    <w:p w:rsidR="00E96D84" w:rsidRDefault="00D36B85" w:rsidP="00053756">
      <w:pPr>
        <w:spacing w:after="0" w:line="360" w:lineRule="auto"/>
        <w:jc w:val="both"/>
        <w:rPr>
          <w:rFonts w:ascii="Times New Roman" w:hAnsi="Times New Roman" w:cs="Times New Roman"/>
          <w:sz w:val="24"/>
          <w:szCs w:val="24"/>
        </w:rPr>
      </w:pPr>
      <w:r w:rsidRPr="00D36B85">
        <w:rPr>
          <w:rFonts w:ascii="Times New Roman" w:hAnsi="Times New Roman" w:cs="Times New Roman"/>
          <w:sz w:val="24"/>
          <w:szCs w:val="24"/>
        </w:rPr>
        <w:t>T</w:t>
      </w:r>
      <w:r w:rsidR="00896A45">
        <w:rPr>
          <w:rFonts w:ascii="Times New Roman" w:hAnsi="Times New Roman" w:cs="Times New Roman"/>
          <w:sz w:val="24"/>
          <w:szCs w:val="24"/>
        </w:rPr>
        <w:t>herefore, in order to</w:t>
      </w:r>
      <w:r w:rsidRPr="00D36B85">
        <w:rPr>
          <w:rFonts w:ascii="Times New Roman" w:hAnsi="Times New Roman" w:cs="Times New Roman"/>
          <w:sz w:val="24"/>
          <w:szCs w:val="24"/>
        </w:rPr>
        <w:t xml:space="preserve"> ensure that </w:t>
      </w:r>
      <w:r w:rsidR="00896A45">
        <w:rPr>
          <w:rFonts w:ascii="Times New Roman" w:hAnsi="Times New Roman" w:cs="Times New Roman"/>
          <w:sz w:val="24"/>
          <w:szCs w:val="24"/>
        </w:rPr>
        <w:t>Central Government Policies</w:t>
      </w:r>
      <w:r w:rsidRPr="00D36B85">
        <w:rPr>
          <w:rFonts w:ascii="Times New Roman" w:hAnsi="Times New Roman" w:cs="Times New Roman"/>
          <w:sz w:val="24"/>
          <w:szCs w:val="24"/>
        </w:rPr>
        <w:t xml:space="preserve"> </w:t>
      </w:r>
      <w:r w:rsidR="00896A45">
        <w:rPr>
          <w:rFonts w:ascii="Times New Roman" w:hAnsi="Times New Roman" w:cs="Times New Roman"/>
          <w:sz w:val="24"/>
          <w:szCs w:val="24"/>
        </w:rPr>
        <w:t xml:space="preserve">such as </w:t>
      </w:r>
      <w:r w:rsidR="00896A45" w:rsidRPr="00E413B8">
        <w:rPr>
          <w:rFonts w:ascii="Times New Roman" w:hAnsi="Times New Roman" w:cs="Times New Roman"/>
          <w:i/>
          <w:sz w:val="24"/>
          <w:szCs w:val="24"/>
        </w:rPr>
        <w:t>The Government Policy on the Development and Management of Markets in the City, Municipalities and Towns</w:t>
      </w:r>
      <w:r w:rsidR="00896A45">
        <w:rPr>
          <w:rFonts w:ascii="Times New Roman" w:hAnsi="Times New Roman" w:cs="Times New Roman"/>
          <w:sz w:val="24"/>
          <w:szCs w:val="24"/>
        </w:rPr>
        <w:t xml:space="preserve"> function</w:t>
      </w:r>
      <w:r w:rsidRPr="00D36B85">
        <w:rPr>
          <w:rFonts w:ascii="Times New Roman" w:hAnsi="Times New Roman" w:cs="Times New Roman"/>
          <w:sz w:val="24"/>
          <w:szCs w:val="24"/>
        </w:rPr>
        <w:t xml:space="preserve"> effectively, </w:t>
      </w:r>
      <w:r>
        <w:rPr>
          <w:rFonts w:ascii="Times New Roman" w:hAnsi="Times New Roman" w:cs="Times New Roman"/>
          <w:sz w:val="24"/>
          <w:szCs w:val="24"/>
        </w:rPr>
        <w:t xml:space="preserve">District Chairpersons, Mayors of Municipalities and Chairpersons of Town Councils </w:t>
      </w:r>
      <w:r w:rsidR="00871C42">
        <w:rPr>
          <w:rFonts w:ascii="Times New Roman" w:hAnsi="Times New Roman" w:cs="Times New Roman"/>
          <w:sz w:val="24"/>
          <w:szCs w:val="24"/>
        </w:rPr>
        <w:t xml:space="preserve">must empower the beneficiaries. By the policy directive </w:t>
      </w:r>
      <w:r w:rsidR="00437D0C">
        <w:rPr>
          <w:rFonts w:ascii="Times New Roman" w:hAnsi="Times New Roman" w:cs="Times New Roman"/>
          <w:sz w:val="24"/>
          <w:szCs w:val="24"/>
        </w:rPr>
        <w:t>disseminated within a decentralised system of government</w:t>
      </w:r>
      <w:r w:rsidR="00871C42">
        <w:rPr>
          <w:rFonts w:ascii="Times New Roman" w:hAnsi="Times New Roman" w:cs="Times New Roman"/>
          <w:sz w:val="24"/>
          <w:szCs w:val="24"/>
        </w:rPr>
        <w:t>, the</w:t>
      </w:r>
      <w:r w:rsidR="00437D0C">
        <w:rPr>
          <w:rFonts w:ascii="Times New Roman" w:hAnsi="Times New Roman" w:cs="Times New Roman"/>
          <w:sz w:val="24"/>
          <w:szCs w:val="24"/>
        </w:rPr>
        <w:t xml:space="preserve"> District Chairpersons, Mayors of Municipalities and Chairpersons of Town Councils</w:t>
      </w:r>
      <w:r w:rsidR="00871C42">
        <w:rPr>
          <w:rFonts w:ascii="Times New Roman" w:hAnsi="Times New Roman" w:cs="Times New Roman"/>
          <w:sz w:val="24"/>
          <w:szCs w:val="24"/>
        </w:rPr>
        <w:t xml:space="preserve"> are </w:t>
      </w:r>
      <w:r w:rsidR="00053756">
        <w:rPr>
          <w:rFonts w:ascii="Times New Roman" w:hAnsi="Times New Roman" w:cs="Times New Roman"/>
          <w:sz w:val="24"/>
          <w:szCs w:val="24"/>
        </w:rPr>
        <w:t>implicitly expect</w:t>
      </w:r>
      <w:r w:rsidR="00871C42">
        <w:rPr>
          <w:rFonts w:ascii="Times New Roman" w:hAnsi="Times New Roman" w:cs="Times New Roman"/>
          <w:sz w:val="24"/>
          <w:szCs w:val="24"/>
        </w:rPr>
        <w:t>ed</w:t>
      </w:r>
      <w:r w:rsidR="00053756">
        <w:rPr>
          <w:rFonts w:ascii="Times New Roman" w:hAnsi="Times New Roman" w:cs="Times New Roman"/>
          <w:sz w:val="24"/>
          <w:szCs w:val="24"/>
        </w:rPr>
        <w:t xml:space="preserve"> to </w:t>
      </w:r>
      <w:r w:rsidRPr="00D36B85">
        <w:rPr>
          <w:rFonts w:ascii="Times New Roman" w:hAnsi="Times New Roman" w:cs="Times New Roman"/>
          <w:sz w:val="24"/>
          <w:szCs w:val="24"/>
        </w:rPr>
        <w:t xml:space="preserve">develop a comprehensive communications strategy through which </w:t>
      </w:r>
      <w:r w:rsidR="00053756">
        <w:rPr>
          <w:rFonts w:ascii="Times New Roman" w:hAnsi="Times New Roman" w:cs="Times New Roman"/>
          <w:sz w:val="24"/>
          <w:szCs w:val="24"/>
        </w:rPr>
        <w:t>to</w:t>
      </w:r>
      <w:r w:rsidRPr="00D36B85">
        <w:rPr>
          <w:rFonts w:ascii="Times New Roman" w:hAnsi="Times New Roman" w:cs="Times New Roman"/>
          <w:sz w:val="24"/>
          <w:szCs w:val="24"/>
        </w:rPr>
        <w:t xml:space="preserve"> publicize the existence of the </w:t>
      </w:r>
      <w:r w:rsidR="00053756">
        <w:rPr>
          <w:rFonts w:ascii="Times New Roman" w:hAnsi="Times New Roman" w:cs="Times New Roman"/>
          <w:sz w:val="24"/>
          <w:szCs w:val="24"/>
        </w:rPr>
        <w:t>policy</w:t>
      </w:r>
      <w:r w:rsidRPr="00D36B85">
        <w:rPr>
          <w:rFonts w:ascii="Times New Roman" w:hAnsi="Times New Roman" w:cs="Times New Roman"/>
          <w:sz w:val="24"/>
          <w:szCs w:val="24"/>
        </w:rPr>
        <w:t xml:space="preserve">, its procedures, beneficiary service standards and the levels at which different types of grievances, concerns, complaints, and questions should be addressed.  The primary target for the communications strategy </w:t>
      </w:r>
      <w:r w:rsidR="00053756">
        <w:rPr>
          <w:rFonts w:ascii="Times New Roman" w:hAnsi="Times New Roman" w:cs="Times New Roman"/>
          <w:sz w:val="24"/>
          <w:szCs w:val="24"/>
        </w:rPr>
        <w:t>should</w:t>
      </w:r>
      <w:r w:rsidRPr="00D36B85">
        <w:rPr>
          <w:rFonts w:ascii="Times New Roman" w:hAnsi="Times New Roman" w:cs="Times New Roman"/>
          <w:sz w:val="24"/>
          <w:szCs w:val="24"/>
        </w:rPr>
        <w:t xml:space="preserve"> be all </w:t>
      </w:r>
      <w:r w:rsidR="00053756">
        <w:rPr>
          <w:rFonts w:ascii="Times New Roman" w:hAnsi="Times New Roman" w:cs="Times New Roman"/>
          <w:sz w:val="24"/>
          <w:szCs w:val="24"/>
        </w:rPr>
        <w:t>policy beneficiaries, c</w:t>
      </w:r>
      <w:r w:rsidRPr="00D36B85">
        <w:rPr>
          <w:rFonts w:ascii="Times New Roman" w:hAnsi="Times New Roman" w:cs="Times New Roman"/>
          <w:sz w:val="24"/>
          <w:szCs w:val="24"/>
        </w:rPr>
        <w:t xml:space="preserve">are </w:t>
      </w:r>
      <w:r w:rsidR="00053756">
        <w:rPr>
          <w:rFonts w:ascii="Times New Roman" w:hAnsi="Times New Roman" w:cs="Times New Roman"/>
          <w:sz w:val="24"/>
          <w:szCs w:val="24"/>
        </w:rPr>
        <w:t>being</w:t>
      </w:r>
      <w:r w:rsidRPr="00D36B85">
        <w:rPr>
          <w:rFonts w:ascii="Times New Roman" w:hAnsi="Times New Roman" w:cs="Times New Roman"/>
          <w:sz w:val="24"/>
          <w:szCs w:val="24"/>
        </w:rPr>
        <w:t xml:space="preserve"> taken to reach those who may be illiterate, lack access to technology, or those who may lack knowledge of basic rights</w:t>
      </w:r>
      <w:r w:rsidR="00053756">
        <w:rPr>
          <w:rFonts w:ascii="Times New Roman" w:hAnsi="Times New Roman" w:cs="Times New Roman"/>
          <w:sz w:val="24"/>
          <w:szCs w:val="24"/>
        </w:rPr>
        <w:t xml:space="preserve"> under the policy</w:t>
      </w:r>
      <w:r w:rsidRPr="00D36B85">
        <w:rPr>
          <w:rFonts w:ascii="Times New Roman" w:hAnsi="Times New Roman" w:cs="Times New Roman"/>
          <w:sz w:val="24"/>
          <w:szCs w:val="24"/>
        </w:rPr>
        <w:t>.</w:t>
      </w:r>
      <w:r w:rsidR="00053756">
        <w:rPr>
          <w:rFonts w:ascii="Times New Roman" w:hAnsi="Times New Roman" w:cs="Times New Roman"/>
          <w:sz w:val="24"/>
          <w:szCs w:val="24"/>
        </w:rPr>
        <w:t xml:space="preserve"> Following the policy guidelines in the process of developing and managing markets in Kampala City and other Local Governments requires dissemination of the policy among the beneficiaries.</w:t>
      </w:r>
      <w:r w:rsidR="00716C9F">
        <w:rPr>
          <w:rFonts w:ascii="Times New Roman" w:hAnsi="Times New Roman" w:cs="Times New Roman"/>
          <w:sz w:val="24"/>
          <w:szCs w:val="24"/>
        </w:rPr>
        <w:t xml:space="preserve"> The Tribunal </w:t>
      </w:r>
      <w:r w:rsidR="00437D0C">
        <w:rPr>
          <w:rFonts w:ascii="Times New Roman" w:hAnsi="Times New Roman" w:cs="Times New Roman"/>
          <w:sz w:val="24"/>
          <w:szCs w:val="24"/>
        </w:rPr>
        <w:t xml:space="preserve">thus </w:t>
      </w:r>
      <w:r w:rsidR="00716C9F">
        <w:rPr>
          <w:rFonts w:ascii="Times New Roman" w:hAnsi="Times New Roman" w:cs="Times New Roman"/>
          <w:sz w:val="24"/>
          <w:szCs w:val="24"/>
        </w:rPr>
        <w:t>came to the correct conclusion. Consequently grounds 1, 2, 3, and 4 of the appeal fail</w:t>
      </w:r>
      <w:r w:rsidR="007E1185">
        <w:rPr>
          <w:rFonts w:ascii="Times New Roman" w:hAnsi="Times New Roman" w:cs="Times New Roman"/>
          <w:sz w:val="24"/>
          <w:szCs w:val="24"/>
        </w:rPr>
        <w:t>.</w:t>
      </w:r>
    </w:p>
    <w:p w:rsidR="00161DAA" w:rsidRDefault="00161DAA" w:rsidP="00B23499">
      <w:pPr>
        <w:spacing w:after="0" w:line="360" w:lineRule="auto"/>
        <w:jc w:val="both"/>
        <w:rPr>
          <w:rFonts w:ascii="Times New Roman" w:hAnsi="Times New Roman" w:cs="Times New Roman"/>
          <w:sz w:val="24"/>
          <w:szCs w:val="24"/>
        </w:rPr>
      </w:pPr>
    </w:p>
    <w:p w:rsidR="00B23499" w:rsidRDefault="007E1185"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6, 7 and 8 </w:t>
      </w:r>
      <w:r w:rsidR="00B23499">
        <w:rPr>
          <w:rFonts w:ascii="Times New Roman" w:hAnsi="Times New Roman" w:cs="Times New Roman"/>
          <w:sz w:val="24"/>
          <w:szCs w:val="24"/>
        </w:rPr>
        <w:t>of th</w:t>
      </w:r>
      <w:r>
        <w:rPr>
          <w:rFonts w:ascii="Times New Roman" w:hAnsi="Times New Roman" w:cs="Times New Roman"/>
          <w:sz w:val="24"/>
          <w:szCs w:val="24"/>
        </w:rPr>
        <w:t>e</w:t>
      </w:r>
      <w:r w:rsidR="00B23499">
        <w:rPr>
          <w:rFonts w:ascii="Times New Roman" w:hAnsi="Times New Roman" w:cs="Times New Roman"/>
          <w:sz w:val="24"/>
          <w:szCs w:val="24"/>
        </w:rPr>
        <w:t xml:space="preserve"> appeal question the scope of powers exercisable by the </w:t>
      </w:r>
      <w:r w:rsidR="00B23499" w:rsidRPr="002E3523">
        <w:rPr>
          <w:rFonts w:ascii="Times New Roman" w:hAnsi="Times New Roman" w:cs="Times New Roman"/>
          <w:sz w:val="24"/>
          <w:szCs w:val="24"/>
        </w:rPr>
        <w:t>Public Procurement and Disposal of Public Assets</w:t>
      </w:r>
      <w:r w:rsidR="00B23499">
        <w:rPr>
          <w:rFonts w:ascii="Times New Roman" w:hAnsi="Times New Roman" w:cs="Times New Roman"/>
          <w:sz w:val="24"/>
          <w:szCs w:val="24"/>
        </w:rPr>
        <w:t xml:space="preserve"> Tribunal when considering applications from </w:t>
      </w:r>
      <w:r w:rsidR="00B23499">
        <w:rPr>
          <w:rFonts w:ascii="Times New Roman" w:hAnsi="Times New Roman" w:cs="Times New Roman"/>
          <w:sz w:val="24"/>
          <w:szCs w:val="24"/>
        </w:rPr>
        <w:lastRenderedPageBreak/>
        <w:t xml:space="preserve">decisions of the appellant. The </w:t>
      </w:r>
      <w:r w:rsidR="00B23499" w:rsidRPr="002E3523">
        <w:rPr>
          <w:rFonts w:ascii="Times New Roman" w:hAnsi="Times New Roman" w:cs="Times New Roman"/>
          <w:sz w:val="24"/>
          <w:szCs w:val="24"/>
        </w:rPr>
        <w:t>Public Procurement and Disposal of Public Assets</w:t>
      </w:r>
      <w:r w:rsidR="00B23499">
        <w:rPr>
          <w:rFonts w:ascii="Times New Roman" w:hAnsi="Times New Roman" w:cs="Times New Roman"/>
          <w:sz w:val="24"/>
          <w:szCs w:val="24"/>
        </w:rPr>
        <w:t xml:space="preserve"> Tribunal </w:t>
      </w:r>
      <w:proofErr w:type="gramStart"/>
      <w:r w:rsidR="00B23499">
        <w:rPr>
          <w:rFonts w:ascii="Times New Roman" w:hAnsi="Times New Roman" w:cs="Times New Roman"/>
          <w:sz w:val="24"/>
          <w:szCs w:val="24"/>
        </w:rPr>
        <w:t>was</w:t>
      </w:r>
      <w:proofErr w:type="gramEnd"/>
      <w:r w:rsidR="00B23499">
        <w:rPr>
          <w:rFonts w:ascii="Times New Roman" w:hAnsi="Times New Roman" w:cs="Times New Roman"/>
          <w:sz w:val="24"/>
          <w:szCs w:val="24"/>
        </w:rPr>
        <w:t xml:space="preserve"> established</w:t>
      </w:r>
      <w:r w:rsidR="00B23499" w:rsidRPr="00590529">
        <w:rPr>
          <w:rFonts w:ascii="Times New Roman" w:hAnsi="Times New Roman" w:cs="Times New Roman"/>
          <w:sz w:val="24"/>
          <w:szCs w:val="24"/>
        </w:rPr>
        <w:t xml:space="preserve"> </w:t>
      </w:r>
      <w:r w:rsidR="00B23499">
        <w:rPr>
          <w:rFonts w:ascii="Times New Roman" w:hAnsi="Times New Roman" w:cs="Times New Roman"/>
          <w:sz w:val="24"/>
          <w:szCs w:val="24"/>
        </w:rPr>
        <w:t xml:space="preserve">by section </w:t>
      </w:r>
      <w:r w:rsidR="00B23499" w:rsidRPr="001926C3">
        <w:rPr>
          <w:rFonts w:ascii="Times New Roman" w:hAnsi="Times New Roman" w:cs="Times New Roman"/>
          <w:sz w:val="24"/>
          <w:szCs w:val="24"/>
        </w:rPr>
        <w:t xml:space="preserve">91B </w:t>
      </w:r>
      <w:r w:rsidR="00B23499">
        <w:rPr>
          <w:rFonts w:ascii="Times New Roman" w:hAnsi="Times New Roman" w:cs="Times New Roman"/>
          <w:sz w:val="24"/>
          <w:szCs w:val="24"/>
        </w:rPr>
        <w:t xml:space="preserve">of </w:t>
      </w:r>
      <w:r w:rsidR="00B23499" w:rsidRPr="00592CA4">
        <w:rPr>
          <w:rFonts w:ascii="Times New Roman" w:hAnsi="Times New Roman" w:cs="Times New Roman"/>
          <w:i/>
          <w:sz w:val="24"/>
          <w:szCs w:val="24"/>
        </w:rPr>
        <w:t>The Public Procurement and Disposal of Public Assets (Amendment) Act, 2011</w:t>
      </w:r>
      <w:r w:rsidR="00B23499">
        <w:rPr>
          <w:rFonts w:ascii="Times New Roman" w:hAnsi="Times New Roman" w:cs="Times New Roman"/>
          <w:sz w:val="24"/>
          <w:szCs w:val="24"/>
        </w:rPr>
        <w:t xml:space="preserve">. Under section 91 I (6) of the same Act, </w:t>
      </w:r>
      <w:r w:rsidR="00B23499" w:rsidRPr="00592CA4">
        <w:rPr>
          <w:rFonts w:ascii="Times New Roman" w:hAnsi="Times New Roman" w:cs="Times New Roman"/>
          <w:sz w:val="24"/>
          <w:szCs w:val="24"/>
        </w:rPr>
        <w:t xml:space="preserve">for the purposes of reviewing a decision of the </w:t>
      </w:r>
      <w:r w:rsidR="00B23499">
        <w:rPr>
          <w:rFonts w:ascii="Times New Roman" w:hAnsi="Times New Roman" w:cs="Times New Roman"/>
          <w:sz w:val="24"/>
          <w:szCs w:val="24"/>
        </w:rPr>
        <w:t xml:space="preserve">appellant, the Tribunal has powers to </w:t>
      </w:r>
      <w:r w:rsidR="00B23499" w:rsidRPr="00592CA4">
        <w:rPr>
          <w:rFonts w:ascii="Times New Roman" w:hAnsi="Times New Roman" w:cs="Times New Roman"/>
          <w:sz w:val="24"/>
          <w:szCs w:val="24"/>
        </w:rPr>
        <w:t>a) affirm</w:t>
      </w:r>
      <w:r w:rsidR="00B23499">
        <w:rPr>
          <w:rFonts w:ascii="Times New Roman" w:hAnsi="Times New Roman" w:cs="Times New Roman"/>
          <w:sz w:val="24"/>
          <w:szCs w:val="24"/>
        </w:rPr>
        <w:t xml:space="preserve"> the decision of the Authority; </w:t>
      </w:r>
      <w:r w:rsidR="00B23499" w:rsidRPr="00592CA4">
        <w:rPr>
          <w:rFonts w:ascii="Times New Roman" w:hAnsi="Times New Roman" w:cs="Times New Roman"/>
          <w:sz w:val="24"/>
          <w:szCs w:val="24"/>
        </w:rPr>
        <w:t>(b) vary th</w:t>
      </w:r>
      <w:r w:rsidR="00B23499">
        <w:rPr>
          <w:rFonts w:ascii="Times New Roman" w:hAnsi="Times New Roman" w:cs="Times New Roman"/>
          <w:sz w:val="24"/>
          <w:szCs w:val="24"/>
        </w:rPr>
        <w:t xml:space="preserve">e decision of the Authority; or </w:t>
      </w:r>
      <w:r w:rsidR="00B23499" w:rsidRPr="00592CA4">
        <w:rPr>
          <w:rFonts w:ascii="Times New Roman" w:hAnsi="Times New Roman" w:cs="Times New Roman"/>
          <w:sz w:val="24"/>
          <w:szCs w:val="24"/>
        </w:rPr>
        <w:t>(c) set aside the decision of the Authority</w:t>
      </w:r>
      <w:r w:rsidR="00B23499">
        <w:rPr>
          <w:rFonts w:ascii="Times New Roman" w:hAnsi="Times New Roman" w:cs="Times New Roman"/>
          <w:sz w:val="24"/>
          <w:szCs w:val="24"/>
        </w:rPr>
        <w:t xml:space="preserve">, and </w:t>
      </w:r>
      <w:r w:rsidR="00B23499" w:rsidRPr="00592CA4">
        <w:rPr>
          <w:rFonts w:ascii="Times New Roman" w:hAnsi="Times New Roman" w:cs="Times New Roman"/>
          <w:sz w:val="24"/>
          <w:szCs w:val="24"/>
        </w:rPr>
        <w:t>(i) make a decision in s</w:t>
      </w:r>
      <w:r w:rsidR="00B23499">
        <w:rPr>
          <w:rFonts w:ascii="Times New Roman" w:hAnsi="Times New Roman" w:cs="Times New Roman"/>
          <w:sz w:val="24"/>
          <w:szCs w:val="24"/>
        </w:rPr>
        <w:t xml:space="preserve">ubstitution for the decision so set aside; or </w:t>
      </w:r>
      <w:r w:rsidR="00B23499" w:rsidRPr="00592CA4">
        <w:rPr>
          <w:rFonts w:ascii="Times New Roman" w:hAnsi="Times New Roman" w:cs="Times New Roman"/>
          <w:sz w:val="24"/>
          <w:szCs w:val="24"/>
        </w:rPr>
        <w:t xml:space="preserve">(ii) refer </w:t>
      </w:r>
      <w:r w:rsidR="00B23499">
        <w:rPr>
          <w:rFonts w:ascii="Times New Roman" w:hAnsi="Times New Roman" w:cs="Times New Roman"/>
          <w:sz w:val="24"/>
          <w:szCs w:val="24"/>
        </w:rPr>
        <w:t xml:space="preserve">the matter to the Authority for </w:t>
      </w:r>
      <w:r w:rsidR="00B23499" w:rsidRPr="00592CA4">
        <w:rPr>
          <w:rFonts w:ascii="Times New Roman" w:hAnsi="Times New Roman" w:cs="Times New Roman"/>
          <w:sz w:val="24"/>
          <w:szCs w:val="24"/>
        </w:rPr>
        <w:t>reconsideration in</w:t>
      </w:r>
      <w:r w:rsidR="00B23499">
        <w:rPr>
          <w:rFonts w:ascii="Times New Roman" w:hAnsi="Times New Roman" w:cs="Times New Roman"/>
          <w:sz w:val="24"/>
          <w:szCs w:val="24"/>
        </w:rPr>
        <w:t xml:space="preserve"> accordance with any directions </w:t>
      </w:r>
      <w:r w:rsidR="00B23499" w:rsidRPr="00592CA4">
        <w:rPr>
          <w:rFonts w:ascii="Times New Roman" w:hAnsi="Times New Roman" w:cs="Times New Roman"/>
          <w:sz w:val="24"/>
          <w:szCs w:val="24"/>
        </w:rPr>
        <w:t>or recommendations of the Tribunal.</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w:t>
      </w:r>
      <w:r w:rsidRPr="00F30DB3">
        <w:rPr>
          <w:rFonts w:ascii="Times New Roman" w:hAnsi="Times New Roman" w:cs="Times New Roman"/>
          <w:sz w:val="24"/>
          <w:szCs w:val="24"/>
        </w:rPr>
        <w:t xml:space="preserve"> </w:t>
      </w:r>
      <w:r>
        <w:rPr>
          <w:rFonts w:ascii="Times New Roman" w:hAnsi="Times New Roman" w:cs="Times New Roman"/>
          <w:sz w:val="24"/>
          <w:szCs w:val="24"/>
        </w:rPr>
        <w:t xml:space="preserve">lies at the apex of the administrative review structures in the area of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This administrative review structure, comprising both internal and external review options, provides </w:t>
      </w:r>
      <w:r w:rsidRPr="00F30DB3">
        <w:rPr>
          <w:rFonts w:ascii="Times New Roman" w:hAnsi="Times New Roman" w:cs="Times New Roman"/>
          <w:sz w:val="24"/>
          <w:szCs w:val="24"/>
        </w:rPr>
        <w:t xml:space="preserve">a mechanism by which a person </w:t>
      </w:r>
      <w:r>
        <w:rPr>
          <w:rFonts w:ascii="Times New Roman" w:hAnsi="Times New Roman" w:cs="Times New Roman"/>
          <w:sz w:val="24"/>
          <w:szCs w:val="24"/>
        </w:rPr>
        <w:t xml:space="preserve">can seek redress against a procurement decision made by a procurement entity that affects them.  It </w:t>
      </w:r>
      <w:r w:rsidRPr="00F30DB3">
        <w:rPr>
          <w:rFonts w:ascii="Times New Roman" w:hAnsi="Times New Roman" w:cs="Times New Roman"/>
          <w:sz w:val="24"/>
          <w:szCs w:val="24"/>
        </w:rPr>
        <w:t xml:space="preserve">also provides </w:t>
      </w:r>
      <w:r>
        <w:rPr>
          <w:rFonts w:ascii="Times New Roman" w:hAnsi="Times New Roman" w:cs="Times New Roman"/>
          <w:sz w:val="24"/>
          <w:szCs w:val="24"/>
        </w:rPr>
        <w:t xml:space="preserve">a mechanism </w:t>
      </w:r>
      <w:r w:rsidRPr="00F30DB3">
        <w:rPr>
          <w:rFonts w:ascii="Times New Roman" w:hAnsi="Times New Roman" w:cs="Times New Roman"/>
          <w:sz w:val="24"/>
          <w:szCs w:val="24"/>
        </w:rPr>
        <w:t xml:space="preserve">for </w:t>
      </w:r>
      <w:r>
        <w:rPr>
          <w:rFonts w:ascii="Times New Roman" w:hAnsi="Times New Roman" w:cs="Times New Roman"/>
          <w:sz w:val="24"/>
          <w:szCs w:val="24"/>
        </w:rPr>
        <w:t>an inexpensive and expeditious rectification of such</w:t>
      </w:r>
      <w:r w:rsidRPr="00F30DB3">
        <w:rPr>
          <w:rFonts w:ascii="Times New Roman" w:hAnsi="Times New Roman" w:cs="Times New Roman"/>
          <w:sz w:val="24"/>
          <w:szCs w:val="24"/>
        </w:rPr>
        <w:t xml:space="preserve"> decisions if they are wrong.</w:t>
      </w:r>
      <w:r>
        <w:rPr>
          <w:rFonts w:ascii="Times New Roman" w:hAnsi="Times New Roman" w:cs="Times New Roman"/>
          <w:sz w:val="24"/>
          <w:szCs w:val="24"/>
        </w:rPr>
        <w:t xml:space="preserve"> It is comprised of four tiers; at the lowest ranks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primary decision makers constituted by the procurement organs of the various procurement entities such as the Evaluation Committees, Contracts Committees and so on. A person aggrieved by decisions taken at that level has recourse to the next tier which is that of the Senior Management level of the procurement entity. This usually is at the level of the Accounting Officer of the entity. That level marks the end of the internal administrative review process. I</w:t>
      </w:r>
      <w:r w:rsidRPr="008B70D6">
        <w:rPr>
          <w:rFonts w:ascii="Times New Roman" w:hAnsi="Times New Roman" w:cs="Times New Roman"/>
          <w:sz w:val="24"/>
          <w:szCs w:val="24"/>
        </w:rPr>
        <w:t>nternal review is easy for applicants to access, and enables a quicker and more inexpensive means of re-examining decisions</w:t>
      </w:r>
      <w:r>
        <w:rPr>
          <w:rFonts w:ascii="Times New Roman" w:hAnsi="Times New Roman" w:cs="Times New Roman"/>
          <w:sz w:val="24"/>
          <w:szCs w:val="24"/>
        </w:rPr>
        <w:t xml:space="preserve"> </w:t>
      </w:r>
      <w:r w:rsidRPr="008B70D6">
        <w:rPr>
          <w:rFonts w:ascii="Times New Roman" w:hAnsi="Times New Roman" w:cs="Times New Roman"/>
          <w:sz w:val="24"/>
          <w:szCs w:val="24"/>
        </w:rPr>
        <w:t>where applicants believe a mistake has been made.</w:t>
      </w:r>
      <w:r>
        <w:rPr>
          <w:rFonts w:ascii="Times New Roman" w:hAnsi="Times New Roman" w:cs="Times New Roman"/>
          <w:sz w:val="24"/>
          <w:szCs w:val="24"/>
        </w:rPr>
        <w:t xml:space="preserve"> A person aggrieved by the internal review mechanisms, then has recourse to the two tiers of external review constituted first by an application to the appellant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Authority) and finally by an application to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Any of the above-mentioned tiers, may take a merits review or a complaints handling approach in addressing the grievance referred to it. </w:t>
      </w:r>
      <w:r w:rsidRPr="00C20EF0">
        <w:rPr>
          <w:rFonts w:ascii="Times New Roman" w:hAnsi="Times New Roman" w:cs="Times New Roman"/>
          <w:sz w:val="24"/>
          <w:szCs w:val="24"/>
        </w:rPr>
        <w:t>Merits review of a decision involves a consideration of whether, on the available facts, the decision made was a co</w:t>
      </w:r>
      <w:r>
        <w:rPr>
          <w:rFonts w:ascii="Times New Roman" w:hAnsi="Times New Roman" w:cs="Times New Roman"/>
          <w:sz w:val="24"/>
          <w:szCs w:val="24"/>
        </w:rPr>
        <w:t xml:space="preserve">rrect one while the complaints handling </w:t>
      </w:r>
      <w:r w:rsidRPr="00C20EF0">
        <w:rPr>
          <w:rFonts w:ascii="Times New Roman" w:hAnsi="Times New Roman" w:cs="Times New Roman"/>
          <w:sz w:val="24"/>
          <w:szCs w:val="24"/>
        </w:rPr>
        <w:t>processes relate</w:t>
      </w:r>
      <w:r>
        <w:rPr>
          <w:rFonts w:ascii="Times New Roman" w:hAnsi="Times New Roman" w:cs="Times New Roman"/>
          <w:sz w:val="24"/>
          <w:szCs w:val="24"/>
        </w:rPr>
        <w:t>s</w:t>
      </w:r>
      <w:r w:rsidRPr="00C20EF0">
        <w:rPr>
          <w:rFonts w:ascii="Times New Roman" w:hAnsi="Times New Roman" w:cs="Times New Roman"/>
          <w:sz w:val="24"/>
          <w:szCs w:val="24"/>
        </w:rPr>
        <w:t xml:space="preserve"> to </w:t>
      </w:r>
      <w:r>
        <w:rPr>
          <w:rFonts w:ascii="Times New Roman" w:hAnsi="Times New Roman" w:cs="Times New Roman"/>
          <w:sz w:val="24"/>
          <w:szCs w:val="24"/>
        </w:rPr>
        <w:t>reviewing</w:t>
      </w:r>
      <w:r w:rsidRPr="00C20EF0">
        <w:rPr>
          <w:rFonts w:ascii="Times New Roman" w:hAnsi="Times New Roman" w:cs="Times New Roman"/>
          <w:sz w:val="24"/>
          <w:szCs w:val="24"/>
        </w:rPr>
        <w:t xml:space="preserve"> the way the decision was made, including issues such </w:t>
      </w:r>
      <w:r>
        <w:rPr>
          <w:rFonts w:ascii="Times New Roman" w:hAnsi="Times New Roman" w:cs="Times New Roman"/>
          <w:sz w:val="24"/>
          <w:szCs w:val="24"/>
        </w:rPr>
        <w:t xml:space="preserve">as </w:t>
      </w:r>
      <w:r w:rsidRPr="00C20EF0">
        <w:rPr>
          <w:rFonts w:ascii="Times New Roman" w:hAnsi="Times New Roman" w:cs="Times New Roman"/>
          <w:sz w:val="24"/>
          <w:szCs w:val="24"/>
        </w:rPr>
        <w:t>whether the</w:t>
      </w:r>
      <w:r>
        <w:rPr>
          <w:rFonts w:ascii="Times New Roman" w:hAnsi="Times New Roman" w:cs="Times New Roman"/>
          <w:sz w:val="24"/>
          <w:szCs w:val="24"/>
        </w:rPr>
        <w:t xml:space="preserve"> actions or decisions made</w:t>
      </w:r>
      <w:r w:rsidRPr="00C20EF0">
        <w:rPr>
          <w:rFonts w:ascii="Times New Roman" w:hAnsi="Times New Roman" w:cs="Times New Roman"/>
          <w:sz w:val="24"/>
          <w:szCs w:val="24"/>
        </w:rPr>
        <w:t xml:space="preserve"> may be unlawful, unreasonable, unfair or improperly </w:t>
      </w:r>
      <w:r w:rsidRPr="00C20EF0">
        <w:rPr>
          <w:rFonts w:ascii="Times New Roman" w:hAnsi="Times New Roman" w:cs="Times New Roman"/>
          <w:sz w:val="24"/>
          <w:szCs w:val="24"/>
        </w:rPr>
        <w:lastRenderedPageBreak/>
        <w:t xml:space="preserve">discriminatory. </w:t>
      </w:r>
      <w:r>
        <w:rPr>
          <w:rFonts w:ascii="Times New Roman" w:hAnsi="Times New Roman" w:cs="Times New Roman"/>
          <w:sz w:val="24"/>
          <w:szCs w:val="24"/>
        </w:rPr>
        <w:t>The c</w:t>
      </w:r>
      <w:r w:rsidRPr="00C20EF0">
        <w:rPr>
          <w:rFonts w:ascii="Times New Roman" w:hAnsi="Times New Roman" w:cs="Times New Roman"/>
          <w:sz w:val="24"/>
          <w:szCs w:val="24"/>
        </w:rPr>
        <w:t xml:space="preserve">omplaints </w:t>
      </w:r>
      <w:r>
        <w:rPr>
          <w:rFonts w:ascii="Times New Roman" w:hAnsi="Times New Roman" w:cs="Times New Roman"/>
          <w:sz w:val="24"/>
          <w:szCs w:val="24"/>
        </w:rPr>
        <w:t xml:space="preserve">approach may also sometimes deal with the merits of the decision made, where the merits are inextricably interwoven with the procedural considerations. </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sidRPr="00394CD8">
        <w:rPr>
          <w:rFonts w:ascii="Times New Roman" w:hAnsi="Times New Roman" w:cs="Times New Roman"/>
          <w:sz w:val="24"/>
          <w:szCs w:val="24"/>
        </w:rPr>
        <w:t>Merits review is the process by which a person or body, other than the primary decision maker, reconsiders the facts, law and policy aspects of the original decision and determines the correc</w:t>
      </w:r>
      <w:r>
        <w:rPr>
          <w:rFonts w:ascii="Times New Roman" w:hAnsi="Times New Roman" w:cs="Times New Roman"/>
          <w:sz w:val="24"/>
          <w:szCs w:val="24"/>
        </w:rPr>
        <w:t xml:space="preserve">t decision, if there is only one, or the preferable decision, if there is more than one correct decision. </w:t>
      </w:r>
      <w:r w:rsidRPr="007D388D">
        <w:rPr>
          <w:rFonts w:ascii="Times New Roman" w:hAnsi="Times New Roman" w:cs="Times New Roman"/>
          <w:sz w:val="24"/>
          <w:szCs w:val="24"/>
        </w:rPr>
        <w:t>Merit</w:t>
      </w:r>
      <w:r>
        <w:rPr>
          <w:rFonts w:ascii="Times New Roman" w:hAnsi="Times New Roman" w:cs="Times New Roman"/>
          <w:sz w:val="24"/>
          <w:szCs w:val="24"/>
        </w:rPr>
        <w:t xml:space="preserve">s </w:t>
      </w:r>
      <w:r w:rsidRPr="007D388D">
        <w:rPr>
          <w:rFonts w:ascii="Times New Roman" w:hAnsi="Times New Roman" w:cs="Times New Roman"/>
          <w:sz w:val="24"/>
          <w:szCs w:val="24"/>
        </w:rPr>
        <w:t>review involves standing in the shoes of the original decision maker, reconsidering the facts, law and policy aspects of the original decision.</w:t>
      </w:r>
      <w:r>
        <w:rPr>
          <w:rFonts w:ascii="Times New Roman" w:hAnsi="Times New Roman" w:cs="Times New Roman"/>
          <w:sz w:val="24"/>
          <w:szCs w:val="24"/>
        </w:rPr>
        <w:t xml:space="preserve"> In </w:t>
      </w:r>
      <w:r w:rsidRPr="00394CD8">
        <w:rPr>
          <w:rFonts w:ascii="Times New Roman" w:hAnsi="Times New Roman" w:cs="Times New Roman"/>
          <w:sz w:val="24"/>
          <w:szCs w:val="24"/>
        </w:rPr>
        <w:t>a merits review, the whole decision is made again on the facts.</w:t>
      </w:r>
      <w:r>
        <w:rPr>
          <w:rFonts w:ascii="Times New Roman" w:hAnsi="Times New Roman" w:cs="Times New Roman"/>
          <w:sz w:val="24"/>
          <w:szCs w:val="24"/>
        </w:rPr>
        <w:t xml:space="preserve"> </w:t>
      </w:r>
      <w:r w:rsidRPr="00694B74">
        <w:rPr>
          <w:rFonts w:ascii="Times New Roman" w:hAnsi="Times New Roman" w:cs="Times New Roman"/>
          <w:sz w:val="24"/>
          <w:szCs w:val="24"/>
        </w:rPr>
        <w:t xml:space="preserve">The objective of merits review is to ensure </w:t>
      </w:r>
      <w:r>
        <w:rPr>
          <w:rFonts w:ascii="Times New Roman" w:hAnsi="Times New Roman" w:cs="Times New Roman"/>
          <w:sz w:val="24"/>
          <w:szCs w:val="24"/>
        </w:rPr>
        <w:t>that procurement</w:t>
      </w:r>
      <w:r w:rsidRPr="00694B74">
        <w:rPr>
          <w:rFonts w:ascii="Times New Roman" w:hAnsi="Times New Roman" w:cs="Times New Roman"/>
          <w:sz w:val="24"/>
          <w:szCs w:val="24"/>
        </w:rPr>
        <w:t xml:space="preserve"> decis</w:t>
      </w:r>
      <w:r>
        <w:rPr>
          <w:rFonts w:ascii="Times New Roman" w:hAnsi="Times New Roman" w:cs="Times New Roman"/>
          <w:sz w:val="24"/>
          <w:szCs w:val="24"/>
        </w:rPr>
        <w:t xml:space="preserve">ions are correct or preferable, </w:t>
      </w:r>
      <w:r w:rsidRPr="00694B74">
        <w:rPr>
          <w:rFonts w:ascii="Times New Roman" w:hAnsi="Times New Roman" w:cs="Times New Roman"/>
          <w:sz w:val="24"/>
          <w:szCs w:val="24"/>
        </w:rPr>
        <w:t>t</w:t>
      </w:r>
      <w:r>
        <w:rPr>
          <w:rFonts w:ascii="Times New Roman" w:hAnsi="Times New Roman" w:cs="Times New Roman"/>
          <w:sz w:val="24"/>
          <w:szCs w:val="24"/>
        </w:rPr>
        <w:t>hat is to say, that they are made according</w:t>
      </w:r>
      <w:r w:rsidRPr="00694B74">
        <w:rPr>
          <w:rFonts w:ascii="Times New Roman" w:hAnsi="Times New Roman" w:cs="Times New Roman"/>
          <w:sz w:val="24"/>
          <w:szCs w:val="24"/>
        </w:rPr>
        <w:t xml:space="preserve"> to law, or if there is a range of decisions that are correct in law, the best on the relevant facts.  It is directed to ensuring fair treatment of all persons affected by a decision,</w:t>
      </w:r>
      <w:r>
        <w:rPr>
          <w:rFonts w:ascii="Times New Roman" w:hAnsi="Times New Roman" w:cs="Times New Roman"/>
          <w:sz w:val="24"/>
          <w:szCs w:val="24"/>
        </w:rPr>
        <w:t xml:space="preserve"> and improving the quality and </w:t>
      </w:r>
      <w:r w:rsidRPr="00694B74">
        <w:rPr>
          <w:rFonts w:ascii="Times New Roman" w:hAnsi="Times New Roman" w:cs="Times New Roman"/>
          <w:sz w:val="24"/>
          <w:szCs w:val="24"/>
        </w:rPr>
        <w:t>consistency of primary decision making</w:t>
      </w:r>
      <w:r>
        <w:rPr>
          <w:rFonts w:ascii="Times New Roman" w:hAnsi="Times New Roman" w:cs="Times New Roman"/>
          <w:sz w:val="24"/>
          <w:szCs w:val="24"/>
        </w:rPr>
        <w:t>. The correct</w:t>
      </w:r>
      <w:r w:rsidRPr="00EF7F9E">
        <w:rPr>
          <w:rFonts w:ascii="Times New Roman" w:hAnsi="Times New Roman" w:cs="Times New Roman"/>
          <w:sz w:val="24"/>
          <w:szCs w:val="24"/>
        </w:rPr>
        <w:t xml:space="preserve"> decision is made in a non-discretionary matter where only one decision is possible on either the facts or the law.  However</w:t>
      </w:r>
      <w:r>
        <w:rPr>
          <w:rFonts w:ascii="Times New Roman" w:hAnsi="Times New Roman" w:cs="Times New Roman"/>
          <w:sz w:val="24"/>
          <w:szCs w:val="24"/>
        </w:rPr>
        <w:t xml:space="preserve">, where a decision requires the </w:t>
      </w:r>
      <w:r w:rsidRPr="00EF7F9E">
        <w:rPr>
          <w:rFonts w:ascii="Times New Roman" w:hAnsi="Times New Roman" w:cs="Times New Roman"/>
          <w:sz w:val="24"/>
          <w:szCs w:val="24"/>
        </w:rPr>
        <w:t>exercise of discretion or a selection between possible outcomes, judgement is requir</w:t>
      </w:r>
      <w:r>
        <w:rPr>
          <w:rFonts w:ascii="Times New Roman" w:hAnsi="Times New Roman" w:cs="Times New Roman"/>
          <w:sz w:val="24"/>
          <w:szCs w:val="24"/>
        </w:rPr>
        <w:t xml:space="preserve">ed to assess which decision is preferable. </w:t>
      </w:r>
      <w:r w:rsidRPr="0066491F">
        <w:rPr>
          <w:rFonts w:ascii="Times New Roman" w:hAnsi="Times New Roman" w:cs="Times New Roman"/>
          <w:sz w:val="24"/>
          <w:szCs w:val="24"/>
        </w:rPr>
        <w:t>Merits review concerns the review of both the factual basis and the lawfulness of a decision</w:t>
      </w:r>
      <w:r>
        <w:rPr>
          <w:rFonts w:ascii="Times New Roman" w:hAnsi="Times New Roman" w:cs="Times New Roman"/>
          <w:sz w:val="24"/>
          <w:szCs w:val="24"/>
        </w:rPr>
        <w:t xml:space="preserve">. It </w:t>
      </w:r>
      <w:r w:rsidRPr="00A9739E">
        <w:rPr>
          <w:rFonts w:ascii="Times New Roman" w:hAnsi="Times New Roman" w:cs="Times New Roman"/>
          <w:sz w:val="24"/>
          <w:szCs w:val="24"/>
        </w:rPr>
        <w:t>allows all aspects of an administrative decision to be reviewed, including the findings of</w:t>
      </w:r>
      <w:r>
        <w:rPr>
          <w:rFonts w:ascii="Times New Roman" w:hAnsi="Times New Roman" w:cs="Times New Roman"/>
          <w:sz w:val="24"/>
          <w:szCs w:val="24"/>
        </w:rPr>
        <w:t xml:space="preserve"> facts and the exercise of any </w:t>
      </w:r>
      <w:r w:rsidRPr="00A9739E">
        <w:rPr>
          <w:rFonts w:ascii="Times New Roman" w:hAnsi="Times New Roman" w:cs="Times New Roman"/>
          <w:sz w:val="24"/>
          <w:szCs w:val="24"/>
        </w:rPr>
        <w:t>discretions conferred upon the decision-make</w:t>
      </w:r>
      <w:r>
        <w:rPr>
          <w:rFonts w:ascii="Times New Roman" w:hAnsi="Times New Roman" w:cs="Times New Roman"/>
          <w:sz w:val="24"/>
          <w:szCs w:val="24"/>
        </w:rPr>
        <w:t xml:space="preserve">r (see </w:t>
      </w:r>
      <w:r w:rsidRPr="00A9739E">
        <w:rPr>
          <w:rFonts w:ascii="Times New Roman" w:hAnsi="Times New Roman" w:cs="Times New Roman"/>
          <w:sz w:val="24"/>
          <w:szCs w:val="24"/>
        </w:rPr>
        <w:t xml:space="preserve">Dr David Bennett AO QC, </w:t>
      </w:r>
      <w:r w:rsidRPr="002D4DEC">
        <w:rPr>
          <w:rFonts w:ascii="Times New Roman" w:hAnsi="Times New Roman" w:cs="Times New Roman"/>
          <w:i/>
          <w:sz w:val="24"/>
          <w:szCs w:val="24"/>
        </w:rPr>
        <w:t>“Balancing Judicial Review and Merits Review,”</w:t>
      </w:r>
      <w:r w:rsidRPr="00A9739E">
        <w:rPr>
          <w:rFonts w:ascii="Times New Roman" w:hAnsi="Times New Roman" w:cs="Times New Roman"/>
          <w:sz w:val="24"/>
          <w:szCs w:val="24"/>
        </w:rPr>
        <w:t xml:space="preserve"> (2000) 53 Admin Review 3.</w:t>
      </w:r>
      <w:r>
        <w:rPr>
          <w:rFonts w:ascii="Times New Roman" w:hAnsi="Times New Roman" w:cs="Times New Roman"/>
          <w:sz w:val="24"/>
          <w:szCs w:val="24"/>
        </w:rPr>
        <w:t>)</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level of internal administrative review, the</w:t>
      </w:r>
      <w:r w:rsidRPr="00EB5F69">
        <w:rPr>
          <w:rFonts w:ascii="Times New Roman" w:hAnsi="Times New Roman" w:cs="Times New Roman"/>
          <w:sz w:val="24"/>
          <w:szCs w:val="24"/>
        </w:rPr>
        <w:t xml:space="preserve">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w:t>
      </w:r>
      <w:r>
        <w:rPr>
          <w:rFonts w:ascii="Times New Roman" w:hAnsi="Times New Roman" w:cs="Times New Roman"/>
          <w:sz w:val="24"/>
          <w:szCs w:val="24"/>
        </w:rPr>
        <w:t>reconsideration</w:t>
      </w:r>
      <w:r w:rsidRPr="00EB5F69">
        <w:rPr>
          <w:rFonts w:ascii="Times New Roman" w:hAnsi="Times New Roman" w:cs="Times New Roman"/>
          <w:sz w:val="24"/>
          <w:szCs w:val="24"/>
        </w:rPr>
        <w:t xml:space="preserve"> of the de</w:t>
      </w:r>
      <w:r>
        <w:rPr>
          <w:rFonts w:ascii="Times New Roman" w:hAnsi="Times New Roman" w:cs="Times New Roman"/>
          <w:sz w:val="24"/>
          <w:szCs w:val="24"/>
        </w:rPr>
        <w:t xml:space="preserve">cision by a more senior person within </w:t>
      </w:r>
      <w:r w:rsidRPr="00EB5F69">
        <w:rPr>
          <w:rFonts w:ascii="Times New Roman" w:hAnsi="Times New Roman" w:cs="Times New Roman"/>
          <w:sz w:val="24"/>
          <w:szCs w:val="24"/>
        </w:rPr>
        <w:t xml:space="preserve">the same </w:t>
      </w:r>
      <w:r>
        <w:rPr>
          <w:rFonts w:ascii="Times New Roman" w:hAnsi="Times New Roman" w:cs="Times New Roman"/>
          <w:sz w:val="24"/>
          <w:szCs w:val="24"/>
        </w:rPr>
        <w:t>procurement entity</w:t>
      </w:r>
      <w:r w:rsidRPr="00EB5F69">
        <w:rPr>
          <w:rFonts w:ascii="Times New Roman" w:hAnsi="Times New Roman" w:cs="Times New Roman"/>
          <w:sz w:val="24"/>
          <w:szCs w:val="24"/>
        </w:rPr>
        <w:t xml:space="preserve"> in which the decision was</w:t>
      </w:r>
      <w:r>
        <w:rPr>
          <w:rFonts w:ascii="Times New Roman" w:hAnsi="Times New Roman" w:cs="Times New Roman"/>
          <w:sz w:val="24"/>
          <w:szCs w:val="24"/>
        </w:rPr>
        <w:t xml:space="preserve"> made. </w:t>
      </w:r>
      <w:r w:rsidRPr="00EB5F69">
        <w:rPr>
          <w:rFonts w:ascii="Times New Roman" w:hAnsi="Times New Roman" w:cs="Times New Roman"/>
          <w:sz w:val="24"/>
          <w:szCs w:val="24"/>
        </w:rPr>
        <w:t>An internal merit</w:t>
      </w:r>
      <w:r>
        <w:rPr>
          <w:rFonts w:ascii="Times New Roman" w:hAnsi="Times New Roman" w:cs="Times New Roman"/>
          <w:sz w:val="24"/>
          <w:szCs w:val="24"/>
        </w:rPr>
        <w:t>s</w:t>
      </w:r>
      <w:r w:rsidRPr="00EB5F69">
        <w:rPr>
          <w:rFonts w:ascii="Times New Roman" w:hAnsi="Times New Roman" w:cs="Times New Roman"/>
          <w:sz w:val="24"/>
          <w:szCs w:val="24"/>
        </w:rPr>
        <w:t xml:space="preserve"> review process involves a determin</w:t>
      </w:r>
      <w:r>
        <w:rPr>
          <w:rFonts w:ascii="Times New Roman" w:hAnsi="Times New Roman" w:cs="Times New Roman"/>
          <w:sz w:val="24"/>
          <w:szCs w:val="24"/>
        </w:rPr>
        <w:t>ation</w:t>
      </w:r>
      <w:r w:rsidRPr="00EB5F69">
        <w:rPr>
          <w:rFonts w:ascii="Times New Roman" w:hAnsi="Times New Roman" w:cs="Times New Roman"/>
          <w:sz w:val="24"/>
          <w:szCs w:val="24"/>
        </w:rPr>
        <w:t xml:space="preserve"> whether the right decision </w:t>
      </w:r>
      <w:r>
        <w:rPr>
          <w:rFonts w:ascii="Times New Roman" w:hAnsi="Times New Roman" w:cs="Times New Roman"/>
          <w:sz w:val="24"/>
          <w:szCs w:val="24"/>
        </w:rPr>
        <w:t>was</w:t>
      </w:r>
      <w:r w:rsidRPr="00EB5F69">
        <w:rPr>
          <w:rFonts w:ascii="Times New Roman" w:hAnsi="Times New Roman" w:cs="Times New Roman"/>
          <w:sz w:val="24"/>
          <w:szCs w:val="24"/>
        </w:rPr>
        <w:t xml:space="preserve"> made and is</w:t>
      </w:r>
      <w:r>
        <w:rPr>
          <w:rFonts w:ascii="Times New Roman" w:hAnsi="Times New Roman" w:cs="Times New Roman"/>
          <w:sz w:val="24"/>
          <w:szCs w:val="24"/>
        </w:rPr>
        <w:t xml:space="preserve"> </w:t>
      </w:r>
      <w:proofErr w:type="gramStart"/>
      <w:r w:rsidRPr="00EB5F69">
        <w:rPr>
          <w:rFonts w:ascii="Times New Roman" w:hAnsi="Times New Roman" w:cs="Times New Roman"/>
          <w:sz w:val="24"/>
          <w:szCs w:val="24"/>
        </w:rPr>
        <w:t>not a complaint</w:t>
      </w:r>
      <w:r>
        <w:rPr>
          <w:rFonts w:ascii="Times New Roman" w:hAnsi="Times New Roman" w:cs="Times New Roman"/>
          <w:sz w:val="24"/>
          <w:szCs w:val="24"/>
        </w:rPr>
        <w:t>s</w:t>
      </w:r>
      <w:proofErr w:type="gramEnd"/>
      <w:r w:rsidRPr="00EB5F69">
        <w:rPr>
          <w:rFonts w:ascii="Times New Roman" w:hAnsi="Times New Roman" w:cs="Times New Roman"/>
          <w:sz w:val="24"/>
          <w:szCs w:val="24"/>
        </w:rPr>
        <w:t xml:space="preserve"> handling system dealing </w:t>
      </w:r>
      <w:r>
        <w:rPr>
          <w:rFonts w:ascii="Times New Roman" w:hAnsi="Times New Roman" w:cs="Times New Roman"/>
          <w:sz w:val="24"/>
          <w:szCs w:val="24"/>
        </w:rPr>
        <w:t xml:space="preserve">only </w:t>
      </w:r>
      <w:r w:rsidRPr="00EB5F69">
        <w:rPr>
          <w:rFonts w:ascii="Times New Roman" w:hAnsi="Times New Roman" w:cs="Times New Roman"/>
          <w:sz w:val="24"/>
          <w:szCs w:val="24"/>
        </w:rPr>
        <w:t xml:space="preserve">with complaints about the way in which the decision </w:t>
      </w:r>
      <w:r>
        <w:rPr>
          <w:rFonts w:ascii="Times New Roman" w:hAnsi="Times New Roman" w:cs="Times New Roman"/>
          <w:sz w:val="24"/>
          <w:szCs w:val="24"/>
        </w:rPr>
        <w:t>was</w:t>
      </w:r>
      <w:r w:rsidRPr="00EB5F69">
        <w:rPr>
          <w:rFonts w:ascii="Times New Roman" w:hAnsi="Times New Roman" w:cs="Times New Roman"/>
          <w:sz w:val="24"/>
          <w:szCs w:val="24"/>
        </w:rPr>
        <w:t xml:space="preserve"> made.</w:t>
      </w:r>
      <w:r>
        <w:rPr>
          <w:rFonts w:ascii="Times New Roman" w:hAnsi="Times New Roman" w:cs="Times New Roman"/>
          <w:sz w:val="24"/>
          <w:szCs w:val="24"/>
        </w:rPr>
        <w:t xml:space="preserve"> Apart from </w:t>
      </w:r>
      <w:r w:rsidRPr="0099346A">
        <w:rPr>
          <w:rFonts w:ascii="Times New Roman" w:hAnsi="Times New Roman" w:cs="Times New Roman"/>
          <w:sz w:val="24"/>
          <w:szCs w:val="24"/>
        </w:rPr>
        <w:t>provid</w:t>
      </w:r>
      <w:r>
        <w:rPr>
          <w:rFonts w:ascii="Times New Roman" w:hAnsi="Times New Roman" w:cs="Times New Roman"/>
          <w:sz w:val="24"/>
          <w:szCs w:val="24"/>
        </w:rPr>
        <w:t xml:space="preserve">ing a quick, simple </w:t>
      </w:r>
      <w:r w:rsidRPr="0099346A">
        <w:rPr>
          <w:rFonts w:ascii="Times New Roman" w:hAnsi="Times New Roman" w:cs="Times New Roman"/>
          <w:sz w:val="24"/>
          <w:szCs w:val="24"/>
        </w:rPr>
        <w:t>and cost effective way to address an incorrect decision</w:t>
      </w:r>
      <w:r>
        <w:rPr>
          <w:rFonts w:ascii="Times New Roman" w:hAnsi="Times New Roman" w:cs="Times New Roman"/>
          <w:sz w:val="24"/>
          <w:szCs w:val="24"/>
        </w:rPr>
        <w:t>, internal</w:t>
      </w:r>
      <w:r w:rsidRPr="00127779">
        <w:rPr>
          <w:rFonts w:ascii="Times New Roman" w:hAnsi="Times New Roman" w:cs="Times New Roman"/>
          <w:sz w:val="24"/>
          <w:szCs w:val="24"/>
        </w:rPr>
        <w:t xml:space="preserve"> review provides the </w:t>
      </w:r>
      <w:r>
        <w:rPr>
          <w:rFonts w:ascii="Times New Roman" w:hAnsi="Times New Roman" w:cs="Times New Roman"/>
          <w:sz w:val="24"/>
          <w:szCs w:val="24"/>
        </w:rPr>
        <w:t>procurement entity</w:t>
      </w:r>
      <w:r w:rsidRPr="00127779">
        <w:rPr>
          <w:rFonts w:ascii="Times New Roman" w:hAnsi="Times New Roman" w:cs="Times New Roman"/>
          <w:sz w:val="24"/>
          <w:szCs w:val="24"/>
        </w:rPr>
        <w:t xml:space="preserve"> with an opportunity to quickly correct its own error</w:t>
      </w:r>
      <w:r>
        <w:rPr>
          <w:rFonts w:ascii="Times New Roman" w:hAnsi="Times New Roman" w:cs="Times New Roman"/>
          <w:sz w:val="24"/>
          <w:szCs w:val="24"/>
        </w:rPr>
        <w:t>s</w:t>
      </w:r>
      <w:r w:rsidRPr="00127779">
        <w:rPr>
          <w:rFonts w:ascii="Times New Roman" w:hAnsi="Times New Roman" w:cs="Times New Roman"/>
          <w:sz w:val="24"/>
          <w:szCs w:val="24"/>
        </w:rPr>
        <w:t xml:space="preserve">, while at the same time enabling more senior decision-makers to monitor the quality of </w:t>
      </w:r>
      <w:r>
        <w:rPr>
          <w:rFonts w:ascii="Times New Roman" w:hAnsi="Times New Roman" w:cs="Times New Roman"/>
          <w:sz w:val="24"/>
          <w:szCs w:val="24"/>
        </w:rPr>
        <w:t xml:space="preserve">the </w:t>
      </w:r>
      <w:r w:rsidRPr="00127779">
        <w:rPr>
          <w:rFonts w:ascii="Times New Roman" w:hAnsi="Times New Roman" w:cs="Times New Roman"/>
          <w:sz w:val="24"/>
          <w:szCs w:val="24"/>
        </w:rPr>
        <w:t xml:space="preserve">original </w:t>
      </w:r>
      <w:r>
        <w:rPr>
          <w:rFonts w:ascii="Times New Roman" w:hAnsi="Times New Roman" w:cs="Times New Roman"/>
          <w:sz w:val="24"/>
          <w:szCs w:val="24"/>
        </w:rPr>
        <w:t xml:space="preserve">primary </w:t>
      </w:r>
      <w:r w:rsidRPr="00127779">
        <w:rPr>
          <w:rFonts w:ascii="Times New Roman" w:hAnsi="Times New Roman" w:cs="Times New Roman"/>
          <w:sz w:val="24"/>
          <w:szCs w:val="24"/>
        </w:rPr>
        <w:t>decision making. This can then be dealt with by directly addressing the issue with the decision maker</w:t>
      </w:r>
      <w:r>
        <w:rPr>
          <w:rFonts w:ascii="Times New Roman" w:hAnsi="Times New Roman" w:cs="Times New Roman"/>
          <w:sz w:val="24"/>
          <w:szCs w:val="24"/>
        </w:rPr>
        <w:t>. T</w:t>
      </w:r>
      <w:r w:rsidRPr="00FC5E70">
        <w:rPr>
          <w:rFonts w:ascii="Times New Roman" w:hAnsi="Times New Roman" w:cs="Times New Roman"/>
          <w:sz w:val="24"/>
          <w:szCs w:val="24"/>
        </w:rPr>
        <w:t xml:space="preserve">he internal review undertaken by the </w:t>
      </w:r>
      <w:r>
        <w:rPr>
          <w:rFonts w:ascii="Times New Roman" w:hAnsi="Times New Roman" w:cs="Times New Roman"/>
          <w:sz w:val="24"/>
          <w:szCs w:val="24"/>
        </w:rPr>
        <w:t>procurement entity</w:t>
      </w:r>
      <w:r w:rsidRPr="00FC5E70">
        <w:rPr>
          <w:rFonts w:ascii="Times New Roman" w:hAnsi="Times New Roman" w:cs="Times New Roman"/>
          <w:sz w:val="24"/>
          <w:szCs w:val="24"/>
        </w:rPr>
        <w:t xml:space="preserve"> in response to the </w:t>
      </w:r>
      <w:r>
        <w:rPr>
          <w:rFonts w:ascii="Times New Roman" w:hAnsi="Times New Roman" w:cs="Times New Roman"/>
          <w:sz w:val="24"/>
          <w:szCs w:val="24"/>
        </w:rPr>
        <w:t>application</w:t>
      </w:r>
      <w:r w:rsidRPr="00FC5E70">
        <w:rPr>
          <w:rFonts w:ascii="Times New Roman" w:hAnsi="Times New Roman" w:cs="Times New Roman"/>
          <w:sz w:val="24"/>
          <w:szCs w:val="24"/>
        </w:rPr>
        <w:t xml:space="preserve"> </w:t>
      </w:r>
      <w:r>
        <w:rPr>
          <w:rFonts w:ascii="Times New Roman" w:hAnsi="Times New Roman" w:cs="Times New Roman"/>
          <w:sz w:val="24"/>
          <w:szCs w:val="24"/>
        </w:rPr>
        <w:t>ought to be</w:t>
      </w:r>
      <w:r w:rsidRPr="00FC5E70">
        <w:rPr>
          <w:rFonts w:ascii="Times New Roman" w:hAnsi="Times New Roman" w:cs="Times New Roman"/>
          <w:sz w:val="24"/>
          <w:szCs w:val="24"/>
        </w:rPr>
        <w:t xml:space="preserve"> thorough. This </w:t>
      </w:r>
      <w:r>
        <w:rPr>
          <w:rFonts w:ascii="Times New Roman" w:hAnsi="Times New Roman" w:cs="Times New Roman"/>
          <w:sz w:val="24"/>
          <w:szCs w:val="24"/>
        </w:rPr>
        <w:lastRenderedPageBreak/>
        <w:t xml:space="preserve">should </w:t>
      </w:r>
      <w:r w:rsidRPr="00FC5E70">
        <w:rPr>
          <w:rFonts w:ascii="Times New Roman" w:hAnsi="Times New Roman" w:cs="Times New Roman"/>
          <w:sz w:val="24"/>
          <w:szCs w:val="24"/>
        </w:rPr>
        <w:t>include ob</w:t>
      </w:r>
      <w:r>
        <w:rPr>
          <w:rFonts w:ascii="Times New Roman" w:hAnsi="Times New Roman" w:cs="Times New Roman"/>
          <w:sz w:val="24"/>
          <w:szCs w:val="24"/>
        </w:rPr>
        <w:t xml:space="preserve">taining and placing on the record a full statement as to </w:t>
      </w:r>
      <w:r w:rsidRPr="00FC5E70">
        <w:rPr>
          <w:rFonts w:ascii="Times New Roman" w:hAnsi="Times New Roman" w:cs="Times New Roman"/>
          <w:sz w:val="24"/>
          <w:szCs w:val="24"/>
        </w:rPr>
        <w:t>what occurred from any officer with</w:t>
      </w:r>
      <w:r>
        <w:rPr>
          <w:rFonts w:ascii="Times New Roman" w:hAnsi="Times New Roman" w:cs="Times New Roman"/>
          <w:sz w:val="24"/>
          <w:szCs w:val="24"/>
        </w:rPr>
        <w:t>in the entity who may have</w:t>
      </w:r>
      <w:r w:rsidRPr="00FC5E70">
        <w:rPr>
          <w:rFonts w:ascii="Times New Roman" w:hAnsi="Times New Roman" w:cs="Times New Roman"/>
          <w:sz w:val="24"/>
          <w:szCs w:val="24"/>
        </w:rPr>
        <w:t xml:space="preserve"> direct knowledge</w:t>
      </w:r>
      <w:r>
        <w:rPr>
          <w:rFonts w:ascii="Times New Roman" w:hAnsi="Times New Roman" w:cs="Times New Roman"/>
          <w:sz w:val="24"/>
          <w:szCs w:val="24"/>
        </w:rPr>
        <w:t xml:space="preserve">. This is important for the efficacy of any external review that may take place thereafter, in which event access to precise evidence of what might </w:t>
      </w:r>
      <w:r w:rsidRPr="00FC5E70">
        <w:rPr>
          <w:rFonts w:ascii="Times New Roman" w:hAnsi="Times New Roman" w:cs="Times New Roman"/>
          <w:sz w:val="24"/>
          <w:szCs w:val="24"/>
        </w:rPr>
        <w:t xml:space="preserve">have </w:t>
      </w:r>
      <w:proofErr w:type="gramStart"/>
      <w:r w:rsidRPr="00FC5E70">
        <w:rPr>
          <w:rFonts w:ascii="Times New Roman" w:hAnsi="Times New Roman" w:cs="Times New Roman"/>
          <w:sz w:val="24"/>
          <w:szCs w:val="24"/>
        </w:rPr>
        <w:t>occurred,</w:t>
      </w:r>
      <w:proofErr w:type="gramEnd"/>
      <w:r>
        <w:rPr>
          <w:rFonts w:ascii="Times New Roman" w:hAnsi="Times New Roman" w:cs="Times New Roman"/>
          <w:sz w:val="24"/>
          <w:szCs w:val="24"/>
        </w:rPr>
        <w:t xml:space="preserve"> may not be readily available. Hopefully this was achieved in the instant case with the respondent’s application to the Chief Administrative Officer of Arua District Local Government.  </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292F9F">
        <w:rPr>
          <w:rFonts w:ascii="Times New Roman" w:hAnsi="Times New Roman" w:cs="Times New Roman"/>
          <w:sz w:val="24"/>
          <w:szCs w:val="24"/>
        </w:rPr>
        <w:t xml:space="preserve">n considering whether a decision should be subject to </w:t>
      </w:r>
      <w:r>
        <w:rPr>
          <w:rFonts w:ascii="Times New Roman" w:hAnsi="Times New Roman" w:cs="Times New Roman"/>
          <w:sz w:val="24"/>
          <w:szCs w:val="24"/>
        </w:rPr>
        <w:t xml:space="preserve">internal or external administrative </w:t>
      </w:r>
      <w:r w:rsidRPr="00292F9F">
        <w:rPr>
          <w:rFonts w:ascii="Times New Roman" w:hAnsi="Times New Roman" w:cs="Times New Roman"/>
          <w:sz w:val="24"/>
          <w:szCs w:val="24"/>
        </w:rPr>
        <w:t xml:space="preserve">review and the type of review that should be available, </w:t>
      </w:r>
      <w:r>
        <w:rPr>
          <w:rFonts w:ascii="Times New Roman" w:hAnsi="Times New Roman" w:cs="Times New Roman"/>
          <w:sz w:val="24"/>
          <w:szCs w:val="24"/>
        </w:rPr>
        <w:t xml:space="preserve">whether a merits or complaints review, </w:t>
      </w:r>
      <w:r w:rsidRPr="00292F9F">
        <w:rPr>
          <w:rFonts w:ascii="Times New Roman" w:hAnsi="Times New Roman" w:cs="Times New Roman"/>
          <w:sz w:val="24"/>
          <w:szCs w:val="24"/>
        </w:rPr>
        <w:t>the common law princ</w:t>
      </w:r>
      <w:r>
        <w:rPr>
          <w:rFonts w:ascii="Times New Roman" w:hAnsi="Times New Roman" w:cs="Times New Roman"/>
          <w:sz w:val="24"/>
          <w:szCs w:val="24"/>
        </w:rPr>
        <w:t xml:space="preserve">iples </w:t>
      </w:r>
      <w:r w:rsidRPr="00292F9F">
        <w:rPr>
          <w:rFonts w:ascii="Times New Roman" w:hAnsi="Times New Roman" w:cs="Times New Roman"/>
          <w:sz w:val="24"/>
          <w:szCs w:val="24"/>
        </w:rPr>
        <w:t>of natural justice apply. The basic  principles  of  natural  justice  require  that  a  perso</w:t>
      </w:r>
      <w:r>
        <w:rPr>
          <w:rFonts w:ascii="Times New Roman" w:hAnsi="Times New Roman" w:cs="Times New Roman"/>
          <w:sz w:val="24"/>
          <w:szCs w:val="24"/>
        </w:rPr>
        <w:t xml:space="preserve">n  whose  interests  might  be </w:t>
      </w:r>
      <w:r w:rsidRPr="00292F9F">
        <w:rPr>
          <w:rFonts w:ascii="Times New Roman" w:hAnsi="Times New Roman" w:cs="Times New Roman"/>
          <w:sz w:val="24"/>
          <w:szCs w:val="24"/>
        </w:rPr>
        <w:t xml:space="preserve">adversely  affected  by  </w:t>
      </w:r>
      <w:r>
        <w:rPr>
          <w:rFonts w:ascii="Times New Roman" w:hAnsi="Times New Roman" w:cs="Times New Roman"/>
          <w:sz w:val="24"/>
          <w:szCs w:val="24"/>
        </w:rPr>
        <w:t>the</w:t>
      </w:r>
      <w:r w:rsidRPr="00292F9F">
        <w:rPr>
          <w:rFonts w:ascii="Times New Roman" w:hAnsi="Times New Roman" w:cs="Times New Roman"/>
          <w:sz w:val="24"/>
          <w:szCs w:val="24"/>
        </w:rPr>
        <w:t xml:space="preserve">  decision  be provided  with  an  opportunity  to  present  their case to the relevant decis</w:t>
      </w:r>
      <w:r>
        <w:rPr>
          <w:rFonts w:ascii="Times New Roman" w:hAnsi="Times New Roman" w:cs="Times New Roman"/>
          <w:sz w:val="24"/>
          <w:szCs w:val="24"/>
        </w:rPr>
        <w:t>ion</w:t>
      </w:r>
      <w:r w:rsidRPr="00292F9F">
        <w:rPr>
          <w:rFonts w:ascii="Times New Roman" w:hAnsi="Times New Roman" w:cs="Times New Roman"/>
          <w:sz w:val="24"/>
          <w:szCs w:val="24"/>
        </w:rPr>
        <w:t>-maker (the right to be heard),</w:t>
      </w:r>
      <w:r>
        <w:rPr>
          <w:rFonts w:ascii="Times New Roman" w:hAnsi="Times New Roman" w:cs="Times New Roman"/>
          <w:sz w:val="24"/>
          <w:szCs w:val="24"/>
        </w:rPr>
        <w:t xml:space="preserve"> </w:t>
      </w:r>
      <w:r w:rsidRPr="00292F9F">
        <w:rPr>
          <w:rFonts w:ascii="Times New Roman" w:hAnsi="Times New Roman" w:cs="Times New Roman"/>
          <w:sz w:val="24"/>
          <w:szCs w:val="24"/>
        </w:rPr>
        <w:t xml:space="preserve">be notified in advance that a decision is to  be made and be </w:t>
      </w:r>
      <w:r>
        <w:rPr>
          <w:rFonts w:ascii="Times New Roman" w:hAnsi="Times New Roman" w:cs="Times New Roman"/>
          <w:sz w:val="24"/>
          <w:szCs w:val="24"/>
        </w:rPr>
        <w:t xml:space="preserve">given an opportunity to respond (procedural fairness), and have the matter determined by an unbiased </w:t>
      </w:r>
      <w:r w:rsidRPr="00292F9F">
        <w:rPr>
          <w:rFonts w:ascii="Times New Roman" w:hAnsi="Times New Roman" w:cs="Times New Roman"/>
          <w:sz w:val="24"/>
          <w:szCs w:val="24"/>
        </w:rPr>
        <w:t>decision-maker (an absence of bias).</w:t>
      </w:r>
      <w:r>
        <w:rPr>
          <w:rFonts w:ascii="Times New Roman" w:hAnsi="Times New Roman" w:cs="Times New Roman"/>
          <w:sz w:val="24"/>
          <w:szCs w:val="24"/>
        </w:rPr>
        <w:t xml:space="preserve"> It is </w:t>
      </w:r>
      <w:r w:rsidRPr="004D311D">
        <w:rPr>
          <w:rFonts w:ascii="Times New Roman" w:hAnsi="Times New Roman" w:cs="Times New Roman"/>
          <w:sz w:val="24"/>
          <w:szCs w:val="24"/>
        </w:rPr>
        <w:t xml:space="preserve">imperative that </w:t>
      </w:r>
      <w:r>
        <w:rPr>
          <w:rFonts w:ascii="Times New Roman" w:hAnsi="Times New Roman" w:cs="Times New Roman"/>
          <w:sz w:val="24"/>
          <w:szCs w:val="24"/>
        </w:rPr>
        <w:t>the</w:t>
      </w:r>
      <w:r w:rsidRPr="004D311D">
        <w:rPr>
          <w:rFonts w:ascii="Times New Roman" w:hAnsi="Times New Roman" w:cs="Times New Roman"/>
          <w:sz w:val="24"/>
          <w:szCs w:val="24"/>
        </w:rPr>
        <w:t xml:space="preserve"> reasons for its decision, and the material that it considered in mak</w:t>
      </w:r>
      <w:r>
        <w:rPr>
          <w:rFonts w:ascii="Times New Roman" w:hAnsi="Times New Roman" w:cs="Times New Roman"/>
          <w:sz w:val="24"/>
          <w:szCs w:val="24"/>
        </w:rPr>
        <w:t xml:space="preserve">ing it, should be squarely and </w:t>
      </w:r>
      <w:r w:rsidRPr="004D311D">
        <w:rPr>
          <w:rFonts w:ascii="Times New Roman" w:hAnsi="Times New Roman" w:cs="Times New Roman"/>
          <w:sz w:val="24"/>
          <w:szCs w:val="24"/>
        </w:rPr>
        <w:t xml:space="preserve">unequivocally revealed </w:t>
      </w:r>
      <w:r>
        <w:rPr>
          <w:rFonts w:ascii="Times New Roman" w:hAnsi="Times New Roman" w:cs="Times New Roman"/>
          <w:sz w:val="24"/>
          <w:szCs w:val="24"/>
        </w:rPr>
        <w:t xml:space="preserve">at every level of the structures. </w:t>
      </w:r>
      <w:r w:rsidRPr="00810572">
        <w:rPr>
          <w:rFonts w:ascii="Times New Roman" w:hAnsi="Times New Roman" w:cs="Times New Roman"/>
          <w:sz w:val="24"/>
          <w:szCs w:val="24"/>
        </w:rPr>
        <w:t>It</w:t>
      </w:r>
      <w:r>
        <w:rPr>
          <w:rFonts w:ascii="Times New Roman" w:hAnsi="Times New Roman" w:cs="Times New Roman"/>
          <w:sz w:val="24"/>
          <w:szCs w:val="24"/>
        </w:rPr>
        <w:t xml:space="preserve"> i</w:t>
      </w:r>
      <w:r w:rsidRPr="00810572">
        <w:rPr>
          <w:rFonts w:ascii="Times New Roman" w:hAnsi="Times New Roman" w:cs="Times New Roman"/>
          <w:sz w:val="24"/>
          <w:szCs w:val="24"/>
        </w:rPr>
        <w:t xml:space="preserve">s </w:t>
      </w:r>
      <w:r>
        <w:rPr>
          <w:rFonts w:ascii="Times New Roman" w:hAnsi="Times New Roman" w:cs="Times New Roman"/>
          <w:sz w:val="24"/>
          <w:szCs w:val="24"/>
        </w:rPr>
        <w:t xml:space="preserve">the </w:t>
      </w:r>
      <w:r w:rsidRPr="00810572">
        <w:rPr>
          <w:rFonts w:ascii="Times New Roman" w:hAnsi="Times New Roman" w:cs="Times New Roman"/>
          <w:sz w:val="24"/>
          <w:szCs w:val="24"/>
        </w:rPr>
        <w:t xml:space="preserve">function of </w:t>
      </w:r>
      <w:r>
        <w:rPr>
          <w:rFonts w:ascii="Times New Roman" w:hAnsi="Times New Roman" w:cs="Times New Roman"/>
          <w:sz w:val="24"/>
          <w:szCs w:val="24"/>
        </w:rPr>
        <w:t xml:space="preserve">each of the tiers to </w:t>
      </w:r>
      <w:r w:rsidRPr="00810572">
        <w:rPr>
          <w:rFonts w:ascii="Times New Roman" w:hAnsi="Times New Roman" w:cs="Times New Roman"/>
          <w:sz w:val="24"/>
          <w:szCs w:val="24"/>
        </w:rPr>
        <w:t>determin</w:t>
      </w:r>
      <w:r>
        <w:rPr>
          <w:rFonts w:ascii="Times New Roman" w:hAnsi="Times New Roman" w:cs="Times New Roman"/>
          <w:sz w:val="24"/>
          <w:szCs w:val="24"/>
        </w:rPr>
        <w:t>e</w:t>
      </w:r>
      <w:r w:rsidRPr="00810572">
        <w:rPr>
          <w:rFonts w:ascii="Times New Roman" w:hAnsi="Times New Roman" w:cs="Times New Roman"/>
          <w:sz w:val="24"/>
          <w:szCs w:val="24"/>
        </w:rPr>
        <w:t xml:space="preserve"> whether the decision made was, on the material be</w:t>
      </w:r>
      <w:r>
        <w:rPr>
          <w:rFonts w:ascii="Times New Roman" w:hAnsi="Times New Roman" w:cs="Times New Roman"/>
          <w:sz w:val="24"/>
          <w:szCs w:val="24"/>
        </w:rPr>
        <w:t xml:space="preserve">fore it, the correct </w:t>
      </w:r>
      <w:r w:rsidRPr="00810572">
        <w:rPr>
          <w:rFonts w:ascii="Times New Roman" w:hAnsi="Times New Roman" w:cs="Times New Roman"/>
          <w:sz w:val="24"/>
          <w:szCs w:val="24"/>
        </w:rPr>
        <w:t>or preferable one</w:t>
      </w:r>
      <w:r>
        <w:rPr>
          <w:rFonts w:ascii="Times New Roman" w:hAnsi="Times New Roman" w:cs="Times New Roman"/>
          <w:sz w:val="24"/>
          <w:szCs w:val="24"/>
        </w:rPr>
        <w:t>. The issue was brought the attention of both parties and submissions were invited from both of them. In the event that counsel for the appellant required more time to prepare his response, he had the option to seek an adjournment for that purpose, which he did not take.</w:t>
      </w:r>
      <w:r w:rsidRPr="00D87370">
        <w:rPr>
          <w:rFonts w:ascii="Times New Roman" w:hAnsi="Times New Roman" w:cs="Times New Roman"/>
          <w:sz w:val="24"/>
          <w:szCs w:val="24"/>
        </w:rPr>
        <w:t xml:space="preserve"> </w:t>
      </w:r>
      <w:r>
        <w:rPr>
          <w:rFonts w:ascii="Times New Roman" w:hAnsi="Times New Roman" w:cs="Times New Roman"/>
          <w:sz w:val="24"/>
          <w:szCs w:val="24"/>
        </w:rPr>
        <w:t>I have therefore not found any breach of the rules of natural justice in the instant case as contended by counsel for the appellant.</w:t>
      </w:r>
    </w:p>
    <w:p w:rsidR="00B23499" w:rsidRDefault="00B23499" w:rsidP="00B23499">
      <w:pPr>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Unlike j</w:t>
      </w:r>
      <w:r w:rsidRPr="00F43F2F">
        <w:rPr>
          <w:rFonts w:ascii="Times New Roman" w:hAnsi="Times New Roman" w:cs="Times New Roman"/>
          <w:sz w:val="24"/>
          <w:szCs w:val="24"/>
        </w:rPr>
        <w:t xml:space="preserve">udicial review </w:t>
      </w:r>
      <w:r>
        <w:rPr>
          <w:rFonts w:ascii="Times New Roman" w:hAnsi="Times New Roman" w:cs="Times New Roman"/>
          <w:sz w:val="24"/>
          <w:szCs w:val="24"/>
        </w:rPr>
        <w:t>which</w:t>
      </w:r>
      <w:r w:rsidRPr="00F43F2F">
        <w:rPr>
          <w:rFonts w:ascii="Times New Roman" w:hAnsi="Times New Roman" w:cs="Times New Roman"/>
          <w:sz w:val="24"/>
          <w:szCs w:val="24"/>
        </w:rPr>
        <w:t xml:space="preserve"> holds public officials accountable for the correct exercise of their powers, rather than the fairness of their decision with reference to the merits of the case</w:t>
      </w:r>
      <w:r>
        <w:rPr>
          <w:rFonts w:ascii="Times New Roman" w:hAnsi="Times New Roman" w:cs="Times New Roman"/>
          <w:sz w:val="24"/>
          <w:szCs w:val="24"/>
        </w:rPr>
        <w:t>, administrative m</w:t>
      </w:r>
      <w:r w:rsidRPr="007E6F85">
        <w:rPr>
          <w:rFonts w:ascii="Times New Roman" w:hAnsi="Times New Roman" w:cs="Times New Roman"/>
          <w:sz w:val="24"/>
          <w:szCs w:val="24"/>
        </w:rPr>
        <w:t>erits review concerns the re</w:t>
      </w:r>
      <w:r>
        <w:rPr>
          <w:rFonts w:ascii="Times New Roman" w:hAnsi="Times New Roman" w:cs="Times New Roman"/>
          <w:sz w:val="24"/>
          <w:szCs w:val="24"/>
        </w:rPr>
        <w:t>consideration</w:t>
      </w:r>
      <w:r w:rsidRPr="007E6F85">
        <w:rPr>
          <w:rFonts w:ascii="Times New Roman" w:hAnsi="Times New Roman" w:cs="Times New Roman"/>
          <w:sz w:val="24"/>
          <w:szCs w:val="24"/>
        </w:rPr>
        <w:t xml:space="preserve"> of both the factual basis and the lawfulness of a decision, and is thus </w:t>
      </w:r>
      <w:r>
        <w:rPr>
          <w:rFonts w:ascii="Times New Roman" w:hAnsi="Times New Roman" w:cs="Times New Roman"/>
          <w:sz w:val="24"/>
          <w:szCs w:val="24"/>
        </w:rPr>
        <w:t xml:space="preserve">wider </w:t>
      </w:r>
      <w:r w:rsidRPr="007E6F85">
        <w:rPr>
          <w:rFonts w:ascii="Times New Roman" w:hAnsi="Times New Roman" w:cs="Times New Roman"/>
          <w:sz w:val="24"/>
          <w:szCs w:val="24"/>
        </w:rPr>
        <w:t>than judicial review, which is limited to the latter.</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sidRPr="00F43F2F">
        <w:rPr>
          <w:rFonts w:ascii="Times New Roman" w:hAnsi="Times New Roman" w:cs="Times New Roman"/>
          <w:sz w:val="24"/>
          <w:szCs w:val="24"/>
        </w:rPr>
        <w:t>Judicial r</w:t>
      </w:r>
      <w:r>
        <w:rPr>
          <w:rFonts w:ascii="Times New Roman" w:hAnsi="Times New Roman" w:cs="Times New Roman"/>
          <w:sz w:val="24"/>
          <w:szCs w:val="24"/>
        </w:rPr>
        <w:t xml:space="preserve">eview is different from administrative merits </w:t>
      </w:r>
      <w:r w:rsidRPr="00F43F2F">
        <w:rPr>
          <w:rFonts w:ascii="Times New Roman" w:hAnsi="Times New Roman" w:cs="Times New Roman"/>
          <w:sz w:val="24"/>
          <w:szCs w:val="24"/>
        </w:rPr>
        <w:t xml:space="preserve">review because the court cannot look at the substance of the decision maker’s assessment of the facts, only the process by which that decision was made.  The courts cannot remake the decision, so typically the remedies available </w:t>
      </w:r>
      <w:r w:rsidRPr="00F43F2F">
        <w:rPr>
          <w:rFonts w:ascii="Times New Roman" w:hAnsi="Times New Roman" w:cs="Times New Roman"/>
          <w:sz w:val="24"/>
          <w:szCs w:val="24"/>
        </w:rPr>
        <w:lastRenderedPageBreak/>
        <w:t>from judicial review involve remitting the decision to the original decision maker with an order to remake the decision according to law.</w:t>
      </w:r>
      <w:r>
        <w:rPr>
          <w:rFonts w:ascii="Times New Roman" w:hAnsi="Times New Roman" w:cs="Times New Roman"/>
          <w:sz w:val="24"/>
          <w:szCs w:val="24"/>
        </w:rPr>
        <w:t xml:space="preserve"> </w:t>
      </w:r>
      <w:r w:rsidRPr="00DD46CC">
        <w:rPr>
          <w:rFonts w:ascii="Times New Roman" w:hAnsi="Times New Roman" w:cs="Times New Roman"/>
          <w:sz w:val="24"/>
          <w:szCs w:val="24"/>
        </w:rPr>
        <w:t>A court engaging in judicial review will generally not disturb factual findings, the assessment of credibility, the attribution of weight to pieces of evidence or the exercise of discretion, since this would be to intrude into the “merits” of the decision</w:t>
      </w:r>
      <w:r>
        <w:rPr>
          <w:rFonts w:ascii="Times New Roman" w:hAnsi="Times New Roman" w:cs="Times New Roman"/>
          <w:sz w:val="24"/>
          <w:szCs w:val="24"/>
        </w:rPr>
        <w:t xml:space="preserve">. </w:t>
      </w:r>
      <w:r w:rsidRPr="00A9229F">
        <w:rPr>
          <w:rFonts w:ascii="Times New Roman" w:hAnsi="Times New Roman" w:cs="Times New Roman"/>
          <w:sz w:val="24"/>
          <w:szCs w:val="24"/>
        </w:rPr>
        <w:t xml:space="preserve">Unlike </w:t>
      </w:r>
      <w:r>
        <w:rPr>
          <w:rFonts w:ascii="Times New Roman" w:hAnsi="Times New Roman" w:cs="Times New Roman"/>
          <w:sz w:val="24"/>
          <w:szCs w:val="24"/>
        </w:rPr>
        <w:t xml:space="preserve">external administrative </w:t>
      </w:r>
      <w:r w:rsidRPr="00A9229F">
        <w:rPr>
          <w:rFonts w:ascii="Times New Roman" w:hAnsi="Times New Roman" w:cs="Times New Roman"/>
          <w:sz w:val="24"/>
          <w:szCs w:val="24"/>
        </w:rPr>
        <w:t>merits review tribunals, courts are not entitled to re-visit the substance of the challenged decision.</w:t>
      </w:r>
      <w:r>
        <w:rPr>
          <w:rFonts w:ascii="Times New Roman" w:hAnsi="Times New Roman" w:cs="Times New Roman"/>
          <w:sz w:val="24"/>
          <w:szCs w:val="24"/>
        </w:rPr>
        <w:t xml:space="preserve"> </w:t>
      </w:r>
      <w:r w:rsidRPr="00D87370">
        <w:rPr>
          <w:rFonts w:ascii="Times New Roman" w:hAnsi="Times New Roman" w:cs="Times New Roman"/>
          <w:sz w:val="24"/>
          <w:szCs w:val="24"/>
        </w:rPr>
        <w:t xml:space="preserve">Judicial review is a constitutional supervision of public authorities involving a challenge to the legal and procedural validity of the decision.   It does not allow the court of review to examine the evidence with a view of forming its own view about the substantial merits of the case. </w:t>
      </w:r>
      <w:r w:rsidRPr="0021034C">
        <w:rPr>
          <w:rFonts w:ascii="Times New Roman" w:hAnsi="Times New Roman" w:cs="Times New Roman"/>
          <w:sz w:val="24"/>
          <w:szCs w:val="24"/>
        </w:rPr>
        <w:t>Within the adversarial system, the function of the courts is not to pursue the truth but to decide on the cases presented by the parties</w:t>
      </w:r>
      <w:r>
        <w:rPr>
          <w:rFonts w:ascii="Times New Roman" w:hAnsi="Times New Roman" w:cs="Times New Roman"/>
          <w:sz w:val="24"/>
          <w:szCs w:val="24"/>
        </w:rPr>
        <w:t>. Administrative m</w:t>
      </w:r>
      <w:r w:rsidRPr="0021034C">
        <w:rPr>
          <w:rFonts w:ascii="Times New Roman" w:hAnsi="Times New Roman" w:cs="Times New Roman"/>
          <w:sz w:val="24"/>
          <w:szCs w:val="24"/>
        </w:rPr>
        <w:t xml:space="preserve">erits review tribunals, resources </w:t>
      </w:r>
      <w:r>
        <w:rPr>
          <w:rFonts w:ascii="Times New Roman" w:hAnsi="Times New Roman" w:cs="Times New Roman"/>
          <w:sz w:val="24"/>
          <w:szCs w:val="24"/>
        </w:rPr>
        <w:t>permitting</w:t>
      </w:r>
      <w:r w:rsidRPr="0021034C">
        <w:rPr>
          <w:rFonts w:ascii="Times New Roman" w:hAnsi="Times New Roman" w:cs="Times New Roman"/>
          <w:sz w:val="24"/>
          <w:szCs w:val="24"/>
        </w:rPr>
        <w:t>, may inquire more widely than courts, and may adopt a function closer to that of pursuing the truth than that which a court may adopt.</w:t>
      </w:r>
      <w:r>
        <w:rPr>
          <w:rFonts w:ascii="Times New Roman" w:hAnsi="Times New Roman" w:cs="Times New Roman"/>
          <w:sz w:val="24"/>
          <w:szCs w:val="24"/>
        </w:rPr>
        <w:t xml:space="preserve"> </w:t>
      </w:r>
      <w:r w:rsidRPr="003E33E6">
        <w:rPr>
          <w:rFonts w:ascii="Times New Roman" w:hAnsi="Times New Roman" w:cs="Times New Roman"/>
          <w:sz w:val="24"/>
          <w:szCs w:val="24"/>
        </w:rPr>
        <w:t xml:space="preserve">As </w:t>
      </w:r>
      <w:r>
        <w:rPr>
          <w:rFonts w:ascii="Times New Roman" w:hAnsi="Times New Roman" w:cs="Times New Roman"/>
          <w:sz w:val="24"/>
          <w:szCs w:val="24"/>
        </w:rPr>
        <w:t>statutory</w:t>
      </w:r>
      <w:r w:rsidRPr="003E33E6">
        <w:rPr>
          <w:rFonts w:ascii="Times New Roman" w:hAnsi="Times New Roman" w:cs="Times New Roman"/>
          <w:sz w:val="24"/>
          <w:szCs w:val="24"/>
        </w:rPr>
        <w:t xml:space="preserve"> agenc</w:t>
      </w:r>
      <w:r>
        <w:rPr>
          <w:rFonts w:ascii="Times New Roman" w:hAnsi="Times New Roman" w:cs="Times New Roman"/>
          <w:sz w:val="24"/>
          <w:szCs w:val="24"/>
        </w:rPr>
        <w:t>ies</w:t>
      </w:r>
      <w:r w:rsidRPr="003E33E6">
        <w:rPr>
          <w:rFonts w:ascii="Times New Roman" w:hAnsi="Times New Roman" w:cs="Times New Roman"/>
          <w:sz w:val="24"/>
          <w:szCs w:val="24"/>
        </w:rPr>
        <w:t xml:space="preserve">, </w:t>
      </w:r>
      <w:r>
        <w:rPr>
          <w:rFonts w:ascii="Times New Roman" w:hAnsi="Times New Roman" w:cs="Times New Roman"/>
          <w:sz w:val="24"/>
          <w:szCs w:val="24"/>
        </w:rPr>
        <w:t xml:space="preserve">both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and</w:t>
      </w:r>
      <w:r w:rsidRPr="003E33E6">
        <w:rPr>
          <w:rFonts w:ascii="Times New Roman" w:hAnsi="Times New Roman" w:cs="Times New Roman"/>
          <w:sz w:val="24"/>
          <w:szCs w:val="24"/>
        </w:rPr>
        <w:t xml:space="preserve"> the </w:t>
      </w:r>
      <w:r>
        <w:rPr>
          <w:rFonts w:ascii="Times New Roman" w:hAnsi="Times New Roman" w:cs="Times New Roman"/>
          <w:sz w:val="24"/>
          <w:szCs w:val="24"/>
        </w:rPr>
        <w:t>appellant’</w:t>
      </w:r>
      <w:r w:rsidRPr="003E33E6">
        <w:rPr>
          <w:rFonts w:ascii="Times New Roman" w:hAnsi="Times New Roman" w:cs="Times New Roman"/>
          <w:sz w:val="24"/>
          <w:szCs w:val="24"/>
        </w:rPr>
        <w:t>s interests lie in the correct and preferable application of the relevant legislation and policy</w:t>
      </w:r>
      <w:r>
        <w:rPr>
          <w:rFonts w:ascii="Times New Roman" w:hAnsi="Times New Roman" w:cs="Times New Roman"/>
          <w:sz w:val="24"/>
          <w:szCs w:val="24"/>
        </w:rPr>
        <w:t xml:space="preserve"> to procurement decisions, rather than on the procedural limitations of pleadings and arguments as found in courts of law</w:t>
      </w:r>
      <w:r w:rsidRPr="003E33E6">
        <w:rPr>
          <w:rFonts w:ascii="Times New Roman" w:hAnsi="Times New Roman" w:cs="Times New Roman"/>
          <w:sz w:val="24"/>
          <w:szCs w:val="24"/>
        </w:rPr>
        <w:t>.</w:t>
      </w:r>
      <w:r>
        <w:rPr>
          <w:rFonts w:ascii="Times New Roman" w:hAnsi="Times New Roman" w:cs="Times New Roman"/>
          <w:sz w:val="24"/>
          <w:szCs w:val="24"/>
        </w:rPr>
        <w:t xml:space="preserve"> Administrative merits review allows for </w:t>
      </w:r>
      <w:r w:rsidRPr="00D87370">
        <w:rPr>
          <w:rFonts w:ascii="Times New Roman" w:hAnsi="Times New Roman" w:cs="Times New Roman"/>
          <w:sz w:val="24"/>
          <w:szCs w:val="24"/>
        </w:rPr>
        <w:t>examin</w:t>
      </w:r>
      <w:r>
        <w:rPr>
          <w:rFonts w:ascii="Times New Roman" w:hAnsi="Times New Roman" w:cs="Times New Roman"/>
          <w:sz w:val="24"/>
          <w:szCs w:val="24"/>
        </w:rPr>
        <w:t>ation of</w:t>
      </w:r>
      <w:r w:rsidRPr="00D87370">
        <w:rPr>
          <w:rFonts w:ascii="Times New Roman" w:hAnsi="Times New Roman" w:cs="Times New Roman"/>
          <w:sz w:val="24"/>
          <w:szCs w:val="24"/>
        </w:rPr>
        <w:t xml:space="preserve"> the evidence with a view of </w:t>
      </w:r>
      <w:r>
        <w:rPr>
          <w:rFonts w:ascii="Times New Roman" w:hAnsi="Times New Roman" w:cs="Times New Roman"/>
          <w:sz w:val="24"/>
          <w:szCs w:val="24"/>
        </w:rPr>
        <w:t xml:space="preserve">reviewing agency </w:t>
      </w:r>
      <w:r w:rsidRPr="00D87370">
        <w:rPr>
          <w:rFonts w:ascii="Times New Roman" w:hAnsi="Times New Roman" w:cs="Times New Roman"/>
          <w:sz w:val="24"/>
          <w:szCs w:val="24"/>
        </w:rPr>
        <w:t>forming its own view about the substantial merits of the case</w:t>
      </w:r>
      <w:r>
        <w:rPr>
          <w:rFonts w:ascii="Times New Roman" w:hAnsi="Times New Roman" w:cs="Times New Roman"/>
          <w:sz w:val="24"/>
          <w:szCs w:val="24"/>
        </w:rPr>
        <w:t>. Conduct of proceedings by both external procurement administrative review agencies ought to be more of an inquiry than adjudication.</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Pr="00B71A83"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for example is evident in Regulation 140 (3) (d)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which authorises the appellant upon receipt of an application for administrative review, to conduct an investigation and during such an investigation, to consider; </w:t>
      </w:r>
      <w:r w:rsidRPr="00B71A83">
        <w:rPr>
          <w:rFonts w:ascii="Times New Roman" w:hAnsi="Times New Roman" w:cs="Times New Roman"/>
          <w:sz w:val="24"/>
          <w:szCs w:val="24"/>
        </w:rPr>
        <w:t>(</w:t>
      </w:r>
      <w:r>
        <w:rPr>
          <w:rFonts w:ascii="Times New Roman" w:hAnsi="Times New Roman" w:cs="Times New Roman"/>
          <w:sz w:val="24"/>
          <w:szCs w:val="24"/>
        </w:rPr>
        <w:t>i</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and</w:t>
      </w:r>
      <w:r>
        <w:rPr>
          <w:rFonts w:ascii="Times New Roman" w:hAnsi="Times New Roman" w:cs="Times New Roman"/>
          <w:sz w:val="24"/>
          <w:szCs w:val="24"/>
        </w:rPr>
        <w:t xml:space="preserve"> </w:t>
      </w:r>
      <w:r w:rsidRPr="00B71A83">
        <w:rPr>
          <w:rFonts w:ascii="Times New Roman" w:hAnsi="Times New Roman" w:cs="Times New Roman"/>
          <w:sz w:val="24"/>
          <w:szCs w:val="24"/>
        </w:rPr>
        <w:t>evidence</w:t>
      </w:r>
      <w:r>
        <w:rPr>
          <w:rFonts w:ascii="Times New Roman" w:hAnsi="Times New Roman" w:cs="Times New Roman"/>
          <w:sz w:val="24"/>
          <w:szCs w:val="24"/>
        </w:rPr>
        <w:t xml:space="preserve"> </w:t>
      </w:r>
      <w:r w:rsidRPr="00B71A83">
        <w:rPr>
          <w:rFonts w:ascii="Times New Roman" w:hAnsi="Times New Roman" w:cs="Times New Roman"/>
          <w:sz w:val="24"/>
          <w:szCs w:val="24"/>
        </w:rPr>
        <w:t>contained</w:t>
      </w:r>
      <w:r>
        <w:rPr>
          <w:rFonts w:ascii="Times New Roman" w:hAnsi="Times New Roman" w:cs="Times New Roman"/>
          <w:sz w:val="24"/>
          <w:szCs w:val="24"/>
        </w:rPr>
        <w:t xml:space="preserve"> </w:t>
      </w:r>
      <w:r w:rsidRPr="00B71A83">
        <w:rPr>
          <w:rFonts w:ascii="Times New Roman" w:hAnsi="Times New Roman" w:cs="Times New Roman"/>
          <w:sz w:val="24"/>
          <w:szCs w:val="24"/>
        </w:rPr>
        <w:t>in</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application;</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ii</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in</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records</w:t>
      </w:r>
      <w:r>
        <w:rPr>
          <w:rFonts w:ascii="Times New Roman" w:hAnsi="Times New Roman" w:cs="Times New Roman"/>
          <w:sz w:val="24"/>
          <w:szCs w:val="24"/>
        </w:rPr>
        <w:t xml:space="preserve"> </w:t>
      </w:r>
      <w:r w:rsidRPr="00B71A83">
        <w:rPr>
          <w:rFonts w:ascii="Times New Roman" w:hAnsi="Times New Roman" w:cs="Times New Roman"/>
          <w:sz w:val="24"/>
          <w:szCs w:val="24"/>
        </w:rPr>
        <w:t>kept</w:t>
      </w:r>
      <w:r>
        <w:rPr>
          <w:rFonts w:ascii="Times New Roman" w:hAnsi="Times New Roman" w:cs="Times New Roman"/>
          <w:sz w:val="24"/>
          <w:szCs w:val="24"/>
        </w:rPr>
        <w:t xml:space="preserve"> </w:t>
      </w:r>
      <w:r w:rsidRPr="00B71A83">
        <w:rPr>
          <w:rFonts w:ascii="Times New Roman" w:hAnsi="Times New Roman" w:cs="Times New Roman"/>
          <w:sz w:val="24"/>
          <w:szCs w:val="24"/>
        </w:rPr>
        <w:t>by</w:t>
      </w:r>
      <w:r>
        <w:rPr>
          <w:rFonts w:ascii="Times New Roman" w:hAnsi="Times New Roman" w:cs="Times New Roman"/>
          <w:sz w:val="24"/>
          <w:szCs w:val="24"/>
        </w:rPr>
        <w:t xml:space="preserve"> </w:t>
      </w:r>
      <w:r w:rsidRPr="00B71A83">
        <w:rPr>
          <w:rFonts w:ascii="Times New Roman" w:hAnsi="Times New Roman" w:cs="Times New Roman"/>
          <w:sz w:val="24"/>
          <w:szCs w:val="24"/>
        </w:rPr>
        <w:t>a</w:t>
      </w:r>
      <w:r>
        <w:rPr>
          <w:rFonts w:ascii="Times New Roman" w:hAnsi="Times New Roman" w:cs="Times New Roman"/>
          <w:sz w:val="24"/>
          <w:szCs w:val="24"/>
        </w:rPr>
        <w:t xml:space="preserve"> </w:t>
      </w:r>
      <w:r w:rsidRPr="00B71A83">
        <w:rPr>
          <w:rFonts w:ascii="Times New Roman" w:hAnsi="Times New Roman" w:cs="Times New Roman"/>
          <w:sz w:val="24"/>
          <w:szCs w:val="24"/>
        </w:rPr>
        <w:t>secretary</w:t>
      </w:r>
      <w:r>
        <w:rPr>
          <w:rFonts w:ascii="Times New Roman" w:hAnsi="Times New Roman" w:cs="Times New Roman"/>
          <w:sz w:val="24"/>
          <w:szCs w:val="24"/>
        </w:rPr>
        <w:t xml:space="preserve"> </w:t>
      </w:r>
      <w:r w:rsidRPr="00B71A83">
        <w:rPr>
          <w:rFonts w:ascii="Times New Roman" w:hAnsi="Times New Roman" w:cs="Times New Roman"/>
          <w:sz w:val="24"/>
          <w:szCs w:val="24"/>
        </w:rPr>
        <w:t>contracts</w:t>
      </w:r>
      <w:r>
        <w:rPr>
          <w:rFonts w:ascii="Times New Roman" w:hAnsi="Times New Roman" w:cs="Times New Roman"/>
          <w:sz w:val="24"/>
          <w:szCs w:val="24"/>
        </w:rPr>
        <w:t xml:space="preserve"> </w:t>
      </w:r>
      <w:r w:rsidRPr="00B71A83">
        <w:rPr>
          <w:rFonts w:ascii="Times New Roman" w:hAnsi="Times New Roman" w:cs="Times New Roman"/>
          <w:sz w:val="24"/>
          <w:szCs w:val="24"/>
        </w:rPr>
        <w:t>committee;</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iii</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provided</w:t>
      </w:r>
      <w:r>
        <w:rPr>
          <w:rFonts w:ascii="Times New Roman" w:hAnsi="Times New Roman" w:cs="Times New Roman"/>
          <w:sz w:val="24"/>
          <w:szCs w:val="24"/>
        </w:rPr>
        <w:t xml:space="preserve"> </w:t>
      </w:r>
      <w:r w:rsidRPr="00B71A83">
        <w:rPr>
          <w:rFonts w:ascii="Times New Roman" w:hAnsi="Times New Roman" w:cs="Times New Roman"/>
          <w:sz w:val="24"/>
          <w:szCs w:val="24"/>
        </w:rPr>
        <w:t>by</w:t>
      </w:r>
      <w:r>
        <w:rPr>
          <w:rFonts w:ascii="Times New Roman" w:hAnsi="Times New Roman" w:cs="Times New Roman"/>
          <w:sz w:val="24"/>
          <w:szCs w:val="24"/>
        </w:rPr>
        <w:t xml:space="preserve"> </w:t>
      </w:r>
      <w:r w:rsidRPr="00B71A83">
        <w:rPr>
          <w:rFonts w:ascii="Times New Roman" w:hAnsi="Times New Roman" w:cs="Times New Roman"/>
          <w:sz w:val="24"/>
          <w:szCs w:val="24"/>
        </w:rPr>
        <w:t>staff</w:t>
      </w:r>
      <w:r>
        <w:rPr>
          <w:rFonts w:ascii="Times New Roman" w:hAnsi="Times New Roman" w:cs="Times New Roman"/>
          <w:sz w:val="24"/>
          <w:szCs w:val="24"/>
        </w:rPr>
        <w:t xml:space="preserve"> </w:t>
      </w:r>
      <w:r w:rsidRPr="00B71A83">
        <w:rPr>
          <w:rFonts w:ascii="Times New Roman" w:hAnsi="Times New Roman" w:cs="Times New Roman"/>
          <w:sz w:val="24"/>
          <w:szCs w:val="24"/>
        </w:rPr>
        <w:t>of</w:t>
      </w:r>
      <w:r>
        <w:rPr>
          <w:rFonts w:ascii="Times New Roman" w:hAnsi="Times New Roman" w:cs="Times New Roman"/>
          <w:sz w:val="24"/>
          <w:szCs w:val="24"/>
        </w:rPr>
        <w:t xml:space="preserve"> </w:t>
      </w:r>
      <w:r w:rsidRPr="00B71A83">
        <w:rPr>
          <w:rFonts w:ascii="Times New Roman" w:hAnsi="Times New Roman" w:cs="Times New Roman"/>
          <w:sz w:val="24"/>
          <w:szCs w:val="24"/>
        </w:rPr>
        <w:t>a</w:t>
      </w:r>
      <w:r>
        <w:rPr>
          <w:rFonts w:ascii="Times New Roman" w:hAnsi="Times New Roman" w:cs="Times New Roman"/>
          <w:sz w:val="24"/>
          <w:szCs w:val="24"/>
        </w:rPr>
        <w:t xml:space="preserve"> </w:t>
      </w:r>
      <w:r w:rsidRPr="00B71A83">
        <w:rPr>
          <w:rFonts w:ascii="Times New Roman" w:hAnsi="Times New Roman" w:cs="Times New Roman"/>
          <w:sz w:val="24"/>
          <w:szCs w:val="24"/>
        </w:rPr>
        <w:t>procuring</w:t>
      </w:r>
      <w:r>
        <w:rPr>
          <w:rFonts w:ascii="Times New Roman" w:hAnsi="Times New Roman" w:cs="Times New Roman"/>
          <w:sz w:val="24"/>
          <w:szCs w:val="24"/>
        </w:rPr>
        <w:t xml:space="preserve"> </w:t>
      </w:r>
      <w:r w:rsidRPr="00B71A83">
        <w:rPr>
          <w:rFonts w:ascii="Times New Roman" w:hAnsi="Times New Roman" w:cs="Times New Roman"/>
          <w:sz w:val="24"/>
          <w:szCs w:val="24"/>
        </w:rPr>
        <w:t>and</w:t>
      </w:r>
      <w:r>
        <w:rPr>
          <w:rFonts w:ascii="Times New Roman" w:hAnsi="Times New Roman" w:cs="Times New Roman"/>
          <w:sz w:val="24"/>
          <w:szCs w:val="24"/>
        </w:rPr>
        <w:t xml:space="preserve"> </w:t>
      </w:r>
      <w:r w:rsidRPr="00B71A83">
        <w:rPr>
          <w:rFonts w:ascii="Times New Roman" w:hAnsi="Times New Roman" w:cs="Times New Roman"/>
          <w:sz w:val="24"/>
          <w:szCs w:val="24"/>
        </w:rPr>
        <w:t>disposing</w:t>
      </w:r>
      <w:r>
        <w:rPr>
          <w:rFonts w:ascii="Times New Roman" w:hAnsi="Times New Roman" w:cs="Times New Roman"/>
          <w:sz w:val="24"/>
          <w:szCs w:val="24"/>
        </w:rPr>
        <w:t xml:space="preserve"> </w:t>
      </w:r>
      <w:r w:rsidRPr="00B71A83">
        <w:rPr>
          <w:rFonts w:ascii="Times New Roman" w:hAnsi="Times New Roman" w:cs="Times New Roman"/>
          <w:sz w:val="24"/>
          <w:szCs w:val="24"/>
        </w:rPr>
        <w:t>entity</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iv</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information</w:t>
      </w:r>
      <w:r>
        <w:rPr>
          <w:rFonts w:ascii="Times New Roman" w:hAnsi="Times New Roman" w:cs="Times New Roman"/>
          <w:sz w:val="24"/>
          <w:szCs w:val="24"/>
        </w:rPr>
        <w:t xml:space="preserve"> </w:t>
      </w:r>
      <w:r w:rsidRPr="00B71A83">
        <w:rPr>
          <w:rFonts w:ascii="Times New Roman" w:hAnsi="Times New Roman" w:cs="Times New Roman"/>
          <w:sz w:val="24"/>
          <w:szCs w:val="24"/>
        </w:rPr>
        <w:t>provided</w:t>
      </w:r>
      <w:r>
        <w:rPr>
          <w:rFonts w:ascii="Times New Roman" w:hAnsi="Times New Roman" w:cs="Times New Roman"/>
          <w:sz w:val="24"/>
          <w:szCs w:val="24"/>
        </w:rPr>
        <w:t xml:space="preserve"> </w:t>
      </w:r>
      <w:r w:rsidRPr="00B71A83">
        <w:rPr>
          <w:rFonts w:ascii="Times New Roman" w:hAnsi="Times New Roman" w:cs="Times New Roman"/>
          <w:sz w:val="24"/>
          <w:szCs w:val="24"/>
        </w:rPr>
        <w:t>by</w:t>
      </w:r>
      <w:r>
        <w:rPr>
          <w:rFonts w:ascii="Times New Roman" w:hAnsi="Times New Roman" w:cs="Times New Roman"/>
          <w:sz w:val="24"/>
          <w:szCs w:val="24"/>
        </w:rPr>
        <w:t xml:space="preserve"> </w:t>
      </w:r>
      <w:r w:rsidRPr="00B71A83">
        <w:rPr>
          <w:rFonts w:ascii="Times New Roman" w:hAnsi="Times New Roman" w:cs="Times New Roman"/>
          <w:sz w:val="24"/>
          <w:szCs w:val="24"/>
        </w:rPr>
        <w:t>the</w:t>
      </w:r>
      <w:r>
        <w:rPr>
          <w:rFonts w:ascii="Times New Roman" w:hAnsi="Times New Roman" w:cs="Times New Roman"/>
          <w:sz w:val="24"/>
          <w:szCs w:val="24"/>
        </w:rPr>
        <w:t xml:space="preserve"> </w:t>
      </w:r>
      <w:r w:rsidRPr="00B71A83">
        <w:rPr>
          <w:rFonts w:ascii="Times New Roman" w:hAnsi="Times New Roman" w:cs="Times New Roman"/>
          <w:sz w:val="24"/>
          <w:szCs w:val="24"/>
        </w:rPr>
        <w:t>other</w:t>
      </w:r>
      <w:r>
        <w:rPr>
          <w:rFonts w:ascii="Times New Roman" w:hAnsi="Times New Roman" w:cs="Times New Roman"/>
          <w:sz w:val="24"/>
          <w:szCs w:val="24"/>
        </w:rPr>
        <w:t xml:space="preserve"> </w:t>
      </w:r>
      <w:r w:rsidRPr="00B71A83">
        <w:rPr>
          <w:rFonts w:ascii="Times New Roman" w:hAnsi="Times New Roman" w:cs="Times New Roman"/>
          <w:sz w:val="24"/>
          <w:szCs w:val="24"/>
        </w:rPr>
        <w:t>bidders;</w:t>
      </w:r>
      <w:r>
        <w:rPr>
          <w:rFonts w:ascii="Times New Roman" w:hAnsi="Times New Roman" w:cs="Times New Roman"/>
          <w:sz w:val="24"/>
          <w:szCs w:val="24"/>
        </w:rPr>
        <w:t xml:space="preserve"> </w:t>
      </w:r>
      <w:r w:rsidRPr="00B71A83">
        <w:rPr>
          <w:rFonts w:ascii="Times New Roman" w:hAnsi="Times New Roman" w:cs="Times New Roman"/>
          <w:sz w:val="24"/>
          <w:szCs w:val="24"/>
        </w:rPr>
        <w:t>and</w:t>
      </w:r>
      <w:r>
        <w:rPr>
          <w:rFonts w:ascii="Times New Roman" w:hAnsi="Times New Roman" w:cs="Times New Roman"/>
          <w:sz w:val="24"/>
          <w:szCs w:val="24"/>
        </w:rPr>
        <w:t xml:space="preserve"> </w:t>
      </w:r>
      <w:r w:rsidRPr="00B71A83">
        <w:rPr>
          <w:rFonts w:ascii="Times New Roman" w:hAnsi="Times New Roman" w:cs="Times New Roman"/>
          <w:sz w:val="24"/>
          <w:szCs w:val="24"/>
        </w:rPr>
        <w:t>(</w:t>
      </w:r>
      <w:r>
        <w:rPr>
          <w:rFonts w:ascii="Times New Roman" w:hAnsi="Times New Roman" w:cs="Times New Roman"/>
          <w:sz w:val="24"/>
          <w:szCs w:val="24"/>
        </w:rPr>
        <w:t>v</w:t>
      </w:r>
      <w:r w:rsidRPr="00B71A83">
        <w:rPr>
          <w:rFonts w:ascii="Times New Roman" w:hAnsi="Times New Roman" w:cs="Times New Roman"/>
          <w:sz w:val="24"/>
          <w:szCs w:val="24"/>
        </w:rPr>
        <w:t>)</w:t>
      </w:r>
      <w:r>
        <w:rPr>
          <w:rFonts w:ascii="Times New Roman" w:hAnsi="Times New Roman" w:cs="Times New Roman"/>
          <w:sz w:val="24"/>
          <w:szCs w:val="24"/>
        </w:rPr>
        <w:t xml:space="preserve"> </w:t>
      </w:r>
      <w:r w:rsidRPr="00B71A83">
        <w:rPr>
          <w:rFonts w:ascii="Times New Roman" w:hAnsi="Times New Roman" w:cs="Times New Roman"/>
          <w:sz w:val="24"/>
          <w:szCs w:val="24"/>
        </w:rPr>
        <w:t>any</w:t>
      </w:r>
      <w:r>
        <w:rPr>
          <w:rFonts w:ascii="Times New Roman" w:hAnsi="Times New Roman" w:cs="Times New Roman"/>
          <w:sz w:val="24"/>
          <w:szCs w:val="24"/>
        </w:rPr>
        <w:t xml:space="preserve"> </w:t>
      </w:r>
      <w:r w:rsidRPr="00B71A83">
        <w:rPr>
          <w:rFonts w:ascii="Times New Roman" w:hAnsi="Times New Roman" w:cs="Times New Roman"/>
          <w:sz w:val="24"/>
          <w:szCs w:val="24"/>
        </w:rPr>
        <w:t>other</w:t>
      </w:r>
      <w:r>
        <w:rPr>
          <w:rFonts w:ascii="Times New Roman" w:hAnsi="Times New Roman" w:cs="Times New Roman"/>
          <w:sz w:val="24"/>
          <w:szCs w:val="24"/>
        </w:rPr>
        <w:t xml:space="preserve"> </w:t>
      </w:r>
      <w:r w:rsidRPr="00B71A83">
        <w:rPr>
          <w:rFonts w:ascii="Times New Roman" w:hAnsi="Times New Roman" w:cs="Times New Roman"/>
          <w:sz w:val="24"/>
          <w:szCs w:val="24"/>
        </w:rPr>
        <w:t>relevant</w:t>
      </w:r>
      <w:r>
        <w:rPr>
          <w:rFonts w:ascii="Times New Roman" w:hAnsi="Times New Roman" w:cs="Times New Roman"/>
          <w:sz w:val="24"/>
          <w:szCs w:val="24"/>
        </w:rPr>
        <w:t xml:space="preserve"> information, under Regulation 140 (5) thereof.</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Pr="00A268ED" w:rsidRDefault="00B23499" w:rsidP="00B2349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comment made by </w:t>
      </w:r>
      <w:r w:rsidRPr="00A268ED">
        <w:rPr>
          <w:rFonts w:ascii="Times New Roman" w:eastAsia="Times New Roman" w:hAnsi="Times New Roman" w:cs="Times New Roman"/>
          <w:sz w:val="24"/>
          <w:szCs w:val="24"/>
        </w:rPr>
        <w:t xml:space="preserve">The Australian Law Reform Commission, in its </w:t>
      </w:r>
      <w:r>
        <w:rPr>
          <w:rFonts w:ascii="Times New Roman" w:eastAsia="Times New Roman" w:hAnsi="Times New Roman" w:cs="Times New Roman"/>
          <w:sz w:val="24"/>
          <w:szCs w:val="24"/>
        </w:rPr>
        <w:t>r</w:t>
      </w:r>
      <w:r w:rsidRPr="00A268ED">
        <w:rPr>
          <w:rFonts w:ascii="Times New Roman" w:eastAsia="Times New Roman" w:hAnsi="Times New Roman" w:cs="Times New Roman"/>
          <w:sz w:val="24"/>
          <w:szCs w:val="24"/>
        </w:rPr>
        <w:t xml:space="preserve">eport </w:t>
      </w:r>
      <w:r w:rsidRPr="00A268ED">
        <w:rPr>
          <w:rFonts w:ascii="Times New Roman" w:eastAsia="Times New Roman" w:hAnsi="Times New Roman" w:cs="Times New Roman"/>
          <w:i/>
          <w:sz w:val="24"/>
          <w:szCs w:val="24"/>
        </w:rPr>
        <w:t>“Managing Justice: A Review of the Federal Civil Justice System”</w:t>
      </w:r>
      <w:r w:rsidRPr="00A268ED">
        <w:rPr>
          <w:rFonts w:ascii="Times New Roman" w:eastAsia="Times New Roman" w:hAnsi="Times New Roman" w:cs="Times New Roman"/>
          <w:sz w:val="24"/>
          <w:szCs w:val="24"/>
        </w:rPr>
        <w:t xml:space="preserve">, published in 2000, </w:t>
      </w:r>
      <w:r>
        <w:rPr>
          <w:rFonts w:ascii="Times New Roman" w:eastAsia="Times New Roman" w:hAnsi="Times New Roman" w:cs="Times New Roman"/>
          <w:sz w:val="24"/>
          <w:szCs w:val="24"/>
        </w:rPr>
        <w:t>is instructive on this point. The Commission in that report commented</w:t>
      </w:r>
      <w:r w:rsidRPr="00A268ED">
        <w:rPr>
          <w:rFonts w:ascii="Times New Roman" w:eastAsia="Times New Roman" w:hAnsi="Times New Roman" w:cs="Times New Roman"/>
          <w:sz w:val="24"/>
          <w:szCs w:val="24"/>
        </w:rPr>
        <w:t>:</w:t>
      </w:r>
    </w:p>
    <w:p w:rsidR="00B23499" w:rsidRPr="00A268ED" w:rsidRDefault="00B23499" w:rsidP="00B23499">
      <w:pPr>
        <w:spacing w:after="0"/>
        <w:ind w:left="576" w:right="576"/>
        <w:jc w:val="both"/>
        <w:rPr>
          <w:rFonts w:ascii="Times New Roman" w:eastAsia="Times New Roman" w:hAnsi="Times New Roman" w:cs="Times New Roman"/>
          <w:sz w:val="24"/>
          <w:szCs w:val="24"/>
        </w:rPr>
      </w:pPr>
      <w:r w:rsidRPr="00A268ED">
        <w:rPr>
          <w:rFonts w:ascii="Times New Roman" w:eastAsia="Times New Roman" w:hAnsi="Times New Roman" w:cs="Times New Roman"/>
          <w:sz w:val="24"/>
          <w:szCs w:val="24"/>
        </w:rPr>
        <w:lastRenderedPageBreak/>
        <w:t>In review tribunal proceedings there is no necessary conflict between the interests of the applicant and of the government agency. Tribunals and other administrative decision making processes are not intended to identify the winner from two competing parties. The public interest ‘wins’ just as much as the successful applicant because correct or preferable decision making contributes, through its normative effect, to correct and fair administration and to the jurisprudence and policy in the particular area. The values underpinning administrative review are said to encompass the desire for a review system which promotes lawfulness, fairness, openness, participation and rationality. The provision of administrative review can be seen to fit neatly into a model of pluralist and participatory democracy.</w:t>
      </w:r>
      <w:r>
        <w:rPr>
          <w:rFonts w:ascii="Times New Roman" w:eastAsia="Times New Roman" w:hAnsi="Times New Roman" w:cs="Times New Roman"/>
          <w:sz w:val="24"/>
          <w:szCs w:val="24"/>
        </w:rPr>
        <w:t xml:space="preserve"> </w:t>
      </w:r>
      <w:r w:rsidRPr="00A268ED">
        <w:rPr>
          <w:rFonts w:ascii="Times New Roman" w:hAnsi="Times New Roman" w:cs="Times New Roman"/>
          <w:sz w:val="24"/>
          <w:szCs w:val="24"/>
        </w:rPr>
        <w:t xml:space="preserve">(see </w:t>
      </w:r>
      <w:r w:rsidRPr="00A268ED">
        <w:rPr>
          <w:rFonts w:ascii="Times New Roman" w:eastAsia="Times New Roman" w:hAnsi="Times New Roman" w:cs="Times New Roman"/>
          <w:sz w:val="24"/>
          <w:szCs w:val="24"/>
        </w:rPr>
        <w:t xml:space="preserve">Australian Law Reform Commission, </w:t>
      </w:r>
      <w:r w:rsidRPr="00A268ED">
        <w:rPr>
          <w:rFonts w:ascii="Times New Roman" w:eastAsia="Times New Roman" w:hAnsi="Times New Roman" w:cs="Times New Roman"/>
          <w:i/>
          <w:sz w:val="24"/>
          <w:szCs w:val="24"/>
        </w:rPr>
        <w:t>Managing Justice: A Review of the Federal Civil Justice System</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(ALRC 89),</w:t>
      </w:r>
      <w:r>
        <w:rPr>
          <w:rFonts w:ascii="Times New Roman" w:eastAsia="Times New Roman" w:hAnsi="Times New Roman" w:cs="Times New Roman"/>
          <w:sz w:val="24"/>
          <w:szCs w:val="24"/>
        </w:rPr>
        <w:t xml:space="preserve"> </w:t>
      </w:r>
      <w:r w:rsidRPr="00A268ED">
        <w:rPr>
          <w:rFonts w:ascii="Times New Roman" w:eastAsia="Times New Roman" w:hAnsi="Times New Roman" w:cs="Times New Roman"/>
          <w:sz w:val="24"/>
          <w:szCs w:val="24"/>
        </w:rPr>
        <w:t xml:space="preserve">Australian Government Publishing Service, Canberra, 2000, </w:t>
      </w:r>
      <w:r>
        <w:rPr>
          <w:rFonts w:ascii="Times New Roman" w:eastAsia="Times New Roman" w:hAnsi="Times New Roman" w:cs="Times New Roman"/>
          <w:sz w:val="24"/>
          <w:szCs w:val="24"/>
        </w:rPr>
        <w:t xml:space="preserve">at </w:t>
      </w:r>
      <w:r w:rsidRPr="00A268ED">
        <w:rPr>
          <w:rFonts w:ascii="Times New Roman" w:eastAsia="Times New Roman" w:hAnsi="Times New Roman" w:cs="Times New Roman"/>
          <w:sz w:val="24"/>
          <w:szCs w:val="24"/>
        </w:rPr>
        <w:t>p 758 [9.11].)</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construe the argument advanced by counsel for the appellant that by the PPDA Tribunal formulating its own issue regarding the validity of the extent of customisation of the Standard Bidding Document the appellant had issued for the management of Public Vehicle Parking Areas to the procurement of management and revenue collection from markets by the procurement entity was a violation of the rules of natural justice, as envisioning the role of the tribunal to be comparable to that of a court of law. The argument that the PPDA Tribunal descended into the arena as applicant and adjudicator at the same time when it did that as conceiving administrative merits review in the light of a judicial adjudication.  An external administrative merits review is not in the nature of an appeal. An </w:t>
      </w:r>
      <w:r w:rsidRPr="00EE32C9">
        <w:rPr>
          <w:rFonts w:ascii="Times New Roman" w:hAnsi="Times New Roman" w:cs="Times New Roman"/>
          <w:sz w:val="24"/>
          <w:szCs w:val="24"/>
        </w:rPr>
        <w:t xml:space="preserve">External </w:t>
      </w:r>
      <w:r>
        <w:rPr>
          <w:rFonts w:ascii="Times New Roman" w:hAnsi="Times New Roman" w:cs="Times New Roman"/>
          <w:sz w:val="24"/>
          <w:szCs w:val="24"/>
        </w:rPr>
        <w:t xml:space="preserve">merits </w:t>
      </w:r>
      <w:r w:rsidRPr="00EE32C9">
        <w:rPr>
          <w:rFonts w:ascii="Times New Roman" w:hAnsi="Times New Roman" w:cs="Times New Roman"/>
          <w:sz w:val="24"/>
          <w:szCs w:val="24"/>
        </w:rPr>
        <w:t>review involves fresh consideration of a primary decision by an external body</w:t>
      </w:r>
      <w:r>
        <w:rPr>
          <w:rFonts w:ascii="Times New Roman" w:hAnsi="Times New Roman" w:cs="Times New Roman"/>
          <w:sz w:val="24"/>
          <w:szCs w:val="24"/>
        </w:rPr>
        <w:t xml:space="preserve">, in this case by the appellant as </w:t>
      </w:r>
      <w:r w:rsidRPr="00EE32C9">
        <w:rPr>
          <w:rFonts w:ascii="Times New Roman" w:hAnsi="Times New Roman" w:cs="Times New Roman"/>
          <w:sz w:val="24"/>
          <w:szCs w:val="24"/>
        </w:rPr>
        <w:t>a regulator</w:t>
      </w:r>
      <w:r>
        <w:rPr>
          <w:rFonts w:ascii="Times New Roman" w:hAnsi="Times New Roman" w:cs="Times New Roman"/>
          <w:sz w:val="24"/>
          <w:szCs w:val="24"/>
        </w:rPr>
        <w:t xml:space="preserve"> and the</w:t>
      </w:r>
      <w:r w:rsidRPr="00EE32C9">
        <w:rPr>
          <w:rFonts w:ascii="Times New Roman" w:hAnsi="Times New Roman" w:cs="Times New Roman"/>
          <w:sz w:val="24"/>
          <w:szCs w:val="24"/>
        </w:rPr>
        <w:t xml:space="preserve"> tribunal</w:t>
      </w:r>
      <w:r>
        <w:rPr>
          <w:rFonts w:ascii="Times New Roman" w:hAnsi="Times New Roman" w:cs="Times New Roman"/>
          <w:sz w:val="24"/>
          <w:szCs w:val="24"/>
        </w:rPr>
        <w:t xml:space="preserve"> as the final external administrative review agency.  E</w:t>
      </w:r>
      <w:r w:rsidRPr="00EE32C9">
        <w:rPr>
          <w:rFonts w:ascii="Times New Roman" w:hAnsi="Times New Roman" w:cs="Times New Roman"/>
          <w:sz w:val="24"/>
          <w:szCs w:val="24"/>
        </w:rPr>
        <w:t xml:space="preserve">xternal </w:t>
      </w:r>
      <w:r>
        <w:rPr>
          <w:rFonts w:ascii="Times New Roman" w:hAnsi="Times New Roman" w:cs="Times New Roman"/>
          <w:sz w:val="24"/>
          <w:szCs w:val="24"/>
        </w:rPr>
        <w:t xml:space="preserve">administrative </w:t>
      </w:r>
      <w:r w:rsidRPr="00EE32C9">
        <w:rPr>
          <w:rFonts w:ascii="Times New Roman" w:hAnsi="Times New Roman" w:cs="Times New Roman"/>
          <w:sz w:val="24"/>
          <w:szCs w:val="24"/>
        </w:rPr>
        <w:t xml:space="preserve">merits reviewers exercise the </w:t>
      </w:r>
      <w:r>
        <w:rPr>
          <w:rFonts w:ascii="Times New Roman" w:hAnsi="Times New Roman" w:cs="Times New Roman"/>
          <w:sz w:val="24"/>
          <w:szCs w:val="24"/>
        </w:rPr>
        <w:t>power of the original procurement entity’s decision maker.</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Pr="00147570" w:rsidRDefault="00B23499" w:rsidP="00B23499">
      <w:pPr>
        <w:spacing w:after="0" w:line="360" w:lineRule="auto"/>
        <w:jc w:val="both"/>
        <w:rPr>
          <w:rFonts w:ascii="Times New Roman" w:eastAsia="Times New Roman" w:hAnsi="Times New Roman" w:cs="Times New Roman"/>
          <w:sz w:val="24"/>
          <w:szCs w:val="24"/>
        </w:rPr>
      </w:pPr>
      <w:r w:rsidRPr="00147570">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external administrative </w:t>
      </w:r>
      <w:r w:rsidRPr="00147570">
        <w:rPr>
          <w:rFonts w:ascii="Times New Roman" w:eastAsia="Times New Roman" w:hAnsi="Times New Roman" w:cs="Times New Roman"/>
          <w:sz w:val="24"/>
          <w:szCs w:val="24"/>
        </w:rPr>
        <w:t xml:space="preserve">merits review tribunals share many of the features of a court, including adherence to the rules of procedural fairness, impartial decision-making and the provision of written reasons, the inquisitorial function allows </w:t>
      </w:r>
      <w:r>
        <w:rPr>
          <w:rFonts w:ascii="Times New Roman" w:eastAsia="Times New Roman" w:hAnsi="Times New Roman" w:cs="Times New Roman"/>
          <w:sz w:val="24"/>
          <w:szCs w:val="24"/>
        </w:rPr>
        <w:t xml:space="preserve">such </w:t>
      </w:r>
      <w:r w:rsidRPr="00147570">
        <w:rPr>
          <w:rFonts w:ascii="Times New Roman" w:eastAsia="Times New Roman" w:hAnsi="Times New Roman" w:cs="Times New Roman"/>
          <w:sz w:val="24"/>
          <w:szCs w:val="24"/>
        </w:rPr>
        <w:t>tribunals to better investigate the truth and the merits of a</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matter, and to take a wider variety of considerations into account when making decisions. Such</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tribunals are ideally served by cooperative, helpful </w:t>
      </w:r>
      <w:r>
        <w:rPr>
          <w:rFonts w:ascii="Times New Roman" w:eastAsia="Times New Roman" w:hAnsi="Times New Roman" w:cs="Times New Roman"/>
          <w:sz w:val="24"/>
          <w:szCs w:val="24"/>
        </w:rPr>
        <w:t>parties</w:t>
      </w:r>
      <w:r w:rsidRPr="00147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providing </w:t>
      </w:r>
      <w:r w:rsidRPr="00147570">
        <w:rPr>
          <w:rFonts w:ascii="Times New Roman" w:eastAsia="Times New Roman" w:hAnsi="Times New Roman" w:cs="Times New Roman"/>
          <w:sz w:val="24"/>
          <w:szCs w:val="24"/>
        </w:rPr>
        <w:t>them wi</w:t>
      </w:r>
      <w:r>
        <w:rPr>
          <w:rFonts w:ascii="Times New Roman" w:eastAsia="Times New Roman" w:hAnsi="Times New Roman" w:cs="Times New Roman"/>
          <w:sz w:val="24"/>
          <w:szCs w:val="24"/>
        </w:rPr>
        <w:t xml:space="preserve">th relevant material, and eschewing an </w:t>
      </w:r>
      <w:r w:rsidRPr="00147570">
        <w:rPr>
          <w:rFonts w:ascii="Times New Roman" w:eastAsia="Times New Roman" w:hAnsi="Times New Roman" w:cs="Times New Roman"/>
          <w:sz w:val="24"/>
          <w:szCs w:val="24"/>
        </w:rPr>
        <w:t xml:space="preserve">adversarial approach to their opponents. The aim of achieving the </w:t>
      </w:r>
      <w:r>
        <w:rPr>
          <w:rFonts w:ascii="Times New Roman" w:eastAsia="Times New Roman" w:hAnsi="Times New Roman" w:cs="Times New Roman"/>
          <w:sz w:val="24"/>
          <w:szCs w:val="24"/>
        </w:rPr>
        <w:t>correct or preferable</w:t>
      </w:r>
      <w:r w:rsidRPr="00147570">
        <w:rPr>
          <w:rFonts w:ascii="Times New Roman" w:eastAsia="Times New Roman" w:hAnsi="Times New Roman" w:cs="Times New Roman"/>
          <w:sz w:val="24"/>
          <w:szCs w:val="24"/>
        </w:rPr>
        <w:t xml:space="preserve"> decision is</w:t>
      </w:r>
      <w:r>
        <w:rPr>
          <w:rFonts w:ascii="Times New Roman" w:eastAsia="Times New Roman" w:hAnsi="Times New Roman" w:cs="Times New Roman"/>
          <w:sz w:val="24"/>
          <w:szCs w:val="24"/>
        </w:rPr>
        <w:t xml:space="preserve"> a far more attractive one </w:t>
      </w:r>
      <w:r>
        <w:rPr>
          <w:rFonts w:ascii="Times New Roman" w:eastAsia="Times New Roman" w:hAnsi="Times New Roman" w:cs="Times New Roman"/>
          <w:sz w:val="24"/>
          <w:szCs w:val="24"/>
        </w:rPr>
        <w:lastRenderedPageBreak/>
        <w:t xml:space="preserve">than </w:t>
      </w:r>
      <w:r w:rsidRPr="00147570">
        <w:rPr>
          <w:rFonts w:ascii="Times New Roman" w:eastAsia="Times New Roman" w:hAnsi="Times New Roman" w:cs="Times New Roman"/>
          <w:sz w:val="24"/>
          <w:szCs w:val="24"/>
        </w:rPr>
        <w:t>the more constrained goal of courts to determine the correct decision, irrespective</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147570">
        <w:rPr>
          <w:rFonts w:ascii="Times New Roman" w:eastAsia="Times New Roman" w:hAnsi="Times New Roman" w:cs="Times New Roman"/>
          <w:sz w:val="24"/>
          <w:szCs w:val="24"/>
        </w:rPr>
        <w:t xml:space="preserve">administrative justice. </w:t>
      </w:r>
      <w:r>
        <w:rPr>
          <w:rFonts w:ascii="Times New Roman" w:eastAsia="Times New Roman" w:hAnsi="Times New Roman" w:cs="Times New Roman"/>
          <w:sz w:val="24"/>
          <w:szCs w:val="24"/>
        </w:rPr>
        <w:t xml:space="preserve">That notwithstanding, </w:t>
      </w:r>
      <w:r w:rsidRPr="00147570">
        <w:rPr>
          <w:rFonts w:ascii="Times New Roman" w:hAnsi="Times New Roman" w:cs="Times New Roman"/>
          <w:sz w:val="24"/>
          <w:szCs w:val="24"/>
        </w:rPr>
        <w:t>although external</w:t>
      </w:r>
      <w:r>
        <w:rPr>
          <w:rFonts w:ascii="Times New Roman" w:hAnsi="Times New Roman" w:cs="Times New Roman"/>
          <w:sz w:val="24"/>
          <w:szCs w:val="24"/>
        </w:rPr>
        <w:t xml:space="preserve"> administrative merits review decision makers may take</w:t>
      </w:r>
      <w:r w:rsidRPr="00705E7E">
        <w:rPr>
          <w:rFonts w:ascii="Times New Roman" w:hAnsi="Times New Roman" w:cs="Times New Roman"/>
          <w:sz w:val="24"/>
          <w:szCs w:val="24"/>
        </w:rPr>
        <w:t xml:space="preserve"> an inquisitorial function in the sense that </w:t>
      </w:r>
      <w:r>
        <w:rPr>
          <w:rFonts w:ascii="Times New Roman" w:hAnsi="Times New Roman" w:cs="Times New Roman"/>
          <w:sz w:val="24"/>
          <w:szCs w:val="24"/>
        </w:rPr>
        <w:t>they</w:t>
      </w:r>
      <w:r w:rsidRPr="00705E7E">
        <w:rPr>
          <w:rFonts w:ascii="Times New Roman" w:hAnsi="Times New Roman" w:cs="Times New Roman"/>
          <w:sz w:val="24"/>
          <w:szCs w:val="24"/>
        </w:rPr>
        <w:t xml:space="preserve"> may obtain information</w:t>
      </w:r>
      <w:r>
        <w:rPr>
          <w:rFonts w:ascii="Times New Roman" w:hAnsi="Times New Roman" w:cs="Times New Roman"/>
          <w:sz w:val="24"/>
          <w:szCs w:val="24"/>
        </w:rPr>
        <w:t xml:space="preserve"> outside what the applicant places before them</w:t>
      </w:r>
      <w:r w:rsidRPr="00705E7E">
        <w:rPr>
          <w:rFonts w:ascii="Times New Roman" w:hAnsi="Times New Roman" w:cs="Times New Roman"/>
          <w:sz w:val="24"/>
          <w:szCs w:val="24"/>
        </w:rPr>
        <w:t xml:space="preserve">, this does not mean </w:t>
      </w:r>
      <w:r>
        <w:rPr>
          <w:rFonts w:ascii="Times New Roman" w:hAnsi="Times New Roman" w:cs="Times New Roman"/>
          <w:sz w:val="24"/>
          <w:szCs w:val="24"/>
        </w:rPr>
        <w:t>that they have a general duty to undertake their</w:t>
      </w:r>
      <w:r w:rsidRPr="00705E7E">
        <w:rPr>
          <w:rFonts w:ascii="Times New Roman" w:hAnsi="Times New Roman" w:cs="Times New Roman"/>
          <w:sz w:val="24"/>
          <w:szCs w:val="24"/>
        </w:rPr>
        <w:t xml:space="preserve"> own inquiries in addition to information provided to </w:t>
      </w:r>
      <w:r>
        <w:rPr>
          <w:rFonts w:ascii="Times New Roman" w:hAnsi="Times New Roman" w:cs="Times New Roman"/>
          <w:sz w:val="24"/>
          <w:szCs w:val="24"/>
        </w:rPr>
        <w:t>them by the applicant and otherwise.</w:t>
      </w:r>
      <w:r w:rsidRPr="00705E7E">
        <w:rPr>
          <w:rFonts w:ascii="Times New Roman" w:hAnsi="Times New Roman" w:cs="Times New Roman"/>
          <w:sz w:val="24"/>
          <w:szCs w:val="24"/>
        </w:rPr>
        <w:t xml:space="preserve">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proofErr w:type="gramStart"/>
      <w:r>
        <w:rPr>
          <w:rFonts w:ascii="Times New Roman" w:hAnsi="Times New Roman" w:cs="Times New Roman"/>
          <w:sz w:val="24"/>
          <w:szCs w:val="24"/>
        </w:rPr>
        <w:t>91 I (6)</w:t>
      </w:r>
      <w:proofErr w:type="gramEnd"/>
      <w:r>
        <w:rPr>
          <w:rFonts w:ascii="Times New Roman" w:hAnsi="Times New Roman" w:cs="Times New Roman"/>
          <w:sz w:val="24"/>
          <w:szCs w:val="24"/>
        </w:rPr>
        <w:t xml:space="preserve"> </w:t>
      </w:r>
      <w:r w:rsidRPr="001926C3">
        <w:rPr>
          <w:rFonts w:ascii="Times New Roman" w:hAnsi="Times New Roman" w:cs="Times New Roman"/>
          <w:sz w:val="24"/>
          <w:szCs w:val="24"/>
        </w:rPr>
        <w:t>of</w:t>
      </w:r>
      <w:r>
        <w:rPr>
          <w:rFonts w:ascii="Times New Roman" w:hAnsi="Times New Roman" w:cs="Times New Roman"/>
          <w:sz w:val="24"/>
          <w:szCs w:val="24"/>
        </w:rPr>
        <w:t xml:space="preserve">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confers upon The </w:t>
      </w:r>
      <w:r w:rsidRPr="002E3523">
        <w:rPr>
          <w:rFonts w:ascii="Times New Roman" w:hAnsi="Times New Roman" w:cs="Times New Roman"/>
          <w:sz w:val="24"/>
          <w:szCs w:val="24"/>
        </w:rPr>
        <w:t>Public Procurement and Disposal of Public Assets</w:t>
      </w:r>
      <w:r>
        <w:rPr>
          <w:rFonts w:ascii="Times New Roman" w:hAnsi="Times New Roman" w:cs="Times New Roman"/>
          <w:sz w:val="24"/>
          <w:szCs w:val="24"/>
        </w:rPr>
        <w:t xml:space="preserve"> Tribunal </w:t>
      </w:r>
      <w:r w:rsidRPr="009860FF">
        <w:rPr>
          <w:rFonts w:ascii="Times New Roman" w:hAnsi="Times New Roman" w:cs="Times New Roman"/>
          <w:sz w:val="24"/>
          <w:szCs w:val="24"/>
        </w:rPr>
        <w:t>wide powers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Implicit within such a power is the authority to consider</w:t>
      </w:r>
      <w:r w:rsidRPr="009860FF">
        <w:rPr>
          <w:rFonts w:ascii="Times New Roman" w:hAnsi="Times New Roman" w:cs="Times New Roman"/>
          <w:sz w:val="24"/>
          <w:szCs w:val="24"/>
        </w:rPr>
        <w:t xml:space="preserve"> both the lawfulness of the </w:t>
      </w:r>
      <w:r>
        <w:rPr>
          <w:rFonts w:ascii="Times New Roman" w:hAnsi="Times New Roman" w:cs="Times New Roman"/>
          <w:sz w:val="24"/>
          <w:szCs w:val="24"/>
        </w:rPr>
        <w:t>procurement</w:t>
      </w:r>
      <w:r w:rsidRPr="009860FF">
        <w:rPr>
          <w:rFonts w:ascii="Times New Roman" w:hAnsi="Times New Roman" w:cs="Times New Roman"/>
          <w:sz w:val="24"/>
          <w:szCs w:val="24"/>
        </w:rPr>
        <w:t xml:space="preserve"> decision it is reviewing and the facts going</w:t>
      </w:r>
      <w:r>
        <w:rPr>
          <w:rFonts w:ascii="Times New Roman" w:hAnsi="Times New Roman" w:cs="Times New Roman"/>
          <w:sz w:val="24"/>
          <w:szCs w:val="24"/>
        </w:rPr>
        <w:t xml:space="preserve"> to the exercise of discretion, whether raised by the applicant or not, provided all interested parties are provided </w:t>
      </w:r>
      <w:r w:rsidRPr="00292F9F">
        <w:rPr>
          <w:rFonts w:ascii="Times New Roman" w:hAnsi="Times New Roman" w:cs="Times New Roman"/>
          <w:sz w:val="24"/>
          <w:szCs w:val="24"/>
        </w:rPr>
        <w:t>with</w:t>
      </w:r>
      <w:r>
        <w:rPr>
          <w:rFonts w:ascii="Times New Roman" w:hAnsi="Times New Roman" w:cs="Times New Roman"/>
          <w:sz w:val="24"/>
          <w:szCs w:val="24"/>
        </w:rPr>
        <w:t xml:space="preserve"> an opportunity to present </w:t>
      </w:r>
      <w:r w:rsidRPr="00292F9F">
        <w:rPr>
          <w:rFonts w:ascii="Times New Roman" w:hAnsi="Times New Roman" w:cs="Times New Roman"/>
          <w:sz w:val="24"/>
          <w:szCs w:val="24"/>
        </w:rPr>
        <w:t>their case (the right to be heard),</w:t>
      </w:r>
      <w:r>
        <w:rPr>
          <w:rFonts w:ascii="Times New Roman" w:hAnsi="Times New Roman" w:cs="Times New Roman"/>
          <w:sz w:val="24"/>
          <w:szCs w:val="24"/>
        </w:rPr>
        <w:t xml:space="preserve"> are</w:t>
      </w:r>
      <w:r w:rsidRPr="00292F9F">
        <w:rPr>
          <w:rFonts w:ascii="Times New Roman" w:hAnsi="Times New Roman" w:cs="Times New Roman"/>
          <w:sz w:val="24"/>
          <w:szCs w:val="24"/>
        </w:rPr>
        <w:t xml:space="preserve"> notified in</w:t>
      </w:r>
      <w:r>
        <w:rPr>
          <w:rFonts w:ascii="Times New Roman" w:hAnsi="Times New Roman" w:cs="Times New Roman"/>
          <w:sz w:val="24"/>
          <w:szCs w:val="24"/>
        </w:rPr>
        <w:t xml:space="preserve"> advance that a decision is to be made on basis of that material </w:t>
      </w:r>
      <w:r w:rsidRPr="00292F9F">
        <w:rPr>
          <w:rFonts w:ascii="Times New Roman" w:hAnsi="Times New Roman" w:cs="Times New Roman"/>
          <w:sz w:val="24"/>
          <w:szCs w:val="24"/>
        </w:rPr>
        <w:t xml:space="preserve">and </w:t>
      </w:r>
      <w:r>
        <w:rPr>
          <w:rFonts w:ascii="Times New Roman" w:hAnsi="Times New Roman" w:cs="Times New Roman"/>
          <w:sz w:val="24"/>
          <w:szCs w:val="24"/>
        </w:rPr>
        <w:t>are</w:t>
      </w:r>
      <w:r w:rsidRPr="00292F9F">
        <w:rPr>
          <w:rFonts w:ascii="Times New Roman" w:hAnsi="Times New Roman" w:cs="Times New Roman"/>
          <w:sz w:val="24"/>
          <w:szCs w:val="24"/>
        </w:rPr>
        <w:t xml:space="preserve"> </w:t>
      </w:r>
      <w:r>
        <w:rPr>
          <w:rFonts w:ascii="Times New Roman" w:hAnsi="Times New Roman" w:cs="Times New Roman"/>
          <w:sz w:val="24"/>
          <w:szCs w:val="24"/>
        </w:rPr>
        <w:t>given an opportunity to respond (procedural fairness), determine the matter in an unbiased manner (an absence of bias) and give</w:t>
      </w:r>
      <w:r w:rsidRPr="004D311D">
        <w:rPr>
          <w:rFonts w:ascii="Times New Roman" w:hAnsi="Times New Roman" w:cs="Times New Roman"/>
          <w:sz w:val="24"/>
          <w:szCs w:val="24"/>
        </w:rPr>
        <w:t xml:space="preserve"> reasons for </w:t>
      </w:r>
      <w:r>
        <w:rPr>
          <w:rFonts w:ascii="Times New Roman" w:hAnsi="Times New Roman" w:cs="Times New Roman"/>
          <w:sz w:val="24"/>
          <w:szCs w:val="24"/>
        </w:rPr>
        <w:t>the</w:t>
      </w:r>
      <w:r w:rsidRPr="004D311D">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Pr="002106C6">
        <w:rPr>
          <w:rFonts w:ascii="Times New Roman" w:hAnsi="Times New Roman" w:cs="Times New Roman"/>
          <w:sz w:val="24"/>
          <w:szCs w:val="24"/>
        </w:rPr>
        <w:t>The most common metaphor to describe the functions of a</w:t>
      </w:r>
      <w:r>
        <w:rPr>
          <w:rFonts w:ascii="Times New Roman" w:hAnsi="Times New Roman" w:cs="Times New Roman"/>
          <w:sz w:val="24"/>
          <w:szCs w:val="24"/>
        </w:rPr>
        <w:t xml:space="preserve">n external administrative review </w:t>
      </w:r>
      <w:r w:rsidRPr="002106C6">
        <w:rPr>
          <w:rFonts w:ascii="Times New Roman" w:hAnsi="Times New Roman" w:cs="Times New Roman"/>
          <w:sz w:val="24"/>
          <w:szCs w:val="24"/>
        </w:rPr>
        <w:t>tribunal engaging in merits review is that it stands in the shoes of the decision-maker (</w:t>
      </w:r>
      <w:r>
        <w:rPr>
          <w:rFonts w:ascii="Times New Roman" w:hAnsi="Times New Roman" w:cs="Times New Roman"/>
          <w:sz w:val="24"/>
          <w:szCs w:val="24"/>
        </w:rPr>
        <w:t>see</w:t>
      </w:r>
      <w:r w:rsidRPr="002106C6">
        <w:rPr>
          <w:rFonts w:ascii="Times New Roman" w:hAnsi="Times New Roman" w:cs="Times New Roman"/>
          <w:sz w:val="24"/>
          <w:szCs w:val="24"/>
        </w:rPr>
        <w:t xml:space="preserve"> </w:t>
      </w:r>
      <w:r w:rsidRPr="00254067">
        <w:rPr>
          <w:rFonts w:ascii="Times New Roman" w:hAnsi="Times New Roman" w:cs="Times New Roman"/>
          <w:i/>
          <w:sz w:val="24"/>
          <w:szCs w:val="24"/>
        </w:rPr>
        <w:t>Minister for Immigration and Ethnic Affairs v</w:t>
      </w:r>
      <w:r>
        <w:rPr>
          <w:rFonts w:ascii="Times New Roman" w:hAnsi="Times New Roman" w:cs="Times New Roman"/>
          <w:i/>
          <w:sz w:val="24"/>
          <w:szCs w:val="24"/>
        </w:rPr>
        <w:t>.</w:t>
      </w:r>
      <w:r w:rsidRPr="00254067">
        <w:rPr>
          <w:rFonts w:ascii="Times New Roman" w:hAnsi="Times New Roman" w:cs="Times New Roman"/>
          <w:i/>
          <w:sz w:val="24"/>
          <w:szCs w:val="24"/>
        </w:rPr>
        <w:t xml:space="preserve"> Pochi (1980) 31 ALR 666 at 671</w:t>
      </w:r>
      <w:r>
        <w:rPr>
          <w:rFonts w:ascii="Times New Roman" w:hAnsi="Times New Roman" w:cs="Times New Roman"/>
          <w:sz w:val="24"/>
          <w:szCs w:val="24"/>
        </w:rPr>
        <w:t>). The power</w:t>
      </w:r>
      <w:r w:rsidRPr="009860FF">
        <w:rPr>
          <w:rFonts w:ascii="Times New Roman" w:hAnsi="Times New Roman" w:cs="Times New Roman"/>
          <w:sz w:val="24"/>
          <w:szCs w:val="24"/>
        </w:rPr>
        <w:t xml:space="preserve"> to set aside the original decision and su</w:t>
      </w:r>
      <w:r>
        <w:rPr>
          <w:rFonts w:ascii="Times New Roman" w:hAnsi="Times New Roman" w:cs="Times New Roman"/>
          <w:sz w:val="24"/>
          <w:szCs w:val="24"/>
        </w:rPr>
        <w:t xml:space="preserve">bstitute it with a new decision of its </w:t>
      </w:r>
      <w:r w:rsidRPr="009860FF">
        <w:rPr>
          <w:rFonts w:ascii="Times New Roman" w:hAnsi="Times New Roman" w:cs="Times New Roman"/>
          <w:sz w:val="24"/>
          <w:szCs w:val="24"/>
        </w:rPr>
        <w:t>own</w:t>
      </w:r>
      <w:r>
        <w:rPr>
          <w:rFonts w:ascii="Times New Roman" w:hAnsi="Times New Roman" w:cs="Times New Roman"/>
          <w:sz w:val="24"/>
          <w:szCs w:val="24"/>
        </w:rPr>
        <w:t xml:space="preserve"> requires the PPDA Tribunal to stand</w:t>
      </w:r>
      <w:r w:rsidRPr="007D388D">
        <w:rPr>
          <w:rFonts w:ascii="Times New Roman" w:hAnsi="Times New Roman" w:cs="Times New Roman"/>
          <w:sz w:val="24"/>
          <w:szCs w:val="24"/>
        </w:rPr>
        <w:t xml:space="preserve"> in the shoes of the original decision maker, reconsider the facts, law and policy aspects of the original decision.</w:t>
      </w:r>
      <w:r>
        <w:rPr>
          <w:rFonts w:ascii="Times New Roman" w:hAnsi="Times New Roman" w:cs="Times New Roman"/>
          <w:sz w:val="24"/>
          <w:szCs w:val="24"/>
        </w:rPr>
        <w:t xml:space="preserve">  It is </w:t>
      </w:r>
      <w:r w:rsidRPr="00CF7E0B">
        <w:rPr>
          <w:rFonts w:ascii="Times New Roman" w:hAnsi="Times New Roman" w:cs="Times New Roman"/>
          <w:sz w:val="24"/>
          <w:szCs w:val="24"/>
        </w:rPr>
        <w:t>authorised</w:t>
      </w:r>
      <w:r>
        <w:rPr>
          <w:rFonts w:ascii="Times New Roman" w:hAnsi="Times New Roman" w:cs="Times New Roman"/>
          <w:sz w:val="24"/>
          <w:szCs w:val="24"/>
        </w:rPr>
        <w:t xml:space="preserve"> to </w:t>
      </w:r>
      <w:r w:rsidRPr="00CF7E0B">
        <w:rPr>
          <w:rFonts w:ascii="Times New Roman" w:hAnsi="Times New Roman" w:cs="Times New Roman"/>
          <w:sz w:val="24"/>
          <w:szCs w:val="24"/>
        </w:rPr>
        <w:t>exercise all the powers and discretions that are conferred on the person who made the decision</w:t>
      </w:r>
      <w:r>
        <w:rPr>
          <w:rFonts w:ascii="Times New Roman" w:hAnsi="Times New Roman" w:cs="Times New Roman"/>
          <w:sz w:val="24"/>
          <w:szCs w:val="24"/>
        </w:rPr>
        <w:t xml:space="preserve"> under review based on the material that was before and that which ought to have been before that person, whether or not that person took all that material into account or not, provided that it is material which ought to have been reasonably taken into account.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795226">
        <w:rPr>
          <w:rFonts w:ascii="Times New Roman" w:hAnsi="Times New Roman" w:cs="Times New Roman"/>
          <w:sz w:val="24"/>
          <w:szCs w:val="24"/>
        </w:rPr>
        <w:t>h</w:t>
      </w:r>
      <w:r>
        <w:rPr>
          <w:rFonts w:ascii="Times New Roman" w:hAnsi="Times New Roman" w:cs="Times New Roman"/>
          <w:sz w:val="24"/>
          <w:szCs w:val="24"/>
        </w:rPr>
        <w:t>e</w:t>
      </w:r>
      <w:r w:rsidRPr="00795226">
        <w:rPr>
          <w:rFonts w:ascii="Times New Roman" w:hAnsi="Times New Roman" w:cs="Times New Roman"/>
          <w:sz w:val="24"/>
          <w:szCs w:val="24"/>
        </w:rPr>
        <w:t xml:space="preserve"> metaphor </w:t>
      </w:r>
      <w:r>
        <w:rPr>
          <w:rFonts w:ascii="Times New Roman" w:hAnsi="Times New Roman" w:cs="Times New Roman"/>
          <w:sz w:val="24"/>
          <w:szCs w:val="24"/>
        </w:rPr>
        <w:t xml:space="preserve">by </w:t>
      </w:r>
      <w:r w:rsidRPr="002106C6">
        <w:rPr>
          <w:rFonts w:ascii="Times New Roman" w:hAnsi="Times New Roman" w:cs="Times New Roman"/>
          <w:sz w:val="24"/>
          <w:szCs w:val="24"/>
        </w:rPr>
        <w:t>Smithers J</w:t>
      </w:r>
      <w:r w:rsidRPr="00254067">
        <w:rPr>
          <w:rFonts w:ascii="Times New Roman" w:hAnsi="Times New Roman" w:cs="Times New Roman"/>
          <w:i/>
          <w:sz w:val="24"/>
          <w:szCs w:val="24"/>
        </w:rPr>
        <w:t xml:space="preserve"> </w:t>
      </w:r>
      <w:r>
        <w:rPr>
          <w:rFonts w:ascii="Times New Roman" w:hAnsi="Times New Roman" w:cs="Times New Roman"/>
          <w:sz w:val="24"/>
          <w:szCs w:val="24"/>
        </w:rPr>
        <w:t xml:space="preserve">in </w:t>
      </w:r>
      <w:r w:rsidRPr="00254067">
        <w:rPr>
          <w:rFonts w:ascii="Times New Roman" w:hAnsi="Times New Roman" w:cs="Times New Roman"/>
          <w:i/>
          <w:sz w:val="24"/>
          <w:szCs w:val="24"/>
        </w:rPr>
        <w:t xml:space="preserve">Minister for Immigration and Ethnic Affairs v Pochi (1980) 31 ALR 666 at </w:t>
      </w:r>
      <w:r w:rsidRPr="00254067">
        <w:rPr>
          <w:rFonts w:ascii="Times New Roman" w:hAnsi="Times New Roman" w:cs="Times New Roman"/>
          <w:sz w:val="24"/>
          <w:szCs w:val="24"/>
        </w:rPr>
        <w:t>671</w:t>
      </w:r>
      <w:r>
        <w:rPr>
          <w:rFonts w:ascii="Times New Roman" w:hAnsi="Times New Roman" w:cs="Times New Roman"/>
          <w:sz w:val="24"/>
          <w:szCs w:val="24"/>
        </w:rPr>
        <w:t xml:space="preserve"> that; </w:t>
      </w:r>
      <w:r w:rsidRPr="002106C6">
        <w:rPr>
          <w:rFonts w:ascii="Times New Roman" w:hAnsi="Times New Roman" w:cs="Times New Roman"/>
          <w:sz w:val="24"/>
          <w:szCs w:val="24"/>
        </w:rPr>
        <w:t>“in reviewing a decision the Tribunal is to be considered as being in the shoes of the person whose decision is in question</w:t>
      </w:r>
      <w:r>
        <w:rPr>
          <w:rFonts w:ascii="Times New Roman" w:hAnsi="Times New Roman" w:cs="Times New Roman"/>
          <w:sz w:val="24"/>
          <w:szCs w:val="24"/>
        </w:rPr>
        <w:t>,</w:t>
      </w:r>
      <w:r w:rsidRPr="002106C6">
        <w:rPr>
          <w:rFonts w:ascii="Times New Roman" w:hAnsi="Times New Roman" w:cs="Times New Roman"/>
          <w:sz w:val="24"/>
          <w:szCs w:val="24"/>
        </w:rPr>
        <w:t>”</w:t>
      </w:r>
      <w:r>
        <w:rPr>
          <w:rFonts w:ascii="Times New Roman" w:hAnsi="Times New Roman" w:cs="Times New Roman"/>
          <w:sz w:val="24"/>
          <w:szCs w:val="24"/>
        </w:rPr>
        <w:t xml:space="preserve"> </w:t>
      </w:r>
      <w:r w:rsidRPr="00254067">
        <w:rPr>
          <w:rFonts w:ascii="Times New Roman" w:hAnsi="Times New Roman" w:cs="Times New Roman"/>
          <w:sz w:val="24"/>
          <w:szCs w:val="24"/>
        </w:rPr>
        <w:t>conveys</w:t>
      </w:r>
      <w:r w:rsidRPr="00795226">
        <w:rPr>
          <w:rFonts w:ascii="Times New Roman" w:hAnsi="Times New Roman" w:cs="Times New Roman"/>
          <w:sz w:val="24"/>
          <w:szCs w:val="24"/>
        </w:rPr>
        <w:t xml:space="preserve"> the notion that the </w:t>
      </w:r>
      <w:r>
        <w:rPr>
          <w:rFonts w:ascii="Times New Roman" w:hAnsi="Times New Roman" w:cs="Times New Roman"/>
          <w:sz w:val="24"/>
          <w:szCs w:val="24"/>
        </w:rPr>
        <w:t xml:space="preserve">external administrative merits review </w:t>
      </w:r>
      <w:r w:rsidRPr="00795226">
        <w:rPr>
          <w:rFonts w:ascii="Times New Roman" w:hAnsi="Times New Roman" w:cs="Times New Roman"/>
          <w:sz w:val="24"/>
          <w:szCs w:val="24"/>
        </w:rPr>
        <w:t>tribunal may re-make</w:t>
      </w:r>
      <w:r>
        <w:rPr>
          <w:rFonts w:ascii="Times New Roman" w:hAnsi="Times New Roman" w:cs="Times New Roman"/>
          <w:sz w:val="24"/>
          <w:szCs w:val="24"/>
        </w:rPr>
        <w:t xml:space="preserve"> </w:t>
      </w:r>
      <w:r w:rsidRPr="00795226">
        <w:rPr>
          <w:rFonts w:ascii="Times New Roman" w:hAnsi="Times New Roman" w:cs="Times New Roman"/>
          <w:sz w:val="24"/>
          <w:szCs w:val="24"/>
        </w:rPr>
        <w:t>a decision, as if it wer</w:t>
      </w:r>
      <w:r>
        <w:rPr>
          <w:rFonts w:ascii="Times New Roman" w:hAnsi="Times New Roman" w:cs="Times New Roman"/>
          <w:sz w:val="24"/>
          <w:szCs w:val="24"/>
        </w:rPr>
        <w:t>e the original decision-maker. The PPDA Tribunal</w:t>
      </w:r>
      <w:r w:rsidRPr="00795226">
        <w:rPr>
          <w:rFonts w:ascii="Times New Roman" w:hAnsi="Times New Roman" w:cs="Times New Roman"/>
          <w:sz w:val="24"/>
          <w:szCs w:val="24"/>
        </w:rPr>
        <w:t xml:space="preserve"> does not have to find legal error first.</w:t>
      </w:r>
      <w:r>
        <w:rPr>
          <w:rFonts w:ascii="Times New Roman" w:hAnsi="Times New Roman" w:cs="Times New Roman"/>
          <w:sz w:val="24"/>
          <w:szCs w:val="24"/>
        </w:rPr>
        <w:t xml:space="preserve"> </w:t>
      </w:r>
      <w:r w:rsidRPr="00795226">
        <w:rPr>
          <w:rFonts w:ascii="Times New Roman" w:hAnsi="Times New Roman" w:cs="Times New Roman"/>
          <w:sz w:val="24"/>
          <w:szCs w:val="24"/>
        </w:rPr>
        <w:t xml:space="preserve">The question for the </w:t>
      </w:r>
      <w:r w:rsidRPr="00795226">
        <w:rPr>
          <w:rFonts w:ascii="Times New Roman" w:hAnsi="Times New Roman" w:cs="Times New Roman"/>
          <w:sz w:val="24"/>
          <w:szCs w:val="24"/>
        </w:rPr>
        <w:lastRenderedPageBreak/>
        <w:t>determination of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not whether the decision which the </w:t>
      </w:r>
      <w:r>
        <w:rPr>
          <w:rFonts w:ascii="Times New Roman" w:hAnsi="Times New Roman" w:cs="Times New Roman"/>
          <w:sz w:val="24"/>
          <w:szCs w:val="24"/>
        </w:rPr>
        <w:t>appellant</w:t>
      </w:r>
      <w:r w:rsidRPr="00795226">
        <w:rPr>
          <w:rFonts w:ascii="Times New Roman" w:hAnsi="Times New Roman" w:cs="Times New Roman"/>
          <w:sz w:val="24"/>
          <w:szCs w:val="24"/>
        </w:rPr>
        <w:t xml:space="preserve"> made was the correct or preferable one o</w:t>
      </w:r>
      <w:r>
        <w:rPr>
          <w:rFonts w:ascii="Times New Roman" w:hAnsi="Times New Roman" w:cs="Times New Roman"/>
          <w:sz w:val="24"/>
          <w:szCs w:val="24"/>
        </w:rPr>
        <w:t xml:space="preserve">n the material before it. The </w:t>
      </w:r>
      <w:r w:rsidRPr="00795226">
        <w:rPr>
          <w:rFonts w:ascii="Times New Roman" w:hAnsi="Times New Roman" w:cs="Times New Roman"/>
          <w:sz w:val="24"/>
          <w:szCs w:val="24"/>
        </w:rPr>
        <w:t>question for the determination of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 xml:space="preserve"> is whether that decision was the correct or preferable one on the material before the</w:t>
      </w:r>
      <w:r>
        <w:rPr>
          <w:rFonts w:ascii="Times New Roman" w:hAnsi="Times New Roman" w:cs="Times New Roman"/>
          <w:sz w:val="24"/>
          <w:szCs w:val="24"/>
        </w:rPr>
        <w:t xml:space="preserve"> PPDA Tribunal</w:t>
      </w:r>
      <w:r w:rsidRPr="00795226">
        <w:rPr>
          <w:rFonts w:ascii="Times New Roman" w:hAnsi="Times New Roman" w:cs="Times New Roman"/>
          <w:sz w:val="24"/>
          <w:szCs w:val="24"/>
        </w:rPr>
        <w:t>.</w:t>
      </w:r>
      <w:r>
        <w:rPr>
          <w:rFonts w:ascii="Times New Roman" w:hAnsi="Times New Roman" w:cs="Times New Roman"/>
          <w:sz w:val="24"/>
          <w:szCs w:val="24"/>
        </w:rPr>
        <w:t xml:space="preserve"> This includes material that was before the primary decision maker including that which ought to have been before it.</w:t>
      </w:r>
      <w:r w:rsidRPr="008F1A3B">
        <w:rPr>
          <w:rFonts w:ascii="Times New Roman" w:hAnsi="Times New Roman" w:cs="Times New Roman"/>
          <w:sz w:val="24"/>
          <w:szCs w:val="24"/>
        </w:rPr>
        <w:t xml:space="preserve"> Merits review tribunal</w:t>
      </w:r>
      <w:r>
        <w:rPr>
          <w:rFonts w:ascii="Times New Roman" w:hAnsi="Times New Roman" w:cs="Times New Roman"/>
          <w:sz w:val="24"/>
          <w:szCs w:val="24"/>
        </w:rPr>
        <w:t>s</w:t>
      </w:r>
      <w:r w:rsidRPr="008F1A3B">
        <w:rPr>
          <w:rFonts w:ascii="Times New Roman" w:hAnsi="Times New Roman" w:cs="Times New Roman"/>
          <w:sz w:val="24"/>
          <w:szCs w:val="24"/>
        </w:rPr>
        <w:t xml:space="preserve"> typically ha</w:t>
      </w:r>
      <w:r>
        <w:rPr>
          <w:rFonts w:ascii="Times New Roman" w:hAnsi="Times New Roman" w:cs="Times New Roman"/>
          <w:sz w:val="24"/>
          <w:szCs w:val="24"/>
        </w:rPr>
        <w:t>ve</w:t>
      </w:r>
      <w:r w:rsidRPr="008F1A3B">
        <w:rPr>
          <w:rFonts w:ascii="Times New Roman" w:hAnsi="Times New Roman" w:cs="Times New Roman"/>
          <w:sz w:val="24"/>
          <w:szCs w:val="24"/>
        </w:rPr>
        <w:t xml:space="preserve"> powers to affirm a decision, vary it, set it aside and make a substitute decision, or set it aside and re</w:t>
      </w:r>
      <w:r>
        <w:rPr>
          <w:rFonts w:ascii="Times New Roman" w:hAnsi="Times New Roman" w:cs="Times New Roman"/>
          <w:sz w:val="24"/>
          <w:szCs w:val="24"/>
        </w:rPr>
        <w:t>mit it to the original decision</w:t>
      </w:r>
      <w:r w:rsidRPr="008F1A3B">
        <w:rPr>
          <w:rFonts w:ascii="Times New Roman" w:hAnsi="Times New Roman" w:cs="Times New Roman"/>
          <w:sz w:val="24"/>
          <w:szCs w:val="24"/>
        </w:rPr>
        <w:t>-maker for reconsideration. The ability to make a substitute decision is one of the defining characteristics of merits review.</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sidRPr="00DA3D61">
        <w:rPr>
          <w:rFonts w:ascii="Times New Roman" w:hAnsi="Times New Roman" w:cs="Times New Roman"/>
          <w:sz w:val="24"/>
          <w:szCs w:val="24"/>
        </w:rPr>
        <w:t xml:space="preserve">The </w:t>
      </w:r>
      <w:r>
        <w:rPr>
          <w:rFonts w:ascii="Times New Roman" w:hAnsi="Times New Roman" w:cs="Times New Roman"/>
          <w:sz w:val="24"/>
          <w:szCs w:val="24"/>
        </w:rPr>
        <w:t>PPDA Tribunal</w:t>
      </w:r>
      <w:r w:rsidRPr="00DA3D61">
        <w:rPr>
          <w:rFonts w:ascii="Times New Roman" w:hAnsi="Times New Roman" w:cs="Times New Roman"/>
          <w:sz w:val="24"/>
          <w:szCs w:val="24"/>
        </w:rPr>
        <w:t xml:space="preserve"> </w:t>
      </w:r>
      <w:r>
        <w:rPr>
          <w:rFonts w:ascii="Times New Roman" w:hAnsi="Times New Roman" w:cs="Times New Roman"/>
          <w:sz w:val="24"/>
          <w:szCs w:val="24"/>
        </w:rPr>
        <w:t xml:space="preserve">in performing its administrative review role, </w:t>
      </w:r>
      <w:r w:rsidRPr="00DA3D61">
        <w:rPr>
          <w:rFonts w:ascii="Times New Roman" w:hAnsi="Times New Roman" w:cs="Times New Roman"/>
          <w:sz w:val="24"/>
          <w:szCs w:val="24"/>
        </w:rPr>
        <w:t>functions more like a court at first instance</w:t>
      </w:r>
      <w:r>
        <w:rPr>
          <w:rFonts w:ascii="Times New Roman" w:hAnsi="Times New Roman" w:cs="Times New Roman"/>
          <w:sz w:val="24"/>
          <w:szCs w:val="24"/>
        </w:rPr>
        <w:t xml:space="preserve">. It is not an Appeals </w:t>
      </w:r>
      <w:r w:rsidRPr="00DA3D61">
        <w:rPr>
          <w:rFonts w:ascii="Times New Roman" w:hAnsi="Times New Roman" w:cs="Times New Roman"/>
          <w:sz w:val="24"/>
          <w:szCs w:val="24"/>
        </w:rPr>
        <w:t xml:space="preserve">Tribunal </w:t>
      </w:r>
      <w:r>
        <w:rPr>
          <w:rFonts w:ascii="Times New Roman" w:hAnsi="Times New Roman" w:cs="Times New Roman"/>
          <w:sz w:val="24"/>
          <w:szCs w:val="24"/>
        </w:rPr>
        <w:t>whose powers may be limited</w:t>
      </w:r>
      <w:r w:rsidRPr="00DA3D61">
        <w:rPr>
          <w:rFonts w:ascii="Times New Roman" w:hAnsi="Times New Roman" w:cs="Times New Roman"/>
          <w:sz w:val="24"/>
          <w:szCs w:val="24"/>
        </w:rPr>
        <w:t xml:space="preserve"> b</w:t>
      </w:r>
      <w:r>
        <w:rPr>
          <w:rFonts w:ascii="Times New Roman" w:hAnsi="Times New Roman" w:cs="Times New Roman"/>
          <w:sz w:val="24"/>
          <w:szCs w:val="24"/>
        </w:rPr>
        <w:t>y law or restricted to</w:t>
      </w:r>
      <w:r w:rsidRPr="00DA3D61">
        <w:rPr>
          <w:rFonts w:ascii="Times New Roman" w:hAnsi="Times New Roman" w:cs="Times New Roman"/>
          <w:sz w:val="24"/>
          <w:szCs w:val="24"/>
        </w:rPr>
        <w:t xml:space="preserve"> question</w:t>
      </w:r>
      <w:r>
        <w:rPr>
          <w:rFonts w:ascii="Times New Roman" w:hAnsi="Times New Roman" w:cs="Times New Roman"/>
          <w:sz w:val="24"/>
          <w:szCs w:val="24"/>
        </w:rPr>
        <w:t>s</w:t>
      </w:r>
      <w:r w:rsidRPr="00DA3D61">
        <w:rPr>
          <w:rFonts w:ascii="Times New Roman" w:hAnsi="Times New Roman" w:cs="Times New Roman"/>
          <w:sz w:val="24"/>
          <w:szCs w:val="24"/>
        </w:rPr>
        <w:t xml:space="preserve"> of law and, only with the Appeal Panel’s leave, </w:t>
      </w:r>
      <w:r>
        <w:rPr>
          <w:rFonts w:ascii="Times New Roman" w:hAnsi="Times New Roman" w:cs="Times New Roman"/>
          <w:sz w:val="24"/>
          <w:szCs w:val="24"/>
        </w:rPr>
        <w:t xml:space="preserve">which </w:t>
      </w:r>
      <w:r w:rsidRPr="00DA3D61">
        <w:rPr>
          <w:rFonts w:ascii="Times New Roman" w:hAnsi="Times New Roman" w:cs="Times New Roman"/>
          <w:sz w:val="24"/>
          <w:szCs w:val="24"/>
        </w:rPr>
        <w:t>may be extended to the merits</w:t>
      </w:r>
      <w:r>
        <w:rPr>
          <w:rFonts w:ascii="Times New Roman" w:hAnsi="Times New Roman" w:cs="Times New Roman"/>
          <w:sz w:val="24"/>
          <w:szCs w:val="24"/>
        </w:rPr>
        <w:t>.</w:t>
      </w:r>
      <w:r w:rsidRPr="008267BD">
        <w:rPr>
          <w:rFonts w:ascii="Times New Roman" w:hAnsi="Times New Roman" w:cs="Times New Roman"/>
          <w:sz w:val="24"/>
          <w:szCs w:val="24"/>
        </w:rPr>
        <w:t xml:space="preserve"> </w:t>
      </w:r>
      <w:r>
        <w:rPr>
          <w:rFonts w:ascii="Times New Roman" w:hAnsi="Times New Roman" w:cs="Times New Roman"/>
          <w:sz w:val="24"/>
          <w:szCs w:val="24"/>
        </w:rPr>
        <w:t xml:space="preserve">Section </w:t>
      </w:r>
      <w:proofErr w:type="gramStart"/>
      <w:r>
        <w:rPr>
          <w:rFonts w:ascii="Times New Roman" w:hAnsi="Times New Roman" w:cs="Times New Roman"/>
          <w:sz w:val="24"/>
          <w:szCs w:val="24"/>
        </w:rPr>
        <w:t>91 I (6)</w:t>
      </w:r>
      <w:proofErr w:type="gramEnd"/>
      <w:r>
        <w:rPr>
          <w:rFonts w:ascii="Times New Roman" w:hAnsi="Times New Roman" w:cs="Times New Roman"/>
          <w:sz w:val="24"/>
          <w:szCs w:val="24"/>
        </w:rPr>
        <w:t xml:space="preserve"> </w:t>
      </w:r>
      <w:r w:rsidRPr="001926C3">
        <w:rPr>
          <w:rFonts w:ascii="Times New Roman" w:hAnsi="Times New Roman" w:cs="Times New Roman"/>
          <w:sz w:val="24"/>
          <w:szCs w:val="24"/>
        </w:rPr>
        <w:t>of</w:t>
      </w:r>
      <w:r>
        <w:rPr>
          <w:rFonts w:ascii="Times New Roman" w:hAnsi="Times New Roman" w:cs="Times New Roman"/>
          <w:sz w:val="24"/>
          <w:szCs w:val="24"/>
        </w:rPr>
        <w:t xml:space="preserve"> </w:t>
      </w:r>
      <w:r w:rsidRPr="00592CA4">
        <w:rPr>
          <w:rFonts w:ascii="Times New Roman" w:hAnsi="Times New Roman" w:cs="Times New Roman"/>
          <w:i/>
          <w:sz w:val="24"/>
          <w:szCs w:val="24"/>
        </w:rPr>
        <w:t>The Public Procurement and Disposal of Public Assets (Amendment) Act, 2011</w:t>
      </w:r>
      <w:r>
        <w:rPr>
          <w:rFonts w:ascii="Times New Roman" w:hAnsi="Times New Roman" w:cs="Times New Roman"/>
          <w:sz w:val="24"/>
          <w:szCs w:val="24"/>
        </w:rPr>
        <w:t xml:space="preserve">, does not contain such restrictions. </w:t>
      </w:r>
      <w:r w:rsidRPr="00DA3D61">
        <w:rPr>
          <w:rFonts w:ascii="Times New Roman" w:hAnsi="Times New Roman" w:cs="Times New Roman"/>
          <w:sz w:val="24"/>
          <w:szCs w:val="24"/>
        </w:rPr>
        <w:t xml:space="preserve">The </w:t>
      </w:r>
      <w:r>
        <w:rPr>
          <w:rFonts w:ascii="Times New Roman" w:hAnsi="Times New Roman" w:cs="Times New Roman"/>
          <w:sz w:val="24"/>
          <w:szCs w:val="24"/>
        </w:rPr>
        <w:t>PPDA Tribunal i</w:t>
      </w:r>
      <w:r w:rsidRPr="00777AD8">
        <w:rPr>
          <w:rFonts w:ascii="Times New Roman" w:hAnsi="Times New Roman" w:cs="Times New Roman"/>
          <w:sz w:val="24"/>
          <w:szCs w:val="24"/>
        </w:rPr>
        <w:t xml:space="preserve">s required to determine the substantive issues raised by the material and evidence advanced before it and, in doing so, it is obliged not to </w:t>
      </w:r>
      <w:r>
        <w:rPr>
          <w:rFonts w:ascii="Times New Roman" w:hAnsi="Times New Roman" w:cs="Times New Roman"/>
          <w:sz w:val="24"/>
          <w:szCs w:val="24"/>
        </w:rPr>
        <w:t>limit its determination to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by an applicant if the evidence and material which it accepts, or does not re</w:t>
      </w:r>
      <w:r>
        <w:rPr>
          <w:rFonts w:ascii="Times New Roman" w:hAnsi="Times New Roman" w:cs="Times New Roman"/>
          <w:sz w:val="24"/>
          <w:szCs w:val="24"/>
        </w:rPr>
        <w:t xml:space="preserve">ject, raises a case on a basis </w:t>
      </w:r>
      <w:r w:rsidRPr="00777AD8">
        <w:rPr>
          <w:rFonts w:ascii="Times New Roman" w:hAnsi="Times New Roman" w:cs="Times New Roman"/>
          <w:sz w:val="24"/>
          <w:szCs w:val="24"/>
        </w:rPr>
        <w:t>n</w:t>
      </w:r>
      <w:r>
        <w:rPr>
          <w:rFonts w:ascii="Times New Roman" w:hAnsi="Times New Roman" w:cs="Times New Roman"/>
          <w:sz w:val="24"/>
          <w:szCs w:val="24"/>
        </w:rPr>
        <w:t>ot articulated by the applicant</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In doing so, it may frame the </w:t>
      </w:r>
      <w:r w:rsidRPr="00777AD8">
        <w:rPr>
          <w:rFonts w:ascii="Times New Roman" w:hAnsi="Times New Roman" w:cs="Times New Roman"/>
          <w:sz w:val="24"/>
          <w:szCs w:val="24"/>
        </w:rPr>
        <w:t>case differently from how it has been framed by the parties.</w:t>
      </w:r>
      <w:r w:rsidRPr="008267BD">
        <w:rPr>
          <w:rFonts w:ascii="Times New Roman" w:hAnsi="Times New Roman" w:cs="Times New Roman"/>
          <w:sz w:val="24"/>
          <w:szCs w:val="24"/>
        </w:rPr>
        <w:t xml:space="preserve"> </w:t>
      </w:r>
      <w:r>
        <w:rPr>
          <w:rFonts w:ascii="Times New Roman" w:hAnsi="Times New Roman" w:cs="Times New Roman"/>
          <w:sz w:val="24"/>
          <w:szCs w:val="24"/>
        </w:rPr>
        <w:t>In some cases such as this, f</w:t>
      </w:r>
      <w:r w:rsidRPr="00705E7E">
        <w:rPr>
          <w:rFonts w:ascii="Times New Roman" w:hAnsi="Times New Roman" w:cs="Times New Roman"/>
          <w:sz w:val="24"/>
          <w:szCs w:val="24"/>
        </w:rPr>
        <w:t xml:space="preserve">ailure to make an obvious inquiry about a critical fact, the existence of which is easily ascertained, </w:t>
      </w:r>
      <w:r>
        <w:rPr>
          <w:rFonts w:ascii="Times New Roman" w:hAnsi="Times New Roman" w:cs="Times New Roman"/>
          <w:sz w:val="24"/>
          <w:szCs w:val="24"/>
        </w:rPr>
        <w:t>or to take into account an obvious fact or point of law</w:t>
      </w:r>
      <w:r w:rsidRPr="00705E7E">
        <w:rPr>
          <w:rFonts w:ascii="Times New Roman" w:hAnsi="Times New Roman" w:cs="Times New Roman"/>
          <w:sz w:val="24"/>
          <w:szCs w:val="24"/>
        </w:rPr>
        <w:t xml:space="preserve">, </w:t>
      </w:r>
      <w:r>
        <w:rPr>
          <w:rFonts w:ascii="Times New Roman" w:hAnsi="Times New Roman" w:cs="Times New Roman"/>
          <w:sz w:val="24"/>
          <w:szCs w:val="24"/>
        </w:rPr>
        <w:t xml:space="preserve">could constitute a failure to review.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in the instant appeal, the PPDA Tribunal did not err in considering an aspect of the material before it which the appellant ought to have considered but did not, i.e. that Regulation 48 (1)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is limited to minor cosmetic change and is not a blank cheque for overhauling the entire bidding document. Further, that permitting such customisation would be allowing the appellant to abdicate its obligations under section 7 (1) (d) and (e) of </w:t>
      </w:r>
      <w:r w:rsidRPr="00D8013A">
        <w:rPr>
          <w:rFonts w:ascii="Times New Roman" w:hAnsi="Times New Roman" w:cs="Times New Roman"/>
          <w:i/>
          <w:sz w:val="24"/>
          <w:szCs w:val="24"/>
        </w:rPr>
        <w:t>The Public Procurement and Disposal of Public Ass</w:t>
      </w:r>
      <w:r>
        <w:rPr>
          <w:rFonts w:ascii="Times New Roman" w:hAnsi="Times New Roman" w:cs="Times New Roman"/>
          <w:i/>
          <w:sz w:val="24"/>
          <w:szCs w:val="24"/>
        </w:rPr>
        <w:t>e</w:t>
      </w:r>
      <w:r w:rsidRPr="00D8013A">
        <w:rPr>
          <w:rFonts w:ascii="Times New Roman" w:hAnsi="Times New Roman" w:cs="Times New Roman"/>
          <w:i/>
          <w:sz w:val="24"/>
          <w:szCs w:val="24"/>
        </w:rPr>
        <w:t xml:space="preserve">ts Act, </w:t>
      </w:r>
      <w:r>
        <w:rPr>
          <w:rFonts w:ascii="Times New Roman" w:hAnsi="Times New Roman" w:cs="Times New Roman"/>
          <w:i/>
          <w:sz w:val="24"/>
          <w:szCs w:val="24"/>
        </w:rPr>
        <w:t>2003</w:t>
      </w:r>
      <w:r>
        <w:rPr>
          <w:rFonts w:ascii="Times New Roman" w:hAnsi="Times New Roman" w:cs="Times New Roman"/>
          <w:sz w:val="24"/>
          <w:szCs w:val="24"/>
        </w:rPr>
        <w:t xml:space="preserve">. As a result, that the bidding document issued by the procurement entity in the instant case was a complete deviation from the Standard Bidding Document the appellant had issued for the management of Public Vehicle Parking Areas, for </w:t>
      </w:r>
      <w:r>
        <w:rPr>
          <w:rFonts w:ascii="Times New Roman" w:hAnsi="Times New Roman" w:cs="Times New Roman"/>
          <w:sz w:val="24"/>
          <w:szCs w:val="24"/>
        </w:rPr>
        <w:lastRenderedPageBreak/>
        <w:t xml:space="preserve">which reason the procurement entity should instead have invoked Regulation 10 of </w:t>
      </w:r>
      <w:r w:rsidRPr="008D1AC8">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to apply to the appellant for specific authorisation in writing, for approval of deviation from the use of the document. The Tribunal concluded that the entire bidding process, by virtue of that unauthorised deviation, was </w:t>
      </w:r>
      <w:r w:rsidRPr="000603B5">
        <w:rPr>
          <w:rFonts w:ascii="Times New Roman" w:hAnsi="Times New Roman" w:cs="Times New Roman"/>
          <w:i/>
          <w:sz w:val="24"/>
          <w:szCs w:val="24"/>
        </w:rPr>
        <w:t>void ab initio</w:t>
      </w:r>
      <w:r>
        <w:rPr>
          <w:rFonts w:ascii="Times New Roman" w:hAnsi="Times New Roman" w:cs="Times New Roman"/>
          <w:i/>
          <w:sz w:val="24"/>
          <w:szCs w:val="24"/>
        </w:rPr>
        <w:t xml:space="preserve"> </w:t>
      </w:r>
      <w:r>
        <w:rPr>
          <w:rFonts w:ascii="Times New Roman" w:hAnsi="Times New Roman" w:cs="Times New Roman"/>
          <w:sz w:val="24"/>
          <w:szCs w:val="24"/>
        </w:rPr>
        <w:t xml:space="preserve">and thus a nullity.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this aspect was neither part of the </w:t>
      </w:r>
      <w:r w:rsidRPr="00777AD8">
        <w:rPr>
          <w:rFonts w:ascii="Times New Roman" w:hAnsi="Times New Roman" w:cs="Times New Roman"/>
          <w:sz w:val="24"/>
          <w:szCs w:val="24"/>
        </w:rPr>
        <w:t>substantive issues raised</w:t>
      </w:r>
      <w:r>
        <w:rPr>
          <w:rFonts w:ascii="Times New Roman" w:hAnsi="Times New Roman" w:cs="Times New Roman"/>
          <w:sz w:val="24"/>
          <w:szCs w:val="24"/>
        </w:rPr>
        <w:t xml:space="preserve"> by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by </w:t>
      </w:r>
      <w:r>
        <w:rPr>
          <w:rFonts w:ascii="Times New Roman" w:hAnsi="Times New Roman" w:cs="Times New Roman"/>
          <w:sz w:val="24"/>
          <w:szCs w:val="24"/>
        </w:rPr>
        <w:t>the respondent or that of the appellant in their respective written submissions to the PPDA Tribunal,</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it formed part of the </w:t>
      </w:r>
      <w:r w:rsidRPr="00777AD8">
        <w:rPr>
          <w:rFonts w:ascii="Times New Roman" w:hAnsi="Times New Roman" w:cs="Times New Roman"/>
          <w:sz w:val="24"/>
          <w:szCs w:val="24"/>
        </w:rPr>
        <w:t>material accept</w:t>
      </w:r>
      <w:r>
        <w:rPr>
          <w:rFonts w:ascii="Times New Roman" w:hAnsi="Times New Roman" w:cs="Times New Roman"/>
          <w:sz w:val="24"/>
          <w:szCs w:val="24"/>
        </w:rPr>
        <w:t>ed by</w:t>
      </w:r>
      <w:r w:rsidRPr="00777AD8">
        <w:rPr>
          <w:rFonts w:ascii="Times New Roman" w:hAnsi="Times New Roman" w:cs="Times New Roman"/>
          <w:sz w:val="24"/>
          <w:szCs w:val="24"/>
        </w:rPr>
        <w:t>, or not re</w:t>
      </w:r>
      <w:r>
        <w:rPr>
          <w:rFonts w:ascii="Times New Roman" w:hAnsi="Times New Roman" w:cs="Times New Roman"/>
          <w:sz w:val="24"/>
          <w:szCs w:val="24"/>
        </w:rPr>
        <w:t xml:space="preserve">jected by either party. In framing the </w:t>
      </w:r>
      <w:r w:rsidRPr="00777AD8">
        <w:rPr>
          <w:rFonts w:ascii="Times New Roman" w:hAnsi="Times New Roman" w:cs="Times New Roman"/>
          <w:sz w:val="24"/>
          <w:szCs w:val="24"/>
        </w:rPr>
        <w:t>case differently from how it has been framed by the parties</w:t>
      </w:r>
      <w:r>
        <w:rPr>
          <w:rFonts w:ascii="Times New Roman" w:hAnsi="Times New Roman" w:cs="Times New Roman"/>
          <w:sz w:val="24"/>
          <w:szCs w:val="24"/>
        </w:rPr>
        <w:t>, the PPDA Tribunal</w:t>
      </w:r>
      <w:r w:rsidRPr="00777AD8">
        <w:rPr>
          <w:rFonts w:ascii="Times New Roman" w:hAnsi="Times New Roman" w:cs="Times New Roman"/>
          <w:sz w:val="24"/>
          <w:szCs w:val="24"/>
        </w:rPr>
        <w:t xml:space="preserve"> </w:t>
      </w:r>
      <w:r>
        <w:rPr>
          <w:rFonts w:ascii="Times New Roman" w:hAnsi="Times New Roman" w:cs="Times New Roman"/>
          <w:sz w:val="24"/>
          <w:szCs w:val="24"/>
        </w:rPr>
        <w:t xml:space="preserve">did not err since </w:t>
      </w:r>
      <w:r w:rsidRPr="00777AD8">
        <w:rPr>
          <w:rFonts w:ascii="Times New Roman" w:hAnsi="Times New Roman" w:cs="Times New Roman"/>
          <w:sz w:val="24"/>
          <w:szCs w:val="24"/>
        </w:rPr>
        <w:t xml:space="preserve">it </w:t>
      </w:r>
      <w:r>
        <w:rPr>
          <w:rFonts w:ascii="Times New Roman" w:hAnsi="Times New Roman" w:cs="Times New Roman"/>
          <w:sz w:val="24"/>
          <w:szCs w:val="24"/>
        </w:rPr>
        <w:t>was not</w:t>
      </w:r>
      <w:r w:rsidRPr="00777AD8">
        <w:rPr>
          <w:rFonts w:ascii="Times New Roman" w:hAnsi="Times New Roman" w:cs="Times New Roman"/>
          <w:sz w:val="24"/>
          <w:szCs w:val="24"/>
        </w:rPr>
        <w:t xml:space="preserve"> obliged to </w:t>
      </w:r>
      <w:r>
        <w:rPr>
          <w:rFonts w:ascii="Times New Roman" w:hAnsi="Times New Roman" w:cs="Times New Roman"/>
          <w:sz w:val="24"/>
          <w:szCs w:val="24"/>
        </w:rPr>
        <w:t>limit its determination to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w:t>
      </w:r>
      <w:r>
        <w:rPr>
          <w:rFonts w:ascii="Times New Roman" w:hAnsi="Times New Roman" w:cs="Times New Roman"/>
          <w:sz w:val="24"/>
          <w:szCs w:val="24"/>
        </w:rPr>
        <w:t>by the parties. Had the PPDA Tribunal failed</w:t>
      </w:r>
      <w:r w:rsidRPr="00705E7E">
        <w:rPr>
          <w:rFonts w:ascii="Times New Roman" w:hAnsi="Times New Roman" w:cs="Times New Roman"/>
          <w:sz w:val="24"/>
          <w:szCs w:val="24"/>
        </w:rPr>
        <w:t xml:space="preserve"> to </w:t>
      </w:r>
      <w:r>
        <w:rPr>
          <w:rFonts w:ascii="Times New Roman" w:hAnsi="Times New Roman" w:cs="Times New Roman"/>
          <w:sz w:val="24"/>
          <w:szCs w:val="24"/>
        </w:rPr>
        <w:t>take into account this obvious point of mixed law and fact</w:t>
      </w:r>
      <w:r w:rsidRPr="00705E7E">
        <w:rPr>
          <w:rFonts w:ascii="Times New Roman" w:hAnsi="Times New Roman" w:cs="Times New Roman"/>
          <w:sz w:val="24"/>
          <w:szCs w:val="24"/>
        </w:rPr>
        <w:t xml:space="preserve">, </w:t>
      </w:r>
      <w:r>
        <w:rPr>
          <w:rFonts w:ascii="Times New Roman" w:hAnsi="Times New Roman" w:cs="Times New Roman"/>
          <w:sz w:val="24"/>
          <w:szCs w:val="24"/>
        </w:rPr>
        <w:t xml:space="preserve">it would in the circumstances of this case have failed in its duty of external administrative merits review.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Tribunal’s decision though is faulted on two fronts, one procedural end the other evidential, i.e.; failure to give the parties notice of the intention to consider this aspect in the determination of the application on the one hand, and taking judicial notice of the fact that this aspect had been dealt with in the earlier </w:t>
      </w:r>
      <w:r w:rsidRPr="00B35295">
        <w:rPr>
          <w:rFonts w:ascii="Times New Roman" w:hAnsi="Times New Roman" w:cs="Times New Roman"/>
          <w:i/>
          <w:sz w:val="24"/>
          <w:szCs w:val="24"/>
        </w:rPr>
        <w:t>PPDA Tribunal application No. 3 of 2015; Peace Gloria v PPDA</w:t>
      </w:r>
      <w:r>
        <w:rPr>
          <w:rFonts w:ascii="Times New Roman" w:hAnsi="Times New Roman" w:cs="Times New Roman"/>
          <w:sz w:val="24"/>
          <w:szCs w:val="24"/>
        </w:rPr>
        <w:t>.</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regarding the complaint against the violation of the right to be heard, although the Tribunal has the mandate </w:t>
      </w:r>
      <w:r w:rsidRPr="00777AD8">
        <w:rPr>
          <w:rFonts w:ascii="Times New Roman" w:hAnsi="Times New Roman" w:cs="Times New Roman"/>
          <w:sz w:val="24"/>
          <w:szCs w:val="24"/>
        </w:rPr>
        <w:t xml:space="preserve">not to </w:t>
      </w:r>
      <w:r>
        <w:rPr>
          <w:rFonts w:ascii="Times New Roman" w:hAnsi="Times New Roman" w:cs="Times New Roman"/>
          <w:sz w:val="24"/>
          <w:szCs w:val="24"/>
        </w:rPr>
        <w:t>limit its determination to the “</w:t>
      </w:r>
      <w:r w:rsidRPr="00777AD8">
        <w:rPr>
          <w:rFonts w:ascii="Times New Roman" w:hAnsi="Times New Roman" w:cs="Times New Roman"/>
          <w:sz w:val="24"/>
          <w:szCs w:val="24"/>
        </w:rPr>
        <w:t>case</w:t>
      </w:r>
      <w:r>
        <w:rPr>
          <w:rFonts w:ascii="Times New Roman" w:hAnsi="Times New Roman" w:cs="Times New Roman"/>
          <w:sz w:val="24"/>
          <w:szCs w:val="24"/>
        </w:rPr>
        <w:t>”</w:t>
      </w:r>
      <w:r w:rsidRPr="00777AD8">
        <w:rPr>
          <w:rFonts w:ascii="Times New Roman" w:hAnsi="Times New Roman" w:cs="Times New Roman"/>
          <w:sz w:val="24"/>
          <w:szCs w:val="24"/>
        </w:rPr>
        <w:t xml:space="preserve"> articulated by an applicant if the evidence and material which it accepts, or does not re</w:t>
      </w:r>
      <w:r>
        <w:rPr>
          <w:rFonts w:ascii="Times New Roman" w:hAnsi="Times New Roman" w:cs="Times New Roman"/>
          <w:sz w:val="24"/>
          <w:szCs w:val="24"/>
        </w:rPr>
        <w:t xml:space="preserve">ject, raises a case on a basis </w:t>
      </w:r>
      <w:r w:rsidRPr="00777AD8">
        <w:rPr>
          <w:rFonts w:ascii="Times New Roman" w:hAnsi="Times New Roman" w:cs="Times New Roman"/>
          <w:sz w:val="24"/>
          <w:szCs w:val="24"/>
        </w:rPr>
        <w:t>n</w:t>
      </w:r>
      <w:r>
        <w:rPr>
          <w:rFonts w:ascii="Times New Roman" w:hAnsi="Times New Roman" w:cs="Times New Roman"/>
          <w:sz w:val="24"/>
          <w:szCs w:val="24"/>
        </w:rPr>
        <w:t xml:space="preserve">ot articulated by the applicant and that in doing so, it may frame the </w:t>
      </w:r>
      <w:r w:rsidRPr="00777AD8">
        <w:rPr>
          <w:rFonts w:ascii="Times New Roman" w:hAnsi="Times New Roman" w:cs="Times New Roman"/>
          <w:sz w:val="24"/>
          <w:szCs w:val="24"/>
        </w:rPr>
        <w:t>case differently from how it</w:t>
      </w:r>
      <w:r>
        <w:rPr>
          <w:rFonts w:ascii="Times New Roman" w:hAnsi="Times New Roman" w:cs="Times New Roman"/>
          <w:sz w:val="24"/>
          <w:szCs w:val="24"/>
        </w:rPr>
        <w:t xml:space="preserve"> has been framed by the parties, this is subject to observing the rules of natural justice. For example </w:t>
      </w:r>
      <w:r w:rsidRPr="00F32C58">
        <w:rPr>
          <w:rFonts w:ascii="Times New Roman" w:hAnsi="Times New Roman" w:cs="Times New Roman"/>
          <w:i/>
          <w:sz w:val="24"/>
          <w:szCs w:val="24"/>
        </w:rPr>
        <w:t>The Secretary of State for the Home Department v. A. M. [2015] UKUT 656 (IAC</w:t>
      </w:r>
      <w:proofErr w:type="gramStart"/>
      <w:r w:rsidRPr="00F32C58">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was a</w:t>
      </w:r>
      <w:r w:rsidRPr="00F32C58">
        <w:rPr>
          <w:rFonts w:ascii="Times New Roman" w:hAnsi="Times New Roman" w:cs="Times New Roman"/>
          <w:sz w:val="24"/>
          <w:szCs w:val="24"/>
        </w:rPr>
        <w:t xml:space="preserve">n asylum case in which the Secretary of State for the Home Department </w:t>
      </w:r>
      <w:r>
        <w:rPr>
          <w:rFonts w:ascii="Times New Roman" w:hAnsi="Times New Roman" w:cs="Times New Roman"/>
          <w:sz w:val="24"/>
          <w:szCs w:val="24"/>
        </w:rPr>
        <w:t>was</w:t>
      </w:r>
      <w:r w:rsidRPr="00F32C58">
        <w:rPr>
          <w:rFonts w:ascii="Times New Roman" w:hAnsi="Times New Roman" w:cs="Times New Roman"/>
          <w:sz w:val="24"/>
          <w:szCs w:val="24"/>
        </w:rPr>
        <w:t xml:space="preserve"> the Appellant</w:t>
      </w:r>
      <w:r>
        <w:rPr>
          <w:rFonts w:ascii="Times New Roman" w:hAnsi="Times New Roman" w:cs="Times New Roman"/>
          <w:sz w:val="24"/>
          <w:szCs w:val="24"/>
        </w:rPr>
        <w:t xml:space="preserve"> and</w:t>
      </w:r>
      <w:r w:rsidRPr="00F32C58">
        <w:rPr>
          <w:rFonts w:ascii="Times New Roman" w:hAnsi="Times New Roman" w:cs="Times New Roman"/>
          <w:sz w:val="24"/>
          <w:szCs w:val="24"/>
        </w:rPr>
        <w:t xml:space="preserve"> </w:t>
      </w:r>
      <w:r>
        <w:rPr>
          <w:rFonts w:ascii="Times New Roman" w:hAnsi="Times New Roman" w:cs="Times New Roman"/>
          <w:sz w:val="24"/>
          <w:szCs w:val="24"/>
        </w:rPr>
        <w:t>t</w:t>
      </w:r>
      <w:r w:rsidRPr="00F32C58">
        <w:rPr>
          <w:rFonts w:ascii="Times New Roman" w:hAnsi="Times New Roman" w:cs="Times New Roman"/>
          <w:sz w:val="24"/>
          <w:szCs w:val="24"/>
        </w:rPr>
        <w:t xml:space="preserve">he Respondent </w:t>
      </w:r>
      <w:r>
        <w:rPr>
          <w:rFonts w:ascii="Times New Roman" w:hAnsi="Times New Roman" w:cs="Times New Roman"/>
          <w:sz w:val="24"/>
          <w:szCs w:val="24"/>
        </w:rPr>
        <w:t>was</w:t>
      </w:r>
      <w:r w:rsidRPr="00F32C58">
        <w:rPr>
          <w:rFonts w:ascii="Times New Roman" w:hAnsi="Times New Roman" w:cs="Times New Roman"/>
          <w:sz w:val="24"/>
          <w:szCs w:val="24"/>
        </w:rPr>
        <w:t xml:space="preserve"> </w:t>
      </w:r>
      <w:r>
        <w:rPr>
          <w:rFonts w:ascii="Times New Roman" w:hAnsi="Times New Roman" w:cs="Times New Roman"/>
          <w:sz w:val="24"/>
          <w:szCs w:val="24"/>
        </w:rPr>
        <w:t xml:space="preserve">26 year old </w:t>
      </w:r>
      <w:r w:rsidRPr="00F32C58">
        <w:rPr>
          <w:rFonts w:ascii="Times New Roman" w:hAnsi="Times New Roman" w:cs="Times New Roman"/>
          <w:sz w:val="24"/>
          <w:szCs w:val="24"/>
        </w:rPr>
        <w:t>national of Sudan</w:t>
      </w:r>
      <w:r>
        <w:rPr>
          <w:rFonts w:ascii="Times New Roman" w:hAnsi="Times New Roman" w:cs="Times New Roman"/>
          <w:sz w:val="24"/>
          <w:szCs w:val="24"/>
        </w:rPr>
        <w:t xml:space="preserve"> claiming asylum. Upon an appeal from the decision of </w:t>
      </w:r>
      <w:r w:rsidRPr="00F32C58">
        <w:rPr>
          <w:rFonts w:ascii="Times New Roman" w:hAnsi="Times New Roman" w:cs="Times New Roman"/>
          <w:sz w:val="24"/>
          <w:szCs w:val="24"/>
        </w:rPr>
        <w:t xml:space="preserve">Secretary of State for the Home Department </w:t>
      </w:r>
      <w:r w:rsidRPr="007C19F4">
        <w:rPr>
          <w:rFonts w:ascii="Times New Roman" w:hAnsi="Times New Roman" w:cs="Times New Roman"/>
          <w:sz w:val="24"/>
          <w:szCs w:val="24"/>
        </w:rPr>
        <w:t>to the First-tier Tribunal</w:t>
      </w:r>
      <w:r>
        <w:rPr>
          <w:rFonts w:ascii="Times New Roman" w:hAnsi="Times New Roman" w:cs="Times New Roman"/>
          <w:sz w:val="24"/>
          <w:szCs w:val="24"/>
        </w:rPr>
        <w:t>,</w:t>
      </w:r>
      <w:r w:rsidRPr="007C19F4">
        <w:rPr>
          <w:rFonts w:ascii="Times New Roman" w:hAnsi="Times New Roman" w:cs="Times New Roman"/>
          <w:sz w:val="24"/>
          <w:szCs w:val="24"/>
        </w:rPr>
        <w:t xml:space="preserve"> </w:t>
      </w:r>
      <w:r>
        <w:rPr>
          <w:rFonts w:ascii="Times New Roman" w:hAnsi="Times New Roman" w:cs="Times New Roman"/>
          <w:sz w:val="24"/>
          <w:szCs w:val="24"/>
        </w:rPr>
        <w:t>t</w:t>
      </w:r>
      <w:r w:rsidRPr="007C19F4">
        <w:rPr>
          <w:rFonts w:ascii="Times New Roman" w:hAnsi="Times New Roman" w:cs="Times New Roman"/>
          <w:sz w:val="24"/>
          <w:szCs w:val="24"/>
        </w:rPr>
        <w:t xml:space="preserve">he </w:t>
      </w:r>
      <w:r>
        <w:rPr>
          <w:rFonts w:ascii="Times New Roman" w:hAnsi="Times New Roman" w:cs="Times New Roman"/>
          <w:sz w:val="24"/>
          <w:szCs w:val="24"/>
        </w:rPr>
        <w:t xml:space="preserve">Tribunal </w:t>
      </w:r>
      <w:r w:rsidRPr="007C19F4">
        <w:rPr>
          <w:rFonts w:ascii="Times New Roman" w:hAnsi="Times New Roman" w:cs="Times New Roman"/>
          <w:sz w:val="24"/>
          <w:szCs w:val="24"/>
        </w:rPr>
        <w:t xml:space="preserve">Judge </w:t>
      </w:r>
      <w:r>
        <w:rPr>
          <w:rFonts w:ascii="Times New Roman" w:hAnsi="Times New Roman" w:cs="Times New Roman"/>
          <w:sz w:val="24"/>
          <w:szCs w:val="24"/>
        </w:rPr>
        <w:t xml:space="preserve">engaged in independent internet research </w:t>
      </w:r>
      <w:r w:rsidRPr="007C19F4">
        <w:rPr>
          <w:rFonts w:ascii="Times New Roman" w:hAnsi="Times New Roman" w:cs="Times New Roman"/>
          <w:sz w:val="24"/>
          <w:szCs w:val="24"/>
        </w:rPr>
        <w:t>about the background materials relied upon by the Respondent</w:t>
      </w:r>
      <w:r>
        <w:rPr>
          <w:rFonts w:ascii="Times New Roman" w:hAnsi="Times New Roman" w:cs="Times New Roman"/>
          <w:sz w:val="24"/>
          <w:szCs w:val="24"/>
        </w:rPr>
        <w:t xml:space="preserve">. The Tribunal Judge found that </w:t>
      </w:r>
      <w:r w:rsidRPr="00E72F18">
        <w:rPr>
          <w:rFonts w:ascii="Times New Roman" w:hAnsi="Times New Roman" w:cs="Times New Roman"/>
          <w:sz w:val="24"/>
          <w:szCs w:val="24"/>
        </w:rPr>
        <w:t xml:space="preserve">that </w:t>
      </w:r>
      <w:r w:rsidRPr="00F32C58">
        <w:rPr>
          <w:rFonts w:ascii="Times New Roman" w:hAnsi="Times New Roman" w:cs="Times New Roman"/>
          <w:sz w:val="24"/>
          <w:szCs w:val="24"/>
        </w:rPr>
        <w:t xml:space="preserve">Secretary of State for the Home Department </w:t>
      </w:r>
      <w:r>
        <w:rPr>
          <w:rFonts w:ascii="Times New Roman" w:hAnsi="Times New Roman" w:cs="Times New Roman"/>
          <w:sz w:val="24"/>
          <w:szCs w:val="24"/>
        </w:rPr>
        <w:t xml:space="preserve">had </w:t>
      </w:r>
      <w:r w:rsidRPr="00E72F18">
        <w:rPr>
          <w:rFonts w:ascii="Times New Roman" w:hAnsi="Times New Roman" w:cs="Times New Roman"/>
          <w:sz w:val="24"/>
          <w:szCs w:val="24"/>
        </w:rPr>
        <w:t>misinterpreted the</w:t>
      </w:r>
      <w:r>
        <w:rPr>
          <w:rFonts w:ascii="Times New Roman" w:hAnsi="Times New Roman" w:cs="Times New Roman"/>
          <w:sz w:val="24"/>
          <w:szCs w:val="24"/>
        </w:rPr>
        <w:t xml:space="preserve"> controversial date</w:t>
      </w:r>
      <w:r w:rsidRPr="00E72F18">
        <w:rPr>
          <w:rFonts w:ascii="Times New Roman" w:hAnsi="Times New Roman" w:cs="Times New Roman"/>
          <w:sz w:val="24"/>
          <w:szCs w:val="24"/>
        </w:rPr>
        <w:t xml:space="preserve"> </w:t>
      </w:r>
      <w:r>
        <w:rPr>
          <w:rFonts w:ascii="Times New Roman" w:hAnsi="Times New Roman" w:cs="Times New Roman"/>
          <w:sz w:val="24"/>
          <w:szCs w:val="24"/>
        </w:rPr>
        <w:t xml:space="preserve">and a result </w:t>
      </w:r>
      <w:r w:rsidRPr="00E72F18">
        <w:rPr>
          <w:rFonts w:ascii="Times New Roman" w:hAnsi="Times New Roman" w:cs="Times New Roman"/>
          <w:sz w:val="24"/>
          <w:szCs w:val="24"/>
        </w:rPr>
        <w:t xml:space="preserve">was not satisfied that this inconsistency </w:t>
      </w:r>
      <w:r w:rsidRPr="00E72F18">
        <w:rPr>
          <w:rFonts w:ascii="Times New Roman" w:hAnsi="Times New Roman" w:cs="Times New Roman"/>
          <w:sz w:val="24"/>
          <w:szCs w:val="24"/>
        </w:rPr>
        <w:lastRenderedPageBreak/>
        <w:t>fatally undermine</w:t>
      </w:r>
      <w:r>
        <w:rPr>
          <w:rFonts w:ascii="Times New Roman" w:hAnsi="Times New Roman" w:cs="Times New Roman"/>
          <w:sz w:val="24"/>
          <w:szCs w:val="24"/>
        </w:rPr>
        <w:t>d</w:t>
      </w:r>
      <w:r w:rsidRPr="00E72F18">
        <w:rPr>
          <w:rFonts w:ascii="Times New Roman" w:hAnsi="Times New Roman" w:cs="Times New Roman"/>
          <w:sz w:val="24"/>
          <w:szCs w:val="24"/>
        </w:rPr>
        <w:t xml:space="preserve"> the </w:t>
      </w:r>
      <w:r>
        <w:rPr>
          <w:rFonts w:ascii="Times New Roman" w:hAnsi="Times New Roman" w:cs="Times New Roman"/>
          <w:sz w:val="24"/>
          <w:szCs w:val="24"/>
        </w:rPr>
        <w:t>Responden</w:t>
      </w:r>
      <w:r w:rsidRPr="00E72F18">
        <w:rPr>
          <w:rFonts w:ascii="Times New Roman" w:hAnsi="Times New Roman" w:cs="Times New Roman"/>
          <w:sz w:val="24"/>
          <w:szCs w:val="24"/>
        </w:rPr>
        <w:t xml:space="preserve">t’s credibility. </w:t>
      </w:r>
      <w:r>
        <w:rPr>
          <w:rFonts w:ascii="Times New Roman" w:hAnsi="Times New Roman" w:cs="Times New Roman"/>
          <w:sz w:val="24"/>
          <w:szCs w:val="24"/>
        </w:rPr>
        <w:t>He instead found that t</w:t>
      </w:r>
      <w:r w:rsidRPr="00E72F18">
        <w:rPr>
          <w:rFonts w:ascii="Times New Roman" w:hAnsi="Times New Roman" w:cs="Times New Roman"/>
          <w:sz w:val="24"/>
          <w:szCs w:val="24"/>
        </w:rPr>
        <w:t xml:space="preserve">here </w:t>
      </w:r>
      <w:r>
        <w:rPr>
          <w:rFonts w:ascii="Times New Roman" w:hAnsi="Times New Roman" w:cs="Times New Roman"/>
          <w:sz w:val="24"/>
          <w:szCs w:val="24"/>
        </w:rPr>
        <w:t>had been</w:t>
      </w:r>
      <w:r w:rsidRPr="00E72F18">
        <w:rPr>
          <w:rFonts w:ascii="Times New Roman" w:hAnsi="Times New Roman" w:cs="Times New Roman"/>
          <w:sz w:val="24"/>
          <w:szCs w:val="24"/>
        </w:rPr>
        <w:t xml:space="preserve"> a very high level of consistency in </w:t>
      </w:r>
      <w:r>
        <w:rPr>
          <w:rFonts w:ascii="Times New Roman" w:hAnsi="Times New Roman" w:cs="Times New Roman"/>
          <w:sz w:val="24"/>
          <w:szCs w:val="24"/>
        </w:rPr>
        <w:t>the respondent’s</w:t>
      </w:r>
      <w:r w:rsidRPr="00E72F18">
        <w:rPr>
          <w:rFonts w:ascii="Times New Roman" w:hAnsi="Times New Roman" w:cs="Times New Roman"/>
          <w:sz w:val="24"/>
          <w:szCs w:val="24"/>
        </w:rPr>
        <w:t xml:space="preserve"> account overall</w:t>
      </w:r>
      <w:r>
        <w:rPr>
          <w:rFonts w:ascii="Times New Roman" w:hAnsi="Times New Roman" w:cs="Times New Roman"/>
          <w:sz w:val="24"/>
          <w:szCs w:val="24"/>
        </w:rPr>
        <w:t>.</w:t>
      </w:r>
      <w:r w:rsidRPr="007C19F4">
        <w:rPr>
          <w:rFonts w:ascii="Times New Roman" w:hAnsi="Times New Roman" w:cs="Times New Roman"/>
          <w:sz w:val="24"/>
          <w:szCs w:val="24"/>
        </w:rPr>
        <w:t xml:space="preserve"> </w:t>
      </w:r>
      <w:r>
        <w:rPr>
          <w:rFonts w:ascii="Times New Roman" w:hAnsi="Times New Roman" w:cs="Times New Roman"/>
          <w:sz w:val="24"/>
          <w:szCs w:val="24"/>
        </w:rPr>
        <w:t xml:space="preserve">On basis of that research, he had faulted the </w:t>
      </w:r>
      <w:r w:rsidRPr="00F32C58">
        <w:rPr>
          <w:rFonts w:ascii="Times New Roman" w:hAnsi="Times New Roman" w:cs="Times New Roman"/>
          <w:sz w:val="24"/>
          <w:szCs w:val="24"/>
        </w:rPr>
        <w:t xml:space="preserve">Secretary of </w:t>
      </w:r>
      <w:r w:rsidRPr="00E72F18">
        <w:rPr>
          <w:rFonts w:ascii="Times New Roman" w:hAnsi="Times New Roman" w:cs="Times New Roman"/>
          <w:sz w:val="24"/>
          <w:szCs w:val="24"/>
        </w:rPr>
        <w:t xml:space="preserve">State for the Home Department’s decision based on inconsistency </w:t>
      </w:r>
      <w:r>
        <w:rPr>
          <w:rFonts w:ascii="Times New Roman" w:hAnsi="Times New Roman" w:cs="Times New Roman"/>
          <w:sz w:val="24"/>
          <w:szCs w:val="24"/>
        </w:rPr>
        <w:t xml:space="preserve">in the respondent’s documentation but </w:t>
      </w:r>
      <w:r w:rsidRPr="007C19F4">
        <w:rPr>
          <w:rFonts w:ascii="Times New Roman" w:hAnsi="Times New Roman" w:cs="Times New Roman"/>
          <w:sz w:val="24"/>
          <w:szCs w:val="24"/>
        </w:rPr>
        <w:t>failed to disclose to the parties that he had engaged in this research</w:t>
      </w:r>
      <w:r>
        <w:rPr>
          <w:rFonts w:ascii="Times New Roman" w:hAnsi="Times New Roman" w:cs="Times New Roman"/>
          <w:sz w:val="24"/>
          <w:szCs w:val="24"/>
        </w:rPr>
        <w:t xml:space="preserve">. On further appeal to the </w:t>
      </w:r>
      <w:r w:rsidRPr="00E72F18">
        <w:rPr>
          <w:rFonts w:ascii="Times New Roman" w:hAnsi="Times New Roman" w:cs="Times New Roman"/>
          <w:sz w:val="24"/>
          <w:szCs w:val="24"/>
        </w:rPr>
        <w:t>Upper Tribunal (Immigration and Asylum Chamber)</w:t>
      </w:r>
      <w:r>
        <w:rPr>
          <w:rFonts w:ascii="Times New Roman" w:hAnsi="Times New Roman" w:cs="Times New Roman"/>
          <w:sz w:val="24"/>
          <w:szCs w:val="24"/>
        </w:rPr>
        <w:t>, it was held that;</w:t>
      </w:r>
    </w:p>
    <w:p w:rsidR="00B23499" w:rsidRDefault="00B23499" w:rsidP="00B23499">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026AF2">
        <w:rPr>
          <w:rFonts w:ascii="Times New Roman" w:hAnsi="Times New Roman" w:cs="Times New Roman"/>
          <w:sz w:val="24"/>
          <w:szCs w:val="24"/>
        </w:rPr>
        <w:t xml:space="preserve">he </w:t>
      </w:r>
      <w:r w:rsidRPr="007C19F4">
        <w:rPr>
          <w:rFonts w:ascii="Times New Roman" w:hAnsi="Times New Roman" w:cs="Times New Roman"/>
          <w:sz w:val="24"/>
          <w:szCs w:val="24"/>
        </w:rPr>
        <w:t>First-tier Tribunal</w:t>
      </w:r>
      <w:r w:rsidRPr="00026AF2">
        <w:rPr>
          <w:rFonts w:ascii="Times New Roman" w:hAnsi="Times New Roman" w:cs="Times New Roman"/>
          <w:sz w:val="24"/>
          <w:szCs w:val="24"/>
        </w:rPr>
        <w:t xml:space="preserve"> Judge did not engage in some kind of independent research exercise. Rather, as stated unequiv</w:t>
      </w:r>
      <w:r>
        <w:rPr>
          <w:rFonts w:ascii="Times New Roman" w:hAnsi="Times New Roman" w:cs="Times New Roman"/>
          <w:sz w:val="24"/>
          <w:szCs w:val="24"/>
        </w:rPr>
        <w:t>ocally in the decision: “</w:t>
      </w:r>
      <w:r w:rsidRPr="00026AF2">
        <w:rPr>
          <w:rFonts w:ascii="Times New Roman" w:hAnsi="Times New Roman" w:cs="Times New Roman"/>
          <w:sz w:val="24"/>
          <w:szCs w:val="24"/>
        </w:rPr>
        <w:t>I accessed the background information relied on by the Secretary of State as set out in the footnotes to the refusal letter.</w:t>
      </w:r>
      <w:r>
        <w:rPr>
          <w:rFonts w:ascii="Times New Roman" w:hAnsi="Times New Roman" w:cs="Times New Roman"/>
          <w:sz w:val="24"/>
          <w:szCs w:val="24"/>
        </w:rPr>
        <w:t xml:space="preserve">” </w:t>
      </w:r>
      <w:r w:rsidRPr="00026AF2">
        <w:rPr>
          <w:rFonts w:ascii="Times New Roman" w:hAnsi="Times New Roman" w:cs="Times New Roman"/>
          <w:sz w:val="24"/>
          <w:szCs w:val="24"/>
        </w:rPr>
        <w:t>This was an entirely legitimate exercise, since the Secretary of State was relying on the source materials identified in the footnotes</w:t>
      </w:r>
      <w:r>
        <w:rPr>
          <w:rFonts w:ascii="Times New Roman" w:hAnsi="Times New Roman" w:cs="Times New Roman"/>
          <w:sz w:val="24"/>
          <w:szCs w:val="24"/>
        </w:rPr>
        <w:t>......</w:t>
      </w:r>
      <w:r w:rsidRPr="00D21CEB">
        <w:t xml:space="preserve"> </w:t>
      </w:r>
      <w:r w:rsidRPr="00D21CEB">
        <w:rPr>
          <w:rFonts w:ascii="Times New Roman" w:hAnsi="Times New Roman" w:cs="Times New Roman"/>
          <w:sz w:val="24"/>
          <w:szCs w:val="24"/>
        </w:rPr>
        <w:t>Bearing in mind the context of this appeal, it is appropriate to formulate some general rules, or principles. It is important to emphasise that these are general in nature, given the unavoidable contextual and fact sensitive nature of every case.</w:t>
      </w:r>
    </w:p>
    <w:p w:rsidR="00B23499" w:rsidRDefault="00B23499" w:rsidP="00B23499">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Independent judicial research is inappropriate. It is not for the judge to assemble evidence. Rather, it is the duty of the judge to decide each case on the basis of the evidence presented by the parties, duly infused, where appropriate, by the doctrine of judicial notice.</w:t>
      </w:r>
    </w:p>
    <w:p w:rsidR="00B23499" w:rsidRDefault="00B23499" w:rsidP="00B23499">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 xml:space="preserve">If a judge is cognisant of certain evidence which does not form part of either party's case, for example as a result of having adjudicated in another case or cases, or having been alerted to something in the news media, the judge must proactively bring this evidence to the attention of the parties at the earliest possible stage, unless satisfied that it has no conceivable bearing on any of the issues to be decided. If the matter is </w:t>
      </w:r>
      <w:proofErr w:type="gramStart"/>
      <w:r w:rsidRPr="00D21CEB">
        <w:rPr>
          <w:rFonts w:ascii="Times New Roman" w:hAnsi="Times New Roman" w:cs="Times New Roman"/>
          <w:sz w:val="24"/>
          <w:szCs w:val="24"/>
        </w:rPr>
        <w:t>borderline</w:t>
      </w:r>
      <w:proofErr w:type="gramEnd"/>
      <w:r w:rsidRPr="00D21CEB">
        <w:rPr>
          <w:rFonts w:ascii="Times New Roman" w:hAnsi="Times New Roman" w:cs="Times New Roman"/>
          <w:sz w:val="24"/>
          <w:szCs w:val="24"/>
        </w:rPr>
        <w:t>, disclosure should be made. This duty may extend beyond the date of hearing, in certain contexts.</w:t>
      </w:r>
    </w:p>
    <w:p w:rsidR="00B23499" w:rsidRDefault="00B23499" w:rsidP="00B23499">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The assiduous judge who has invested time and effort in reading all of the documentary materials in advance of the hearing is entitled to form provisional views. Provided that such views are provisional only and the judge conscientiously maintains an open mind, no unfairness arises.</w:t>
      </w:r>
    </w:p>
    <w:p w:rsidR="00B23499" w:rsidRDefault="00B23499" w:rsidP="00B23499">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w:t>
      </w:r>
      <w:r>
        <w:rPr>
          <w:rFonts w:ascii="Times New Roman" w:hAnsi="Times New Roman" w:cs="Times New Roman"/>
          <w:sz w:val="24"/>
          <w:szCs w:val="24"/>
        </w:rPr>
        <w:t>...............</w:t>
      </w:r>
    </w:p>
    <w:p w:rsidR="00B23499" w:rsidRPr="00D21CEB" w:rsidRDefault="00B23499" w:rsidP="00B23499">
      <w:pPr>
        <w:pStyle w:val="ListParagraph"/>
        <w:numPr>
          <w:ilvl w:val="0"/>
          <w:numId w:val="13"/>
        </w:numPr>
        <w:autoSpaceDE w:val="0"/>
        <w:autoSpaceDN w:val="0"/>
        <w:adjustRightInd w:val="0"/>
        <w:spacing w:after="0"/>
        <w:ind w:right="1296"/>
        <w:jc w:val="both"/>
        <w:rPr>
          <w:rFonts w:ascii="Times New Roman" w:hAnsi="Times New Roman" w:cs="Times New Roman"/>
          <w:sz w:val="24"/>
          <w:szCs w:val="24"/>
        </w:rPr>
      </w:pPr>
      <w:r w:rsidRPr="00D21CEB">
        <w:rPr>
          <w:rFonts w:ascii="Times New Roman" w:hAnsi="Times New Roman" w:cs="Times New Roman"/>
          <w:sz w:val="24"/>
          <w:szCs w:val="24"/>
        </w:rPr>
        <w:t xml:space="preserve">If a judge has concerns or reservations about the evidence adduced by either party which have not been ventilated by the parties or their representatives, these may require to be ventilated in fulfilment of the </w:t>
      </w:r>
      <w:r>
        <w:rPr>
          <w:rFonts w:ascii="Times New Roman" w:hAnsi="Times New Roman" w:cs="Times New Roman"/>
          <w:sz w:val="24"/>
          <w:szCs w:val="24"/>
        </w:rPr>
        <w:t>“</w:t>
      </w:r>
      <w:r w:rsidRPr="00D21CEB">
        <w:rPr>
          <w:rFonts w:ascii="Times New Roman" w:hAnsi="Times New Roman" w:cs="Times New Roman"/>
          <w:i/>
          <w:sz w:val="24"/>
          <w:szCs w:val="24"/>
        </w:rPr>
        <w:t>audi alteram partem</w:t>
      </w:r>
      <w:r>
        <w:rPr>
          <w:rFonts w:ascii="Times New Roman" w:hAnsi="Times New Roman" w:cs="Times New Roman"/>
          <w:sz w:val="24"/>
          <w:szCs w:val="24"/>
        </w:rPr>
        <w:t>”</w:t>
      </w:r>
      <w:r w:rsidRPr="00D21CEB">
        <w:rPr>
          <w:rFonts w:ascii="Times New Roman" w:hAnsi="Times New Roman" w:cs="Times New Roman"/>
          <w:sz w:val="24"/>
          <w:szCs w:val="24"/>
        </w:rPr>
        <w:t xml:space="preserve"> duty, namely the obligation to ensure that each party has a reasonable opportunity to put its case fully. This duty may extend beyond the date of hearing, in certain contexts. In this respect, the decision in </w:t>
      </w:r>
      <w:r w:rsidRPr="00D21CEB">
        <w:rPr>
          <w:rFonts w:ascii="Times New Roman" w:hAnsi="Times New Roman" w:cs="Times New Roman"/>
          <w:i/>
          <w:sz w:val="24"/>
          <w:szCs w:val="24"/>
        </w:rPr>
        <w:t xml:space="preserve">Secretary for the Home Department v. Maheshwaran </w:t>
      </w:r>
      <w:r w:rsidRPr="00D21CEB">
        <w:rPr>
          <w:rFonts w:ascii="Times New Roman" w:hAnsi="Times New Roman" w:cs="Times New Roman"/>
          <w:i/>
          <w:sz w:val="24"/>
          <w:szCs w:val="24"/>
        </w:rPr>
        <w:lastRenderedPageBreak/>
        <w:t>[2002] EWCA Civ 173, at [3] - [5]</w:t>
      </w:r>
      <w:r w:rsidRPr="00D21CEB">
        <w:rPr>
          <w:rFonts w:ascii="Times New Roman" w:hAnsi="Times New Roman" w:cs="Times New Roman"/>
          <w:sz w:val="24"/>
          <w:szCs w:val="24"/>
        </w:rPr>
        <w:t xml:space="preserve"> especially, on which the Secretary of State relied in argument, does not purport to be either prescriptive or exhaustive of the requirements of a procedurally fair hearing. Furthermore, it contains no acknowledgement of the public law dimension and the absence of any </w:t>
      </w:r>
      <w:r w:rsidRPr="00D21CEB">
        <w:rPr>
          <w:rFonts w:ascii="Times New Roman" w:hAnsi="Times New Roman" w:cs="Times New Roman"/>
          <w:i/>
          <w:sz w:val="24"/>
          <w:szCs w:val="24"/>
        </w:rPr>
        <w:t>lis inter-partes</w:t>
      </w:r>
      <w:r w:rsidRPr="00D21CEB">
        <w:rPr>
          <w:rFonts w:ascii="Times New Roman" w:hAnsi="Times New Roman" w:cs="Times New Roman"/>
          <w:sz w:val="24"/>
          <w:szCs w:val="24"/>
        </w:rPr>
        <w:t>.</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be noted though that unlike The Public Procurement and Disposal of Public Assets Tribunal which is enjoined to more or less conduct an inquiry, proceedings before the </w:t>
      </w:r>
      <w:r w:rsidRPr="007C19F4">
        <w:rPr>
          <w:rFonts w:ascii="Times New Roman" w:hAnsi="Times New Roman" w:cs="Times New Roman"/>
          <w:sz w:val="24"/>
          <w:szCs w:val="24"/>
        </w:rPr>
        <w:t>First-tier Tribunal</w:t>
      </w:r>
      <w:r>
        <w:rPr>
          <w:rFonts w:ascii="Times New Roman" w:hAnsi="Times New Roman" w:cs="Times New Roman"/>
          <w:sz w:val="24"/>
          <w:szCs w:val="24"/>
        </w:rPr>
        <w:t xml:space="preserve"> in the U.K. </w:t>
      </w:r>
      <w:r w:rsidRPr="00E72F18">
        <w:rPr>
          <w:rFonts w:ascii="Times New Roman" w:hAnsi="Times New Roman" w:cs="Times New Roman"/>
          <w:sz w:val="24"/>
          <w:szCs w:val="24"/>
        </w:rPr>
        <w:t>Immigration and Asylum Chamber</w:t>
      </w:r>
      <w:r>
        <w:rPr>
          <w:rFonts w:ascii="Times New Roman" w:hAnsi="Times New Roman" w:cs="Times New Roman"/>
          <w:sz w:val="24"/>
          <w:szCs w:val="24"/>
        </w:rPr>
        <w:t xml:space="preserve"> are an adjudication hence the closer restriction on </w:t>
      </w:r>
      <w:r w:rsidRPr="00D21CEB">
        <w:rPr>
          <w:rFonts w:ascii="Times New Roman" w:hAnsi="Times New Roman" w:cs="Times New Roman"/>
          <w:sz w:val="24"/>
          <w:szCs w:val="24"/>
        </w:rPr>
        <w:t>the duty of the judge to decide each case on the basis of the evidence presented by the parties</w:t>
      </w:r>
      <w:r>
        <w:rPr>
          <w:rFonts w:ascii="Times New Roman" w:hAnsi="Times New Roman" w:cs="Times New Roman"/>
          <w:sz w:val="24"/>
          <w:szCs w:val="24"/>
        </w:rPr>
        <w:t>. On some occasions, f</w:t>
      </w:r>
      <w:r w:rsidRPr="00442C73">
        <w:rPr>
          <w:rFonts w:ascii="Times New Roman" w:hAnsi="Times New Roman" w:cs="Times New Roman"/>
          <w:sz w:val="24"/>
          <w:szCs w:val="24"/>
        </w:rPr>
        <w:t xml:space="preserve">airness may require a Tribunal to canvas an issue which has not been ventilated by the parties or their representatives, </w:t>
      </w:r>
      <w:r>
        <w:rPr>
          <w:rFonts w:ascii="Times New Roman" w:hAnsi="Times New Roman" w:cs="Times New Roman"/>
          <w:sz w:val="24"/>
          <w:szCs w:val="24"/>
        </w:rPr>
        <w:t xml:space="preserve">but this must be done </w:t>
      </w:r>
      <w:r w:rsidRPr="00442C73">
        <w:rPr>
          <w:rFonts w:ascii="Times New Roman" w:hAnsi="Times New Roman" w:cs="Times New Roman"/>
          <w:sz w:val="24"/>
          <w:szCs w:val="24"/>
        </w:rPr>
        <w:t xml:space="preserve">in fulfilment of each party’s right to a fair hearing. </w:t>
      </w:r>
      <w:r>
        <w:rPr>
          <w:rFonts w:ascii="Times New Roman" w:hAnsi="Times New Roman" w:cs="Times New Roman"/>
          <w:sz w:val="24"/>
          <w:szCs w:val="24"/>
        </w:rPr>
        <w:t xml:space="preserve">The proposed general rules of dealing with the </w:t>
      </w:r>
      <w:r w:rsidRPr="00D21CEB">
        <w:rPr>
          <w:rFonts w:ascii="Times New Roman" w:hAnsi="Times New Roman" w:cs="Times New Roman"/>
          <w:sz w:val="24"/>
          <w:szCs w:val="24"/>
        </w:rPr>
        <w:t>cognisan</w:t>
      </w:r>
      <w:r>
        <w:rPr>
          <w:rFonts w:ascii="Times New Roman" w:hAnsi="Times New Roman" w:cs="Times New Roman"/>
          <w:sz w:val="24"/>
          <w:szCs w:val="24"/>
        </w:rPr>
        <w:t>ce</w:t>
      </w:r>
      <w:r w:rsidRPr="00D21CEB">
        <w:rPr>
          <w:rFonts w:ascii="Times New Roman" w:hAnsi="Times New Roman" w:cs="Times New Roman"/>
          <w:sz w:val="24"/>
          <w:szCs w:val="24"/>
        </w:rPr>
        <w:t xml:space="preserve"> of certain evidence which does not form part of either party's case</w:t>
      </w:r>
      <w:r>
        <w:rPr>
          <w:rFonts w:ascii="Times New Roman" w:hAnsi="Times New Roman" w:cs="Times New Roman"/>
          <w:sz w:val="24"/>
          <w:szCs w:val="24"/>
        </w:rPr>
        <w:t xml:space="preserve">, are very instructive for that reason. The Tribunal is under an obligation to </w:t>
      </w:r>
      <w:r w:rsidRPr="00D21CEB">
        <w:rPr>
          <w:rFonts w:ascii="Times New Roman" w:hAnsi="Times New Roman" w:cs="Times New Roman"/>
          <w:sz w:val="24"/>
          <w:szCs w:val="24"/>
        </w:rPr>
        <w:t xml:space="preserve">bring </w:t>
      </w:r>
      <w:r>
        <w:rPr>
          <w:rFonts w:ascii="Times New Roman" w:hAnsi="Times New Roman" w:cs="Times New Roman"/>
          <w:sz w:val="24"/>
          <w:szCs w:val="24"/>
        </w:rPr>
        <w:t>such</w:t>
      </w:r>
      <w:r w:rsidRPr="00D21CEB">
        <w:rPr>
          <w:rFonts w:ascii="Times New Roman" w:hAnsi="Times New Roman" w:cs="Times New Roman"/>
          <w:sz w:val="24"/>
          <w:szCs w:val="24"/>
        </w:rPr>
        <w:t xml:space="preserve"> evidence to the attention of the parties at the earliest possible stage, unless satisfied that it has no conceivable bearing on any of the issues to be decided</w:t>
      </w:r>
      <w:r>
        <w:rPr>
          <w:rFonts w:ascii="Times New Roman" w:hAnsi="Times New Roman" w:cs="Times New Roman"/>
          <w:sz w:val="24"/>
          <w:szCs w:val="24"/>
        </w:rPr>
        <w:t xml:space="preserve">. In the instant case, the parties were not given notice of this aspect of the case yet it did not simply have a </w:t>
      </w:r>
      <w:r w:rsidRPr="00D21CEB">
        <w:rPr>
          <w:rFonts w:ascii="Times New Roman" w:hAnsi="Times New Roman" w:cs="Times New Roman"/>
          <w:sz w:val="24"/>
          <w:szCs w:val="24"/>
        </w:rPr>
        <w:t xml:space="preserve">bearing </w:t>
      </w:r>
      <w:r>
        <w:rPr>
          <w:rFonts w:ascii="Times New Roman" w:hAnsi="Times New Roman" w:cs="Times New Roman"/>
          <w:sz w:val="24"/>
          <w:szCs w:val="24"/>
        </w:rPr>
        <w:t>but was pivotal to</w:t>
      </w:r>
      <w:r w:rsidRPr="00D21CEB">
        <w:rPr>
          <w:rFonts w:ascii="Times New Roman" w:hAnsi="Times New Roman" w:cs="Times New Roman"/>
          <w:sz w:val="24"/>
          <w:szCs w:val="24"/>
        </w:rPr>
        <w:t xml:space="preserve"> the issues to be decided</w:t>
      </w:r>
      <w:r>
        <w:rPr>
          <w:rFonts w:ascii="Times New Roman" w:hAnsi="Times New Roman" w:cs="Times New Roman"/>
          <w:sz w:val="24"/>
          <w:szCs w:val="24"/>
        </w:rPr>
        <w:t xml:space="preserve"> and as a result the appellant was denied the opportunity to prepare for and address the Tribunal on it. </w:t>
      </w:r>
      <w:r w:rsidRPr="00B932C9">
        <w:rPr>
          <w:rFonts w:ascii="Times New Roman" w:hAnsi="Times New Roman" w:cs="Times New Roman"/>
          <w:sz w:val="24"/>
          <w:szCs w:val="24"/>
        </w:rPr>
        <w:t xml:space="preserve">It is an elementary principle of law that no order involving adverse civil consequences can be passed against any person without giving him an opportunity to be heard against the passing of such order. </w:t>
      </w:r>
      <w:r>
        <w:rPr>
          <w:rFonts w:ascii="Times New Roman" w:hAnsi="Times New Roman" w:cs="Times New Roman"/>
          <w:sz w:val="24"/>
          <w:szCs w:val="24"/>
        </w:rPr>
        <w:t>T</w:t>
      </w:r>
      <w:r w:rsidRPr="00B932C9">
        <w:rPr>
          <w:rFonts w:ascii="Times New Roman" w:hAnsi="Times New Roman" w:cs="Times New Roman"/>
          <w:sz w:val="24"/>
          <w:szCs w:val="24"/>
        </w:rPr>
        <w:t xml:space="preserve">he </w:t>
      </w:r>
      <w:r w:rsidRPr="00B932C9">
        <w:rPr>
          <w:rFonts w:ascii="Times New Roman" w:hAnsi="Times New Roman" w:cs="Times New Roman"/>
          <w:i/>
          <w:sz w:val="24"/>
          <w:szCs w:val="24"/>
        </w:rPr>
        <w:t>audi alteram partem</w:t>
      </w:r>
      <w:r w:rsidRPr="00B932C9">
        <w:rPr>
          <w:rFonts w:ascii="Times New Roman" w:hAnsi="Times New Roman" w:cs="Times New Roman"/>
          <w:sz w:val="24"/>
          <w:szCs w:val="24"/>
        </w:rPr>
        <w:t xml:space="preserve"> rule </w:t>
      </w:r>
      <w:r>
        <w:rPr>
          <w:rFonts w:ascii="Times New Roman" w:hAnsi="Times New Roman" w:cs="Times New Roman"/>
          <w:sz w:val="24"/>
          <w:szCs w:val="24"/>
        </w:rPr>
        <w:t>is</w:t>
      </w:r>
      <w:r w:rsidRPr="00B932C9">
        <w:rPr>
          <w:rFonts w:ascii="Times New Roman" w:hAnsi="Times New Roman" w:cs="Times New Roman"/>
          <w:sz w:val="24"/>
          <w:szCs w:val="24"/>
        </w:rPr>
        <w:t xml:space="preserve"> applicable in a quasi-judicial </w:t>
      </w:r>
      <w:r>
        <w:rPr>
          <w:rFonts w:ascii="Times New Roman" w:hAnsi="Times New Roman" w:cs="Times New Roman"/>
          <w:sz w:val="24"/>
          <w:szCs w:val="24"/>
        </w:rPr>
        <w:t>as well as</w:t>
      </w:r>
      <w:r w:rsidRPr="00B932C9">
        <w:rPr>
          <w:rFonts w:ascii="Times New Roman" w:hAnsi="Times New Roman" w:cs="Times New Roman"/>
          <w:sz w:val="24"/>
          <w:szCs w:val="24"/>
        </w:rPr>
        <w:t xml:space="preserve"> an administrative proceeding</w:t>
      </w:r>
      <w:r>
        <w:rPr>
          <w:rFonts w:ascii="Times New Roman" w:hAnsi="Times New Roman" w:cs="Times New Roman"/>
          <w:sz w:val="24"/>
          <w:szCs w:val="24"/>
        </w:rPr>
        <w:t>.</w:t>
      </w:r>
      <w:r w:rsidRPr="00B932C9">
        <w:rPr>
          <w:rFonts w:ascii="Times New Roman" w:hAnsi="Times New Roman" w:cs="Times New Roman"/>
          <w:sz w:val="24"/>
          <w:szCs w:val="24"/>
        </w:rPr>
        <w:t xml:space="preserve"> </w:t>
      </w:r>
      <w:r>
        <w:rPr>
          <w:rFonts w:ascii="Times New Roman" w:hAnsi="Times New Roman" w:cs="Times New Roman"/>
          <w:sz w:val="24"/>
          <w:szCs w:val="24"/>
        </w:rPr>
        <w:t>However, not in every case where this rule is violated will a miscarriage of justice occur. Decisions will be vacated only if the violation occasioned a miscarriage of justice.</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F32C58">
        <w:rPr>
          <w:rFonts w:ascii="Times New Roman" w:hAnsi="Times New Roman" w:cs="Times New Roman"/>
          <w:i/>
          <w:sz w:val="24"/>
          <w:szCs w:val="24"/>
        </w:rPr>
        <w:t xml:space="preserve">The Secretary of State for the Home Department v. </w:t>
      </w:r>
      <w:r w:rsidRPr="00FA535B">
        <w:rPr>
          <w:rFonts w:ascii="Times New Roman" w:hAnsi="Times New Roman" w:cs="Times New Roman"/>
          <w:i/>
          <w:sz w:val="24"/>
          <w:szCs w:val="24"/>
        </w:rPr>
        <w:t>Balasingham Maheshwaran</w:t>
      </w:r>
      <w:r>
        <w:rPr>
          <w:rFonts w:ascii="Times New Roman" w:hAnsi="Times New Roman" w:cs="Times New Roman"/>
          <w:i/>
          <w:sz w:val="24"/>
          <w:szCs w:val="24"/>
        </w:rPr>
        <w:t xml:space="preserve">, </w:t>
      </w:r>
      <w:r w:rsidRPr="00FA535B">
        <w:rPr>
          <w:rFonts w:ascii="Times New Roman" w:hAnsi="Times New Roman" w:cs="Times New Roman"/>
          <w:i/>
          <w:sz w:val="24"/>
          <w:szCs w:val="24"/>
        </w:rPr>
        <w:t>[2002] EWCA Civ 173</w:t>
      </w:r>
      <w:r>
        <w:rPr>
          <w:rFonts w:ascii="Times New Roman" w:hAnsi="Times New Roman" w:cs="Times New Roman"/>
          <w:sz w:val="24"/>
          <w:szCs w:val="24"/>
        </w:rPr>
        <w:t xml:space="preserve">, the </w:t>
      </w:r>
      <w:r w:rsidRPr="00FA535B">
        <w:rPr>
          <w:rFonts w:ascii="Times New Roman" w:hAnsi="Times New Roman" w:cs="Times New Roman"/>
          <w:sz w:val="24"/>
          <w:szCs w:val="24"/>
        </w:rPr>
        <w:t xml:space="preserve">England and Wales Court of Appeal (Civil Division) having found </w:t>
      </w:r>
      <w:r>
        <w:rPr>
          <w:rFonts w:ascii="Times New Roman" w:hAnsi="Times New Roman" w:cs="Times New Roman"/>
          <w:sz w:val="24"/>
          <w:szCs w:val="24"/>
        </w:rPr>
        <w:t>such a violation, went on to hold that;</w:t>
      </w:r>
    </w:p>
    <w:p w:rsidR="00B23499" w:rsidRDefault="00B23499" w:rsidP="00B23499">
      <w:pPr>
        <w:autoSpaceDE w:val="0"/>
        <w:autoSpaceDN w:val="0"/>
        <w:adjustRightInd w:val="0"/>
        <w:spacing w:after="0"/>
        <w:ind w:left="576" w:right="576"/>
        <w:jc w:val="both"/>
        <w:rPr>
          <w:rFonts w:ascii="Times New Roman" w:hAnsi="Times New Roman" w:cs="Times New Roman"/>
          <w:sz w:val="24"/>
          <w:szCs w:val="24"/>
        </w:rPr>
      </w:pPr>
      <w:r w:rsidRPr="00FA535B">
        <w:rPr>
          <w:rFonts w:ascii="Times New Roman" w:hAnsi="Times New Roman" w:cs="Times New Roman"/>
          <w:sz w:val="24"/>
          <w:szCs w:val="24"/>
        </w:rPr>
        <w:t xml:space="preserve">Undoubtedly a failure to put to a party to litigation a point which is decided against him can be grossly unfair and lead to injustice. He must have a proper opportunity to deal with the point. Adjudicators must bear this in mind. Where a point is expressly conceded by one party it will usually be unfair to decide the case against the other party on the basis that the concession was wrongly made, unless the tribunal </w:t>
      </w:r>
      <w:r w:rsidRPr="00FA535B">
        <w:rPr>
          <w:rFonts w:ascii="Times New Roman" w:hAnsi="Times New Roman" w:cs="Times New Roman"/>
          <w:sz w:val="24"/>
          <w:szCs w:val="24"/>
        </w:rPr>
        <w:lastRenderedPageBreak/>
        <w:t>indicates that it is minded to take that course. Cases can occur when fairness will require the reopening of an appeal because some point of significance – perhaps arising out of a post hearing decision of the higher courts – requires it. However, such cases will be rare.</w:t>
      </w:r>
    </w:p>
    <w:p w:rsidR="00B23499" w:rsidRDefault="00B23499" w:rsidP="00B23499">
      <w:pPr>
        <w:autoSpaceDE w:val="0"/>
        <w:autoSpaceDN w:val="0"/>
        <w:adjustRightInd w:val="0"/>
        <w:spacing w:after="0"/>
        <w:ind w:right="576"/>
        <w:jc w:val="both"/>
        <w:rPr>
          <w:rFonts w:ascii="Times New Roman" w:hAnsi="Times New Roman" w:cs="Times New Roman"/>
          <w:sz w:val="24"/>
          <w:szCs w:val="24"/>
        </w:rPr>
      </w:pPr>
    </w:p>
    <w:p w:rsidR="00B23499" w:rsidRPr="00FA535B"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in the instant case </w:t>
      </w:r>
      <w:r w:rsidRPr="00BF48B7">
        <w:rPr>
          <w:rFonts w:ascii="Times New Roman" w:hAnsi="Times New Roman" w:cs="Times New Roman"/>
          <w:sz w:val="24"/>
          <w:szCs w:val="24"/>
        </w:rPr>
        <w:t xml:space="preserve">the </w:t>
      </w:r>
      <w:r>
        <w:rPr>
          <w:rFonts w:ascii="Times New Roman" w:hAnsi="Times New Roman" w:cs="Times New Roman"/>
          <w:sz w:val="24"/>
          <w:szCs w:val="24"/>
        </w:rPr>
        <w:t>Tribunal</w:t>
      </w:r>
      <w:r w:rsidRPr="00BF48B7">
        <w:rPr>
          <w:rFonts w:ascii="Times New Roman" w:hAnsi="Times New Roman" w:cs="Times New Roman"/>
          <w:sz w:val="24"/>
          <w:szCs w:val="24"/>
        </w:rPr>
        <w:t xml:space="preserve"> definitely deprived the </w:t>
      </w:r>
      <w:r>
        <w:rPr>
          <w:rFonts w:ascii="Times New Roman" w:hAnsi="Times New Roman" w:cs="Times New Roman"/>
          <w:sz w:val="24"/>
          <w:szCs w:val="24"/>
        </w:rPr>
        <w:t>appellant</w:t>
      </w:r>
      <w:r w:rsidRPr="00BF48B7">
        <w:rPr>
          <w:rFonts w:ascii="Times New Roman" w:hAnsi="Times New Roman" w:cs="Times New Roman"/>
          <w:sz w:val="24"/>
          <w:szCs w:val="24"/>
        </w:rPr>
        <w:t xml:space="preserve"> of </w:t>
      </w:r>
      <w:r>
        <w:rPr>
          <w:rFonts w:ascii="Times New Roman" w:hAnsi="Times New Roman" w:cs="Times New Roman"/>
          <w:sz w:val="24"/>
          <w:szCs w:val="24"/>
        </w:rPr>
        <w:t>its</w:t>
      </w:r>
      <w:r w:rsidRPr="00BF48B7">
        <w:rPr>
          <w:rFonts w:ascii="Times New Roman" w:hAnsi="Times New Roman" w:cs="Times New Roman"/>
          <w:sz w:val="24"/>
          <w:szCs w:val="24"/>
        </w:rPr>
        <w:t xml:space="preserve"> right of being heard, in violation of t</w:t>
      </w:r>
      <w:r>
        <w:rPr>
          <w:rFonts w:ascii="Times New Roman" w:hAnsi="Times New Roman" w:cs="Times New Roman"/>
          <w:sz w:val="24"/>
          <w:szCs w:val="24"/>
        </w:rPr>
        <w:t>he principle of natural justice, it has however not been demonstrated that the violation</w:t>
      </w:r>
      <w:r w:rsidRPr="00B932C9">
        <w:rPr>
          <w:rFonts w:ascii="Times New Roman" w:hAnsi="Times New Roman" w:cs="Times New Roman"/>
          <w:sz w:val="24"/>
          <w:szCs w:val="24"/>
        </w:rPr>
        <w:t xml:space="preserve"> involv</w:t>
      </w:r>
      <w:r>
        <w:rPr>
          <w:rFonts w:ascii="Times New Roman" w:hAnsi="Times New Roman" w:cs="Times New Roman"/>
          <w:sz w:val="24"/>
          <w:szCs w:val="24"/>
        </w:rPr>
        <w:t>ed</w:t>
      </w:r>
      <w:r w:rsidRPr="00B932C9">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B932C9">
        <w:rPr>
          <w:rFonts w:ascii="Times New Roman" w:hAnsi="Times New Roman" w:cs="Times New Roman"/>
          <w:sz w:val="24"/>
          <w:szCs w:val="24"/>
        </w:rPr>
        <w:t>adverse civil consequences</w:t>
      </w:r>
      <w:r>
        <w:rPr>
          <w:rFonts w:ascii="Times New Roman" w:hAnsi="Times New Roman" w:cs="Times New Roman"/>
          <w:sz w:val="24"/>
          <w:szCs w:val="24"/>
        </w:rPr>
        <w:t xml:space="preserve"> to the appellant. It was therefore an inconsequential violation that does not require vacating the decision and </w:t>
      </w:r>
      <w:r w:rsidRPr="00FA535B">
        <w:rPr>
          <w:rFonts w:ascii="Times New Roman" w:hAnsi="Times New Roman" w:cs="Times New Roman"/>
          <w:sz w:val="24"/>
          <w:szCs w:val="24"/>
        </w:rPr>
        <w:t xml:space="preserve">reopening of </w:t>
      </w:r>
      <w:r>
        <w:rPr>
          <w:rFonts w:ascii="Times New Roman" w:hAnsi="Times New Roman" w:cs="Times New Roman"/>
          <w:sz w:val="24"/>
          <w:szCs w:val="24"/>
        </w:rPr>
        <w:t>the</w:t>
      </w:r>
      <w:r w:rsidRPr="00FA535B">
        <w:rPr>
          <w:rFonts w:ascii="Times New Roman" w:hAnsi="Times New Roman" w:cs="Times New Roman"/>
          <w:sz w:val="24"/>
          <w:szCs w:val="24"/>
        </w:rPr>
        <w:t xml:space="preserve"> appeal</w:t>
      </w:r>
      <w:r>
        <w:rPr>
          <w:rFonts w:ascii="Times New Roman" w:hAnsi="Times New Roman" w:cs="Times New Roman"/>
          <w:sz w:val="24"/>
          <w:szCs w:val="24"/>
        </w:rPr>
        <w:t xml:space="preserve"> before the Tribunal.</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7E1185"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B23499">
        <w:rPr>
          <w:rFonts w:ascii="Times New Roman" w:hAnsi="Times New Roman" w:cs="Times New Roman"/>
          <w:sz w:val="24"/>
          <w:szCs w:val="24"/>
        </w:rPr>
        <w:t xml:space="preserve">he tribunal found as a matter of fact that the procuring entity had purported to invoke Regulation 48 (1) of </w:t>
      </w:r>
      <w:r w:rsidR="00B23499" w:rsidRPr="008D1AC8">
        <w:rPr>
          <w:rFonts w:ascii="Times New Roman" w:hAnsi="Times New Roman" w:cs="Times New Roman"/>
          <w:i/>
          <w:sz w:val="24"/>
          <w:szCs w:val="24"/>
        </w:rPr>
        <w:t>The Local Governments (Public Procurement and Disposal of Public Assets) Regulations, 2006</w:t>
      </w:r>
      <w:r w:rsidR="00B23499">
        <w:rPr>
          <w:rFonts w:ascii="Times New Roman" w:hAnsi="Times New Roman" w:cs="Times New Roman"/>
          <w:i/>
          <w:sz w:val="24"/>
          <w:szCs w:val="24"/>
        </w:rPr>
        <w:t>,</w:t>
      </w:r>
      <w:r w:rsidR="00B23499">
        <w:rPr>
          <w:rFonts w:ascii="Times New Roman" w:hAnsi="Times New Roman" w:cs="Times New Roman"/>
          <w:sz w:val="24"/>
          <w:szCs w:val="24"/>
        </w:rPr>
        <w:t xml:space="preserve"> a provision limited to minor cosmetic change, instead </w:t>
      </w:r>
      <w:r w:rsidR="00B23499" w:rsidRPr="00E05F33">
        <w:rPr>
          <w:rFonts w:ascii="Times New Roman" w:hAnsi="Times New Roman" w:cs="Times New Roman"/>
          <w:sz w:val="24"/>
          <w:szCs w:val="24"/>
        </w:rPr>
        <w:t>Regulation</w:t>
      </w:r>
      <w:r w:rsidR="00B23499">
        <w:rPr>
          <w:rFonts w:ascii="Times New Roman" w:hAnsi="Times New Roman" w:cs="Times New Roman"/>
          <w:sz w:val="24"/>
          <w:szCs w:val="24"/>
        </w:rPr>
        <w:t>s</w:t>
      </w:r>
      <w:r w:rsidR="00B23499" w:rsidRPr="00E05F33">
        <w:rPr>
          <w:rFonts w:ascii="Times New Roman" w:hAnsi="Times New Roman" w:cs="Times New Roman"/>
          <w:sz w:val="24"/>
          <w:szCs w:val="24"/>
        </w:rPr>
        <w:t xml:space="preserve"> </w:t>
      </w:r>
      <w:r w:rsidR="00B23499">
        <w:rPr>
          <w:rFonts w:ascii="Times New Roman" w:hAnsi="Times New Roman" w:cs="Times New Roman"/>
          <w:sz w:val="24"/>
          <w:szCs w:val="24"/>
        </w:rPr>
        <w:t>5 (1) (c) (ii),</w:t>
      </w:r>
      <w:r w:rsidR="00B23499" w:rsidRPr="00E05F33">
        <w:rPr>
          <w:rFonts w:ascii="Times New Roman" w:hAnsi="Times New Roman" w:cs="Times New Roman"/>
          <w:sz w:val="24"/>
          <w:szCs w:val="24"/>
        </w:rPr>
        <w:t xml:space="preserve"> </w:t>
      </w:r>
      <w:r w:rsidR="00B23499">
        <w:rPr>
          <w:rFonts w:ascii="Times New Roman" w:hAnsi="Times New Roman" w:cs="Times New Roman"/>
          <w:sz w:val="24"/>
          <w:szCs w:val="24"/>
        </w:rPr>
        <w:t xml:space="preserve">and 61 (1) (a) </w:t>
      </w:r>
      <w:r w:rsidR="00B23499" w:rsidRPr="00E05F33">
        <w:rPr>
          <w:rFonts w:ascii="Times New Roman" w:hAnsi="Times New Roman" w:cs="Times New Roman"/>
          <w:sz w:val="24"/>
          <w:szCs w:val="24"/>
        </w:rPr>
        <w:t xml:space="preserve">of </w:t>
      </w:r>
      <w:r w:rsidR="00B23499" w:rsidRPr="00DB5DBC">
        <w:rPr>
          <w:rFonts w:ascii="Times New Roman" w:hAnsi="Times New Roman" w:cs="Times New Roman"/>
          <w:i/>
          <w:sz w:val="24"/>
          <w:szCs w:val="24"/>
        </w:rPr>
        <w:t>The Local Governments (Public Procurement and Disposal of Public Assets) Regulations, 2006</w:t>
      </w:r>
      <w:r w:rsidR="00B23499">
        <w:rPr>
          <w:rFonts w:ascii="Times New Roman" w:hAnsi="Times New Roman" w:cs="Times New Roman"/>
          <w:sz w:val="24"/>
          <w:szCs w:val="24"/>
        </w:rPr>
        <w:t xml:space="preserve"> which permit the appellant to authorise deviations in situations w</w:t>
      </w:r>
      <w:r w:rsidR="00B23499" w:rsidRPr="00F153CF">
        <w:rPr>
          <w:rFonts w:ascii="Times New Roman" w:hAnsi="Times New Roman" w:cs="Times New Roman"/>
          <w:sz w:val="24"/>
          <w:szCs w:val="24"/>
        </w:rPr>
        <w:t>here</w:t>
      </w:r>
      <w:r w:rsidR="00B23499">
        <w:rPr>
          <w:rFonts w:ascii="Times New Roman" w:hAnsi="Times New Roman" w:cs="Times New Roman"/>
          <w:sz w:val="24"/>
          <w:szCs w:val="24"/>
        </w:rPr>
        <w:t xml:space="preserve"> there are </w:t>
      </w:r>
      <w:r w:rsidR="00B23499" w:rsidRPr="00F153CF">
        <w:rPr>
          <w:rFonts w:ascii="Times New Roman" w:hAnsi="Times New Roman" w:cs="Times New Roman"/>
          <w:sz w:val="24"/>
          <w:szCs w:val="24"/>
        </w:rPr>
        <w:t>exceptional</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requirements</w:t>
      </w:r>
      <w:r w:rsidR="00B23499">
        <w:rPr>
          <w:rFonts w:ascii="Times New Roman" w:hAnsi="Times New Roman" w:cs="Times New Roman"/>
          <w:sz w:val="24"/>
          <w:szCs w:val="24"/>
        </w:rPr>
        <w:t>,</w:t>
      </w:r>
      <w:r w:rsidR="00B23499" w:rsidRPr="00F153CF">
        <w:t xml:space="preserve"> </w:t>
      </w:r>
      <w:r w:rsidR="00B23499">
        <w:rPr>
          <w:rFonts w:ascii="Times New Roman" w:hAnsi="Times New Roman" w:cs="Times New Roman"/>
          <w:sz w:val="24"/>
          <w:szCs w:val="24"/>
        </w:rPr>
        <w:t xml:space="preserve">the </w:t>
      </w:r>
      <w:r w:rsidR="00B23499" w:rsidRPr="00F153CF">
        <w:rPr>
          <w:rFonts w:ascii="Times New Roman" w:hAnsi="Times New Roman" w:cs="Times New Roman"/>
          <w:sz w:val="24"/>
          <w:szCs w:val="24"/>
        </w:rPr>
        <w:t>market</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conditions</w:t>
      </w:r>
      <w:r w:rsidR="00B23499">
        <w:rPr>
          <w:rFonts w:ascii="Times New Roman" w:hAnsi="Times New Roman" w:cs="Times New Roman"/>
          <w:sz w:val="24"/>
          <w:szCs w:val="24"/>
        </w:rPr>
        <w:t xml:space="preserve"> require such deviation, </w:t>
      </w:r>
      <w:r w:rsidR="00B23499" w:rsidRPr="00F153CF">
        <w:rPr>
          <w:rFonts w:ascii="Times New Roman" w:hAnsi="Times New Roman" w:cs="Times New Roman"/>
          <w:sz w:val="24"/>
          <w:szCs w:val="24"/>
        </w:rPr>
        <w:t>the</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international</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standards</w:t>
      </w:r>
      <w:r w:rsidR="00B23499">
        <w:rPr>
          <w:rFonts w:ascii="Times New Roman" w:hAnsi="Times New Roman" w:cs="Times New Roman"/>
          <w:sz w:val="24"/>
          <w:szCs w:val="24"/>
        </w:rPr>
        <w:t xml:space="preserve"> require such deviation, or where the </w:t>
      </w:r>
      <w:r w:rsidR="00B23499" w:rsidRPr="00F153CF">
        <w:rPr>
          <w:rFonts w:ascii="Times New Roman" w:hAnsi="Times New Roman" w:cs="Times New Roman"/>
          <w:sz w:val="24"/>
          <w:szCs w:val="24"/>
        </w:rPr>
        <w:t>practices</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which</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regulate</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or</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govern</w:t>
      </w:r>
      <w:r w:rsidR="00B23499">
        <w:rPr>
          <w:rFonts w:ascii="Times New Roman" w:hAnsi="Times New Roman" w:cs="Times New Roman"/>
          <w:sz w:val="24"/>
          <w:szCs w:val="24"/>
        </w:rPr>
        <w:t xml:space="preserve"> the procurement m</w:t>
      </w:r>
      <w:r w:rsidR="00B23499" w:rsidRPr="00F153CF">
        <w:rPr>
          <w:rFonts w:ascii="Times New Roman" w:hAnsi="Times New Roman" w:cs="Times New Roman"/>
          <w:sz w:val="24"/>
          <w:szCs w:val="24"/>
        </w:rPr>
        <w:t>ake</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it</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impossible,</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impracticable</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or</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uneconomical</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to</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comply</w:t>
      </w:r>
      <w:r w:rsidR="00B23499">
        <w:rPr>
          <w:rFonts w:ascii="Times New Roman" w:hAnsi="Times New Roman" w:cs="Times New Roman"/>
          <w:sz w:val="24"/>
          <w:szCs w:val="24"/>
        </w:rPr>
        <w:t xml:space="preserve"> </w:t>
      </w:r>
      <w:r w:rsidR="00B23499" w:rsidRPr="00F153CF">
        <w:rPr>
          <w:rFonts w:ascii="Times New Roman" w:hAnsi="Times New Roman" w:cs="Times New Roman"/>
          <w:sz w:val="24"/>
          <w:szCs w:val="24"/>
        </w:rPr>
        <w:t>with</w:t>
      </w:r>
      <w:r w:rsidR="00B23499">
        <w:rPr>
          <w:rFonts w:ascii="Times New Roman" w:hAnsi="Times New Roman" w:cs="Times New Roman"/>
          <w:sz w:val="24"/>
          <w:szCs w:val="24"/>
        </w:rPr>
        <w:t xml:space="preserve"> the Standard Document. For that purpose, Regulation 61 (2) (e)</w:t>
      </w:r>
      <w:r w:rsidR="00B23499" w:rsidRPr="00F153CF">
        <w:t xml:space="preserve"> </w:t>
      </w:r>
      <w:r w:rsidR="00B23499" w:rsidRPr="00E66E12">
        <w:rPr>
          <w:rFonts w:ascii="Times New Roman" w:hAnsi="Times New Roman" w:cs="Times New Roman"/>
          <w:sz w:val="24"/>
          <w:szCs w:val="24"/>
        </w:rPr>
        <w:t>thereof requires the procurement entity to furnish the appellant with a</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statement</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of</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whether</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the</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deviation</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is</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required</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for</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a</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single</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requirement</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or</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for</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a</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number</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of</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requirements</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of</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the</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same</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class</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over</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a</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period</w:t>
      </w:r>
      <w:r w:rsidR="00B23499">
        <w:rPr>
          <w:rFonts w:ascii="Times New Roman" w:hAnsi="Times New Roman" w:cs="Times New Roman"/>
          <w:sz w:val="24"/>
          <w:szCs w:val="24"/>
        </w:rPr>
        <w:t xml:space="preserve"> </w:t>
      </w:r>
      <w:r w:rsidR="00B23499" w:rsidRPr="00E66E12">
        <w:rPr>
          <w:rFonts w:ascii="Times New Roman" w:hAnsi="Times New Roman" w:cs="Times New Roman"/>
          <w:sz w:val="24"/>
          <w:szCs w:val="24"/>
        </w:rPr>
        <w:t>of</w:t>
      </w:r>
      <w:r w:rsidR="00B23499">
        <w:rPr>
          <w:rFonts w:ascii="Times New Roman" w:hAnsi="Times New Roman" w:cs="Times New Roman"/>
          <w:sz w:val="24"/>
          <w:szCs w:val="24"/>
        </w:rPr>
        <w:t xml:space="preserve"> time. This is a further manifestation of the intent to closely regulate the extent to which Standard Bid Documents issued by the appellant may be customised. The Tribunal found that a procurement entity which customises a Standard Bidding Document designed and issued by the appellant for the management of Public Vehicle Parking Areas, and instead applies it to the procurement of management and revenue collection of markets, does not simply undertake minor cosmetic change to it as is envisaged by Regulation 48 (1) of </w:t>
      </w:r>
      <w:r w:rsidR="00B23499" w:rsidRPr="008D1AC8">
        <w:rPr>
          <w:rFonts w:ascii="Times New Roman" w:hAnsi="Times New Roman" w:cs="Times New Roman"/>
          <w:i/>
          <w:sz w:val="24"/>
          <w:szCs w:val="24"/>
        </w:rPr>
        <w:t>The Local Governments (Public Procurement and Disposal of Public Assets) Regulations, 2006</w:t>
      </w:r>
      <w:r w:rsidR="00B23499">
        <w:rPr>
          <w:rFonts w:ascii="Times New Roman" w:hAnsi="Times New Roman" w:cs="Times New Roman"/>
          <w:sz w:val="24"/>
          <w:szCs w:val="24"/>
        </w:rPr>
        <w:t xml:space="preserve">, but rather undertakes a process of extensive alterations which change the nature and character of the document and the purpose to which the document was designed to be applied.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Tribunal found as a matter of fact that these are deviations were caused by the absence of any standard document issued by the appellant for the latter purpose, thereby creating a situation where it was </w:t>
      </w:r>
      <w:r w:rsidRPr="00F153CF">
        <w:rPr>
          <w:rFonts w:ascii="Times New Roman" w:hAnsi="Times New Roman" w:cs="Times New Roman"/>
          <w:sz w:val="24"/>
          <w:szCs w:val="24"/>
        </w:rPr>
        <w:t>impossible</w:t>
      </w:r>
      <w:r>
        <w:rPr>
          <w:rFonts w:ascii="Times New Roman" w:hAnsi="Times New Roman" w:cs="Times New Roman"/>
          <w:sz w:val="24"/>
          <w:szCs w:val="24"/>
        </w:rPr>
        <w:t xml:space="preserve"> or </w:t>
      </w:r>
      <w:r w:rsidRPr="00F153CF">
        <w:rPr>
          <w:rFonts w:ascii="Times New Roman" w:hAnsi="Times New Roman" w:cs="Times New Roman"/>
          <w:sz w:val="24"/>
          <w:szCs w:val="24"/>
        </w:rPr>
        <w:t>impracticable</w:t>
      </w:r>
      <w:r>
        <w:rPr>
          <w:rFonts w:ascii="Times New Roman" w:hAnsi="Times New Roman" w:cs="Times New Roman"/>
          <w:sz w:val="24"/>
          <w:szCs w:val="24"/>
        </w:rPr>
        <w:t xml:space="preserve"> </w:t>
      </w:r>
      <w:r w:rsidRPr="00F153CF">
        <w:rPr>
          <w:rFonts w:ascii="Times New Roman" w:hAnsi="Times New Roman" w:cs="Times New Roman"/>
          <w:sz w:val="24"/>
          <w:szCs w:val="24"/>
        </w:rPr>
        <w:t>to</w:t>
      </w:r>
      <w:r>
        <w:rPr>
          <w:rFonts w:ascii="Times New Roman" w:hAnsi="Times New Roman" w:cs="Times New Roman"/>
          <w:sz w:val="24"/>
          <w:szCs w:val="24"/>
        </w:rPr>
        <w:t xml:space="preserve"> </w:t>
      </w:r>
      <w:r w:rsidRPr="00F153CF">
        <w:rPr>
          <w:rFonts w:ascii="Times New Roman" w:hAnsi="Times New Roman" w:cs="Times New Roman"/>
          <w:sz w:val="24"/>
          <w:szCs w:val="24"/>
        </w:rPr>
        <w:t>comply</w:t>
      </w:r>
      <w:r>
        <w:rPr>
          <w:rFonts w:ascii="Times New Roman" w:hAnsi="Times New Roman" w:cs="Times New Roman"/>
          <w:sz w:val="24"/>
          <w:szCs w:val="24"/>
        </w:rPr>
        <w:t xml:space="preserve"> </w:t>
      </w:r>
      <w:r w:rsidRPr="00F153CF">
        <w:rPr>
          <w:rFonts w:ascii="Times New Roman" w:hAnsi="Times New Roman" w:cs="Times New Roman"/>
          <w:sz w:val="24"/>
          <w:szCs w:val="24"/>
        </w:rPr>
        <w:t>with</w:t>
      </w:r>
      <w:r>
        <w:rPr>
          <w:rFonts w:ascii="Times New Roman" w:hAnsi="Times New Roman" w:cs="Times New Roman"/>
          <w:sz w:val="24"/>
          <w:szCs w:val="24"/>
        </w:rPr>
        <w:t xml:space="preserve"> the Regulations. The corrective measure then had to be undertaken by invoking </w:t>
      </w:r>
      <w:r w:rsidRPr="00E05F33">
        <w:rPr>
          <w:rFonts w:ascii="Times New Roman" w:hAnsi="Times New Roman" w:cs="Times New Roman"/>
          <w:sz w:val="24"/>
          <w:szCs w:val="24"/>
        </w:rPr>
        <w:t>Regulation</w:t>
      </w:r>
      <w:r>
        <w:rPr>
          <w:rFonts w:ascii="Times New Roman" w:hAnsi="Times New Roman" w:cs="Times New Roman"/>
          <w:sz w:val="24"/>
          <w:szCs w:val="24"/>
        </w:rPr>
        <w:t>s</w:t>
      </w:r>
      <w:r w:rsidRPr="00E05F33">
        <w:rPr>
          <w:rFonts w:ascii="Times New Roman" w:hAnsi="Times New Roman" w:cs="Times New Roman"/>
          <w:sz w:val="24"/>
          <w:szCs w:val="24"/>
        </w:rPr>
        <w:t xml:space="preserve"> </w:t>
      </w:r>
      <w:r>
        <w:rPr>
          <w:rFonts w:ascii="Times New Roman" w:hAnsi="Times New Roman" w:cs="Times New Roman"/>
          <w:sz w:val="24"/>
          <w:szCs w:val="24"/>
        </w:rPr>
        <w:t>5 (1) (c) (ii),</w:t>
      </w:r>
      <w:r w:rsidRPr="00E05F33">
        <w:rPr>
          <w:rFonts w:ascii="Times New Roman" w:hAnsi="Times New Roman" w:cs="Times New Roman"/>
          <w:sz w:val="24"/>
          <w:szCs w:val="24"/>
        </w:rPr>
        <w:t xml:space="preserve"> </w:t>
      </w:r>
      <w:r>
        <w:rPr>
          <w:rFonts w:ascii="Times New Roman" w:hAnsi="Times New Roman" w:cs="Times New Roman"/>
          <w:sz w:val="24"/>
          <w:szCs w:val="24"/>
        </w:rPr>
        <w:t xml:space="preserve">and 61 (1) (a) </w:t>
      </w:r>
      <w:r w:rsidRPr="00E05F33">
        <w:rPr>
          <w:rFonts w:ascii="Times New Roman" w:hAnsi="Times New Roman" w:cs="Times New Roman"/>
          <w:sz w:val="24"/>
          <w:szCs w:val="24"/>
        </w:rPr>
        <w:t xml:space="preserve">of </w:t>
      </w:r>
      <w:r w:rsidRPr="00DB5DBC">
        <w:rPr>
          <w:rFonts w:ascii="Times New Roman" w:hAnsi="Times New Roman" w:cs="Times New Roman"/>
          <w:i/>
          <w:sz w:val="24"/>
          <w:szCs w:val="24"/>
        </w:rPr>
        <w:t>The Local Governments (Public Procurement and Disposal of Public Assets) Regulations, 2006</w:t>
      </w:r>
      <w:r>
        <w:rPr>
          <w:rFonts w:ascii="Times New Roman" w:hAnsi="Times New Roman" w:cs="Times New Roman"/>
          <w:sz w:val="24"/>
          <w:szCs w:val="24"/>
        </w:rPr>
        <w:t xml:space="preserve">, if such a deviation is to be undertaken. </w:t>
      </w:r>
      <w:r w:rsidRPr="005C416C">
        <w:rPr>
          <w:rFonts w:ascii="Times New Roman" w:hAnsi="Times New Roman" w:cs="Times New Roman"/>
          <w:sz w:val="24"/>
          <w:szCs w:val="24"/>
        </w:rPr>
        <w:t>The Tribu</w:t>
      </w:r>
      <w:r>
        <w:rPr>
          <w:rFonts w:ascii="Times New Roman" w:hAnsi="Times New Roman" w:cs="Times New Roman"/>
          <w:sz w:val="24"/>
          <w:szCs w:val="24"/>
        </w:rPr>
        <w:t xml:space="preserve">nal’s conclusion was </w:t>
      </w:r>
      <w:r w:rsidR="00C65C7A">
        <w:rPr>
          <w:rFonts w:ascii="Times New Roman" w:hAnsi="Times New Roman" w:cs="Times New Roman"/>
          <w:sz w:val="24"/>
          <w:szCs w:val="24"/>
        </w:rPr>
        <w:t>in accordance with the relevant law and therefore grounds 6, 7 and 8 of the appeal fail.</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sidRPr="00326D56">
        <w:rPr>
          <w:rFonts w:ascii="Times New Roman" w:hAnsi="Times New Roman" w:cs="Times New Roman"/>
          <w:sz w:val="24"/>
          <w:szCs w:val="24"/>
        </w:rPr>
        <w:t>The final ground of appeal</w:t>
      </w:r>
      <w:r w:rsidR="008A2C91">
        <w:rPr>
          <w:rFonts w:ascii="Times New Roman" w:hAnsi="Times New Roman" w:cs="Times New Roman"/>
          <w:sz w:val="24"/>
          <w:szCs w:val="24"/>
        </w:rPr>
        <w:t>, ground ten,</w:t>
      </w:r>
      <w:r w:rsidRPr="00326D56">
        <w:rPr>
          <w:rFonts w:ascii="Times New Roman" w:hAnsi="Times New Roman" w:cs="Times New Roman"/>
          <w:sz w:val="24"/>
          <w:szCs w:val="24"/>
        </w:rPr>
        <w:t xml:space="preserve"> assails the award of costs of shs. </w:t>
      </w:r>
      <w:r>
        <w:rPr>
          <w:rFonts w:ascii="Times New Roman" w:hAnsi="Times New Roman" w:cs="Times New Roman"/>
          <w:sz w:val="24"/>
          <w:szCs w:val="24"/>
        </w:rPr>
        <w:t>2,000</w:t>
      </w:r>
      <w:r w:rsidRPr="00326D56">
        <w:rPr>
          <w:rFonts w:ascii="Times New Roman" w:hAnsi="Times New Roman" w:cs="Times New Roman"/>
          <w:sz w:val="24"/>
          <w:szCs w:val="24"/>
        </w:rPr>
        <w:t xml:space="preserve">,000/= to the respondent by the PPDA Tribunal. </w:t>
      </w:r>
      <w:r>
        <w:rPr>
          <w:rFonts w:ascii="Times New Roman" w:hAnsi="Times New Roman" w:cs="Times New Roman"/>
          <w:sz w:val="24"/>
          <w:szCs w:val="24"/>
        </w:rPr>
        <w:t>Save in exceptional cases, an appellate court will</w:t>
      </w:r>
      <w:r w:rsidRPr="00326D56">
        <w:rPr>
          <w:rFonts w:ascii="Times New Roman" w:hAnsi="Times New Roman" w:cs="Times New Roman"/>
          <w:sz w:val="24"/>
          <w:szCs w:val="24"/>
        </w:rPr>
        <w:t xml:space="preserve"> not interfere with the assessment of what </w:t>
      </w:r>
      <w:r>
        <w:rPr>
          <w:rFonts w:ascii="Times New Roman" w:hAnsi="Times New Roman" w:cs="Times New Roman"/>
          <w:sz w:val="24"/>
          <w:szCs w:val="24"/>
        </w:rPr>
        <w:t>an administrative merits</w:t>
      </w:r>
      <w:r w:rsidRPr="00326D56">
        <w:rPr>
          <w:rFonts w:ascii="Times New Roman" w:hAnsi="Times New Roman" w:cs="Times New Roman"/>
          <w:sz w:val="24"/>
          <w:szCs w:val="24"/>
        </w:rPr>
        <w:t xml:space="preserve"> </w:t>
      </w:r>
      <w:r>
        <w:rPr>
          <w:rFonts w:ascii="Times New Roman" w:hAnsi="Times New Roman" w:cs="Times New Roman"/>
          <w:sz w:val="24"/>
          <w:szCs w:val="24"/>
        </w:rPr>
        <w:t>tribunal</w:t>
      </w:r>
      <w:r w:rsidRPr="00326D56">
        <w:rPr>
          <w:rFonts w:ascii="Times New Roman" w:hAnsi="Times New Roman" w:cs="Times New Roman"/>
          <w:sz w:val="24"/>
          <w:szCs w:val="24"/>
        </w:rPr>
        <w:t xml:space="preserve"> considers to be reasonable costs</w:t>
      </w:r>
      <w:r>
        <w:rPr>
          <w:rFonts w:ascii="Times New Roman" w:hAnsi="Times New Roman" w:cs="Times New Roman"/>
          <w:sz w:val="24"/>
          <w:szCs w:val="24"/>
        </w:rPr>
        <w:t>. It will however do so where</w:t>
      </w:r>
      <w:r w:rsidRPr="0026316A">
        <w:rPr>
          <w:rFonts w:ascii="Times New Roman" w:hAnsi="Times New Roman" w:cs="Times New Roman"/>
          <w:sz w:val="24"/>
          <w:szCs w:val="24"/>
        </w:rPr>
        <w:t xml:space="preserve"> </w:t>
      </w:r>
      <w:r w:rsidRPr="00A003F3">
        <w:rPr>
          <w:rFonts w:ascii="Times New Roman" w:hAnsi="Times New Roman" w:cs="Times New Roman"/>
          <w:sz w:val="24"/>
          <w:szCs w:val="24"/>
        </w:rPr>
        <w:t xml:space="preserve">it is shown that either the decision was based on an error of principle, or the </w:t>
      </w:r>
      <w:r>
        <w:rPr>
          <w:rFonts w:ascii="Times New Roman" w:hAnsi="Times New Roman" w:cs="Times New Roman"/>
          <w:sz w:val="24"/>
          <w:szCs w:val="24"/>
        </w:rPr>
        <w:t>amount</w:t>
      </w:r>
      <w:r w:rsidRPr="00A003F3">
        <w:rPr>
          <w:rFonts w:ascii="Times New Roman" w:hAnsi="Times New Roman" w:cs="Times New Roman"/>
          <w:sz w:val="24"/>
          <w:szCs w:val="24"/>
        </w:rPr>
        <w:t xml:space="preserve"> awarded was manifestly excessive as to justify an inference</w:t>
      </w:r>
      <w:r>
        <w:rPr>
          <w:rFonts w:ascii="Times New Roman" w:hAnsi="Times New Roman" w:cs="Times New Roman"/>
          <w:sz w:val="24"/>
          <w:szCs w:val="24"/>
        </w:rPr>
        <w:t>.</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Prima facie, parties before the PPDA Tribunal ought to bear their own costs, unless in </w:t>
      </w:r>
      <w:r w:rsidRPr="00EE6755">
        <w:rPr>
          <w:rFonts w:ascii="Times New Roman" w:hAnsi="Times New Roman" w:cs="Times New Roman"/>
          <w:sz w:val="24"/>
          <w:szCs w:val="24"/>
        </w:rPr>
        <w:t xml:space="preserve">particular instances, in the proper exercise of discretion, </w:t>
      </w:r>
      <w:r>
        <w:rPr>
          <w:rFonts w:ascii="Times New Roman" w:hAnsi="Times New Roman" w:cs="Times New Roman"/>
          <w:sz w:val="24"/>
          <w:szCs w:val="24"/>
        </w:rPr>
        <w:t xml:space="preserve">the PPDA Tribunal </w:t>
      </w:r>
      <w:r w:rsidRPr="00EE6755">
        <w:rPr>
          <w:rFonts w:ascii="Times New Roman" w:hAnsi="Times New Roman" w:cs="Times New Roman"/>
          <w:sz w:val="24"/>
          <w:szCs w:val="24"/>
        </w:rPr>
        <w:t>considers otherwise</w:t>
      </w:r>
      <w:r>
        <w:rPr>
          <w:rFonts w:ascii="Times New Roman" w:hAnsi="Times New Roman" w:cs="Times New Roman"/>
          <w:sz w:val="24"/>
          <w:szCs w:val="24"/>
        </w:rPr>
        <w:t xml:space="preserve">. The PPDA Tribunal should make such awards </w:t>
      </w:r>
      <w:r w:rsidRPr="00326D56">
        <w:rPr>
          <w:rFonts w:ascii="Times New Roman" w:hAnsi="Times New Roman" w:cs="Times New Roman"/>
          <w:sz w:val="24"/>
          <w:szCs w:val="24"/>
        </w:rPr>
        <w:t>only if satisfied that it is fair</w:t>
      </w:r>
      <w:r>
        <w:rPr>
          <w:rFonts w:ascii="Times New Roman" w:hAnsi="Times New Roman" w:cs="Times New Roman"/>
          <w:sz w:val="24"/>
          <w:szCs w:val="24"/>
        </w:rPr>
        <w:t xml:space="preserve"> to do so, having regard to </w:t>
      </w:r>
      <w:r w:rsidRPr="00326D56">
        <w:rPr>
          <w:rFonts w:ascii="Times New Roman" w:hAnsi="Times New Roman" w:cs="Times New Roman"/>
          <w:sz w:val="24"/>
          <w:szCs w:val="24"/>
        </w:rPr>
        <w:t>whether  a  party  has  conducted  the  proceeding  in  a  way  that  unnecessarily</w:t>
      </w:r>
      <w:r>
        <w:rPr>
          <w:rFonts w:ascii="Times New Roman" w:hAnsi="Times New Roman" w:cs="Times New Roman"/>
          <w:sz w:val="24"/>
          <w:szCs w:val="24"/>
        </w:rPr>
        <w:t xml:space="preserve"> </w:t>
      </w:r>
      <w:r w:rsidRPr="00326D56">
        <w:rPr>
          <w:rFonts w:ascii="Times New Roman" w:hAnsi="Times New Roman" w:cs="Times New Roman"/>
          <w:sz w:val="24"/>
          <w:szCs w:val="24"/>
        </w:rPr>
        <w:t>disadvantaged another party</w:t>
      </w:r>
      <w:r>
        <w:rPr>
          <w:rFonts w:ascii="Times New Roman" w:hAnsi="Times New Roman" w:cs="Times New Roman"/>
          <w:sz w:val="24"/>
          <w:szCs w:val="24"/>
        </w:rPr>
        <w:t xml:space="preserve"> to </w:t>
      </w:r>
      <w:r w:rsidRPr="00326D56">
        <w:rPr>
          <w:rFonts w:ascii="Times New Roman" w:hAnsi="Times New Roman" w:cs="Times New Roman"/>
          <w:sz w:val="24"/>
          <w:szCs w:val="24"/>
        </w:rPr>
        <w:t>th</w:t>
      </w:r>
      <w:r>
        <w:rPr>
          <w:rFonts w:ascii="Times New Roman" w:hAnsi="Times New Roman" w:cs="Times New Roman"/>
          <w:sz w:val="24"/>
          <w:szCs w:val="24"/>
        </w:rPr>
        <w:t xml:space="preserve">e proceeding by conduct such as; failing to comply with an order or direction  of the Tribunal without </w:t>
      </w:r>
      <w:r w:rsidRPr="00326D56">
        <w:rPr>
          <w:rFonts w:ascii="Times New Roman" w:hAnsi="Times New Roman" w:cs="Times New Roman"/>
          <w:sz w:val="24"/>
          <w:szCs w:val="24"/>
        </w:rPr>
        <w:t>reasonable</w:t>
      </w:r>
      <w:r>
        <w:rPr>
          <w:rFonts w:ascii="Times New Roman" w:hAnsi="Times New Roman" w:cs="Times New Roman"/>
          <w:sz w:val="24"/>
          <w:szCs w:val="24"/>
        </w:rPr>
        <w:t xml:space="preserve"> excuse, failing to comply with </w:t>
      </w:r>
      <w:r w:rsidRPr="00326D56">
        <w:rPr>
          <w:rFonts w:ascii="Times New Roman" w:hAnsi="Times New Roman" w:cs="Times New Roman"/>
          <w:sz w:val="24"/>
          <w:szCs w:val="24"/>
        </w:rPr>
        <w:t>th</w:t>
      </w:r>
      <w:r>
        <w:rPr>
          <w:rFonts w:ascii="Times New Roman" w:hAnsi="Times New Roman" w:cs="Times New Roman"/>
          <w:sz w:val="24"/>
          <w:szCs w:val="24"/>
        </w:rPr>
        <w:t xml:space="preserve">e PPDA Act, the  regulations, rules or </w:t>
      </w:r>
      <w:r w:rsidRPr="00326D56">
        <w:rPr>
          <w:rFonts w:ascii="Times New Roman" w:hAnsi="Times New Roman" w:cs="Times New Roman"/>
          <w:sz w:val="24"/>
          <w:szCs w:val="24"/>
        </w:rPr>
        <w:t>an</w:t>
      </w:r>
      <w:r>
        <w:rPr>
          <w:rFonts w:ascii="Times New Roman" w:hAnsi="Times New Roman" w:cs="Times New Roman"/>
          <w:sz w:val="24"/>
          <w:szCs w:val="24"/>
        </w:rPr>
        <w:t>y other enabling enactment, seeking</w:t>
      </w:r>
      <w:r w:rsidRPr="00326D56">
        <w:rPr>
          <w:rFonts w:ascii="Times New Roman" w:hAnsi="Times New Roman" w:cs="Times New Roman"/>
          <w:sz w:val="24"/>
          <w:szCs w:val="24"/>
        </w:rPr>
        <w:t xml:space="preserve"> </w:t>
      </w:r>
      <w:r>
        <w:rPr>
          <w:rFonts w:ascii="Times New Roman" w:hAnsi="Times New Roman" w:cs="Times New Roman"/>
          <w:sz w:val="24"/>
          <w:szCs w:val="24"/>
        </w:rPr>
        <w:t>unnecessary or avoidable</w:t>
      </w:r>
      <w:r w:rsidRPr="00326D56">
        <w:rPr>
          <w:rFonts w:ascii="Times New Roman" w:hAnsi="Times New Roman" w:cs="Times New Roman"/>
          <w:sz w:val="24"/>
          <w:szCs w:val="24"/>
        </w:rPr>
        <w:t xml:space="preserve"> adjournment</w:t>
      </w:r>
      <w:r>
        <w:rPr>
          <w:rFonts w:ascii="Times New Roman" w:hAnsi="Times New Roman" w:cs="Times New Roman"/>
          <w:sz w:val="24"/>
          <w:szCs w:val="24"/>
        </w:rPr>
        <w:t xml:space="preserve">s, </w:t>
      </w:r>
      <w:r w:rsidRPr="00326D56">
        <w:rPr>
          <w:rFonts w:ascii="Times New Roman" w:hAnsi="Times New Roman" w:cs="Times New Roman"/>
          <w:sz w:val="24"/>
          <w:szCs w:val="24"/>
        </w:rPr>
        <w:t xml:space="preserve">causing </w:t>
      </w:r>
      <w:r>
        <w:rPr>
          <w:rFonts w:ascii="Times New Roman" w:hAnsi="Times New Roman" w:cs="Times New Roman"/>
          <w:sz w:val="24"/>
          <w:szCs w:val="24"/>
        </w:rPr>
        <w:t xml:space="preserve">unnecessary or avoidable, </w:t>
      </w:r>
      <w:r w:rsidRPr="00326D56">
        <w:rPr>
          <w:rFonts w:ascii="Times New Roman" w:hAnsi="Times New Roman" w:cs="Times New Roman"/>
          <w:sz w:val="24"/>
          <w:szCs w:val="24"/>
        </w:rPr>
        <w:t>attempting to deceive ano</w:t>
      </w:r>
      <w:r>
        <w:rPr>
          <w:rFonts w:ascii="Times New Roman" w:hAnsi="Times New Roman" w:cs="Times New Roman"/>
          <w:sz w:val="24"/>
          <w:szCs w:val="24"/>
        </w:rPr>
        <w:t>ther party or the Tribunal,  t</w:t>
      </w:r>
      <w:r w:rsidRPr="008F3488">
        <w:rPr>
          <w:rFonts w:ascii="Times New Roman" w:hAnsi="Times New Roman" w:cs="Times New Roman"/>
          <w:sz w:val="24"/>
          <w:szCs w:val="24"/>
        </w:rPr>
        <w:t>he nature and complexity of the proceeding</w:t>
      </w:r>
      <w:r>
        <w:rPr>
          <w:rFonts w:ascii="Times New Roman" w:hAnsi="Times New Roman" w:cs="Times New Roman"/>
          <w:sz w:val="24"/>
          <w:szCs w:val="24"/>
        </w:rPr>
        <w:t>,</w:t>
      </w:r>
      <w:r w:rsidRPr="008F3488">
        <w:rPr>
          <w:rFonts w:ascii="Times New Roman" w:hAnsi="Times New Roman" w:cs="Times New Roman"/>
          <w:sz w:val="24"/>
          <w:szCs w:val="24"/>
        </w:rPr>
        <w:t xml:space="preserve"> </w:t>
      </w:r>
      <w:r w:rsidRPr="00F84BFE">
        <w:rPr>
          <w:rFonts w:ascii="Times New Roman" w:hAnsi="Times New Roman" w:cs="Times New Roman"/>
          <w:sz w:val="24"/>
          <w:szCs w:val="24"/>
        </w:rPr>
        <w:t xml:space="preserve">a party </w:t>
      </w:r>
      <w:r>
        <w:rPr>
          <w:rFonts w:ascii="Times New Roman" w:hAnsi="Times New Roman" w:cs="Times New Roman"/>
          <w:sz w:val="24"/>
          <w:szCs w:val="24"/>
        </w:rPr>
        <w:t>who makes</w:t>
      </w:r>
      <w:r w:rsidRPr="00F84BFE">
        <w:rPr>
          <w:rFonts w:ascii="Times New Roman" w:hAnsi="Times New Roman" w:cs="Times New Roman"/>
          <w:sz w:val="24"/>
          <w:szCs w:val="24"/>
        </w:rPr>
        <w:t xml:space="preserve"> </w:t>
      </w:r>
      <w:r>
        <w:rPr>
          <w:rFonts w:ascii="Times New Roman" w:hAnsi="Times New Roman" w:cs="Times New Roman"/>
          <w:sz w:val="24"/>
          <w:szCs w:val="24"/>
        </w:rPr>
        <w:t>an application</w:t>
      </w:r>
      <w:r w:rsidRPr="00F84BFE">
        <w:rPr>
          <w:rFonts w:ascii="Times New Roman" w:hAnsi="Times New Roman" w:cs="Times New Roman"/>
          <w:sz w:val="24"/>
          <w:szCs w:val="24"/>
        </w:rPr>
        <w:t xml:space="preserve"> that has no tenable basis in fact or law </w:t>
      </w:r>
      <w:r>
        <w:rPr>
          <w:rFonts w:ascii="Times New Roman" w:hAnsi="Times New Roman" w:cs="Times New Roman"/>
          <w:sz w:val="24"/>
          <w:szCs w:val="24"/>
        </w:rPr>
        <w:t xml:space="preserve">or otherwise </w:t>
      </w:r>
      <w:r w:rsidRPr="00326D56">
        <w:rPr>
          <w:rFonts w:ascii="Times New Roman" w:hAnsi="Times New Roman" w:cs="Times New Roman"/>
          <w:sz w:val="24"/>
          <w:szCs w:val="24"/>
        </w:rPr>
        <w:t>conducting the proceeding</w:t>
      </w:r>
      <w:r w:rsidRPr="0026316A">
        <w:rPr>
          <w:rFonts w:ascii="Times New Roman" w:hAnsi="Times New Roman" w:cs="Times New Roman"/>
          <w:sz w:val="24"/>
          <w:szCs w:val="24"/>
        </w:rPr>
        <w:t xml:space="preserve"> </w:t>
      </w:r>
      <w:r w:rsidRPr="00326D56">
        <w:rPr>
          <w:rFonts w:ascii="Times New Roman" w:hAnsi="Times New Roman" w:cs="Times New Roman"/>
          <w:sz w:val="24"/>
          <w:szCs w:val="24"/>
        </w:rPr>
        <w:t>vexatiously</w:t>
      </w:r>
      <w:r>
        <w:rPr>
          <w:rFonts w:ascii="Times New Roman" w:hAnsi="Times New Roman" w:cs="Times New Roman"/>
          <w:sz w:val="24"/>
          <w:szCs w:val="24"/>
        </w:rPr>
        <w:t>.</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rules of natural justice require that </w:t>
      </w:r>
      <w:r w:rsidRPr="00FC3F4B">
        <w:rPr>
          <w:rFonts w:ascii="Times New Roman" w:hAnsi="Times New Roman" w:cs="Times New Roman"/>
          <w:sz w:val="24"/>
          <w:szCs w:val="24"/>
        </w:rPr>
        <w:t>before</w:t>
      </w:r>
      <w:r>
        <w:rPr>
          <w:rFonts w:ascii="Times New Roman" w:hAnsi="Times New Roman" w:cs="Times New Roman"/>
          <w:sz w:val="24"/>
          <w:szCs w:val="24"/>
        </w:rPr>
        <w:t xml:space="preserve"> making awarding costs,</w:t>
      </w:r>
      <w:r w:rsidRPr="00FC3F4B">
        <w:rPr>
          <w:rFonts w:ascii="Times New Roman" w:hAnsi="Times New Roman" w:cs="Times New Roman"/>
          <w:sz w:val="24"/>
          <w:szCs w:val="24"/>
        </w:rPr>
        <w:t xml:space="preserve"> </w:t>
      </w:r>
      <w:r>
        <w:rPr>
          <w:rFonts w:ascii="Times New Roman" w:hAnsi="Times New Roman" w:cs="Times New Roman"/>
          <w:sz w:val="24"/>
          <w:szCs w:val="24"/>
        </w:rPr>
        <w:t xml:space="preserve">the PPDA Tribunal must   give </w:t>
      </w:r>
      <w:r w:rsidRPr="00FC3F4B">
        <w:rPr>
          <w:rFonts w:ascii="Times New Roman" w:hAnsi="Times New Roman" w:cs="Times New Roman"/>
          <w:sz w:val="24"/>
          <w:szCs w:val="24"/>
        </w:rPr>
        <w:t>the p</w:t>
      </w:r>
      <w:r>
        <w:rPr>
          <w:rFonts w:ascii="Times New Roman" w:hAnsi="Times New Roman" w:cs="Times New Roman"/>
          <w:sz w:val="24"/>
          <w:szCs w:val="24"/>
        </w:rPr>
        <w:t>arty to be affected by such an award,</w:t>
      </w:r>
      <w:r w:rsidRPr="00FC3F4B">
        <w:rPr>
          <w:rFonts w:ascii="Times New Roman" w:hAnsi="Times New Roman" w:cs="Times New Roman"/>
          <w:sz w:val="24"/>
          <w:szCs w:val="24"/>
        </w:rPr>
        <w:t xml:space="preserve"> a reasonable opportunity to be heard</w:t>
      </w:r>
      <w:r>
        <w:rPr>
          <w:rFonts w:ascii="Times New Roman" w:hAnsi="Times New Roman" w:cs="Times New Roman"/>
          <w:sz w:val="24"/>
          <w:szCs w:val="24"/>
        </w:rPr>
        <w:t xml:space="preserve">. I have perused the record of PPDA Tribunal. Not only is there no evidence of the appellant having been heard on the decision to award costs to the respondent, but also the PPDA Tribunal did not furnish any reason for the award apart from the general comment that, “the applicant is awarded </w:t>
      </w:r>
      <w:r w:rsidR="008A2C91">
        <w:rPr>
          <w:rFonts w:ascii="Times New Roman" w:hAnsi="Times New Roman" w:cs="Times New Roman"/>
          <w:sz w:val="24"/>
          <w:szCs w:val="24"/>
        </w:rPr>
        <w:t>two million</w:t>
      </w:r>
      <w:r>
        <w:rPr>
          <w:rFonts w:ascii="Times New Roman" w:hAnsi="Times New Roman" w:cs="Times New Roman"/>
          <w:sz w:val="24"/>
          <w:szCs w:val="24"/>
        </w:rPr>
        <w:t xml:space="preserve"> shillings to cover its out of pocket expense and legal costs.” There is no indication </w:t>
      </w:r>
      <w:r>
        <w:rPr>
          <w:rFonts w:ascii="Times New Roman" w:hAnsi="Times New Roman" w:cs="Times New Roman"/>
          <w:sz w:val="24"/>
          <w:szCs w:val="24"/>
        </w:rPr>
        <w:lastRenderedPageBreak/>
        <w:t xml:space="preserve">whatsoever on the record as to how the PPDA Tribunal assessed the costs in order to arrive at that specific quantum. In the circumstances, this was an improper exercise of discretion and for that reason ground </w:t>
      </w:r>
      <w:r w:rsidR="008A2C91">
        <w:rPr>
          <w:rFonts w:ascii="Times New Roman" w:hAnsi="Times New Roman" w:cs="Times New Roman"/>
          <w:sz w:val="24"/>
          <w:szCs w:val="24"/>
        </w:rPr>
        <w:t>ten</w:t>
      </w:r>
      <w:r>
        <w:rPr>
          <w:rFonts w:ascii="Times New Roman" w:hAnsi="Times New Roman" w:cs="Times New Roman"/>
          <w:sz w:val="24"/>
          <w:szCs w:val="24"/>
        </w:rPr>
        <w:t xml:space="preserve"> of the appeal succeeds. The award of costs to the respondent by the PPDA Tribunal is hereby set aside.  </w:t>
      </w:r>
    </w:p>
    <w:p w:rsidR="00B23499" w:rsidRDefault="00B23499" w:rsidP="00B23499">
      <w:pPr>
        <w:autoSpaceDE w:val="0"/>
        <w:autoSpaceDN w:val="0"/>
        <w:adjustRightInd w:val="0"/>
        <w:spacing w:after="0" w:line="360" w:lineRule="auto"/>
        <w:jc w:val="both"/>
        <w:rPr>
          <w:rFonts w:ascii="Times New Roman" w:hAnsi="Times New Roman" w:cs="Times New Roman"/>
          <w:sz w:val="24"/>
          <w:szCs w:val="24"/>
        </w:rPr>
      </w:pPr>
    </w:p>
    <w:p w:rsidR="001563F3" w:rsidRDefault="00F32B92" w:rsidP="00B234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appeal succeeds only as regards the award of costs to the respondent. The appeal against the findings of the PPDA Tribunal is hereby dismissed. Since the appeal has succeeded only on one ground, the respondent is awarded half the costs of this appeal</w:t>
      </w:r>
      <w:r w:rsidR="00431441" w:rsidRPr="009A4040">
        <w:rPr>
          <w:rFonts w:ascii="Times New Roman" w:hAnsi="Times New Roman" w:cs="Times New Roman"/>
          <w:sz w:val="24"/>
          <w:szCs w:val="24"/>
        </w:rPr>
        <w:t>.</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B23499">
        <w:rPr>
          <w:rFonts w:ascii="Times New Roman" w:hAnsi="Times New Roman" w:cs="Times New Roman"/>
          <w:sz w:val="24"/>
          <w:szCs w:val="24"/>
        </w:rPr>
        <w:t>23</w:t>
      </w:r>
      <w:r w:rsidR="00B23499">
        <w:rPr>
          <w:rFonts w:ascii="Times New Roman" w:hAnsi="Times New Roman" w:cs="Times New Roman"/>
          <w:sz w:val="24"/>
          <w:szCs w:val="24"/>
          <w:vertAlign w:val="superscript"/>
        </w:rPr>
        <w:t>rd</w:t>
      </w:r>
      <w:r w:rsidRPr="009A4040">
        <w:rPr>
          <w:rFonts w:ascii="Times New Roman" w:hAnsi="Times New Roman" w:cs="Times New Roman"/>
          <w:sz w:val="24"/>
          <w:szCs w:val="24"/>
        </w:rPr>
        <w:t xml:space="preserve"> day of </w:t>
      </w:r>
      <w:r w:rsidR="00B23499">
        <w:rPr>
          <w:rFonts w:ascii="Times New Roman" w:hAnsi="Times New Roman" w:cs="Times New Roman"/>
          <w:sz w:val="24"/>
          <w:szCs w:val="24"/>
        </w:rPr>
        <w:t>February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49" w:rsidRDefault="00ED7749" w:rsidP="00975B47">
      <w:pPr>
        <w:spacing w:after="0" w:line="240" w:lineRule="auto"/>
      </w:pPr>
      <w:r>
        <w:separator/>
      </w:r>
    </w:p>
  </w:endnote>
  <w:endnote w:type="continuationSeparator" w:id="0">
    <w:p w:rsidR="00ED7749" w:rsidRDefault="00ED7749"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FF" w:rsidRDefault="0089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8964FF" w:rsidRDefault="00ED7749">
        <w:pPr>
          <w:pStyle w:val="Footer"/>
          <w:jc w:val="center"/>
        </w:pPr>
        <w:r>
          <w:fldChar w:fldCharType="begin"/>
        </w:r>
        <w:r>
          <w:instrText xml:space="preserve"> PAGE   \* MERGEFORMAT </w:instrText>
        </w:r>
        <w:r>
          <w:fldChar w:fldCharType="separate"/>
        </w:r>
        <w:r w:rsidR="00E46329">
          <w:rPr>
            <w:noProof/>
          </w:rPr>
          <w:t>1</w:t>
        </w:r>
        <w:r>
          <w:rPr>
            <w:noProof/>
          </w:rPr>
          <w:fldChar w:fldCharType="end"/>
        </w:r>
      </w:p>
    </w:sdtContent>
  </w:sdt>
  <w:p w:rsidR="008964FF" w:rsidRDefault="00896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FF" w:rsidRDefault="0089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49" w:rsidRDefault="00ED7749" w:rsidP="00975B47">
      <w:pPr>
        <w:spacing w:after="0" w:line="240" w:lineRule="auto"/>
      </w:pPr>
      <w:r>
        <w:separator/>
      </w:r>
    </w:p>
  </w:footnote>
  <w:footnote w:type="continuationSeparator" w:id="0">
    <w:p w:rsidR="00ED7749" w:rsidRDefault="00ED7749"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FF" w:rsidRDefault="00896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FF" w:rsidRDefault="008964FF"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FF" w:rsidRDefault="0089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00A74"/>
    <w:multiLevelType w:val="hybridMultilevel"/>
    <w:tmpl w:val="79F6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55BAF"/>
    <w:multiLevelType w:val="hybridMultilevel"/>
    <w:tmpl w:val="056C661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B683599"/>
    <w:multiLevelType w:val="hybridMultilevel"/>
    <w:tmpl w:val="79F6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B37F0"/>
    <w:multiLevelType w:val="hybridMultilevel"/>
    <w:tmpl w:val="8B4C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8F69CA"/>
    <w:multiLevelType w:val="hybridMultilevel"/>
    <w:tmpl w:val="5EF094A8"/>
    <w:lvl w:ilvl="0" w:tplc="65D4F05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2"/>
  </w:num>
  <w:num w:numId="2">
    <w:abstractNumId w:val="4"/>
  </w:num>
  <w:num w:numId="3">
    <w:abstractNumId w:val="3"/>
  </w:num>
  <w:num w:numId="4">
    <w:abstractNumId w:val="7"/>
  </w:num>
  <w:num w:numId="5">
    <w:abstractNumId w:val="9"/>
  </w:num>
  <w:num w:numId="6">
    <w:abstractNumId w:val="0"/>
  </w:num>
  <w:num w:numId="7">
    <w:abstractNumId w:val="1"/>
  </w:num>
  <w:num w:numId="8">
    <w:abstractNumId w:val="11"/>
  </w:num>
  <w:num w:numId="9">
    <w:abstractNumId w:val="6"/>
  </w:num>
  <w:num w:numId="10">
    <w:abstractNumId w:val="2"/>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18F"/>
    <w:rsid w:val="0000241E"/>
    <w:rsid w:val="000028CA"/>
    <w:rsid w:val="00002AFD"/>
    <w:rsid w:val="00007BEA"/>
    <w:rsid w:val="00013FD1"/>
    <w:rsid w:val="00016977"/>
    <w:rsid w:val="00016B2E"/>
    <w:rsid w:val="0002085B"/>
    <w:rsid w:val="00022CF8"/>
    <w:rsid w:val="000231AC"/>
    <w:rsid w:val="00025547"/>
    <w:rsid w:val="000257F5"/>
    <w:rsid w:val="00026CEA"/>
    <w:rsid w:val="000271B1"/>
    <w:rsid w:val="00027E37"/>
    <w:rsid w:val="0003269C"/>
    <w:rsid w:val="0003499A"/>
    <w:rsid w:val="000363B7"/>
    <w:rsid w:val="00041B5C"/>
    <w:rsid w:val="00043643"/>
    <w:rsid w:val="00043F87"/>
    <w:rsid w:val="00051190"/>
    <w:rsid w:val="0005209D"/>
    <w:rsid w:val="00053756"/>
    <w:rsid w:val="0006000D"/>
    <w:rsid w:val="00060B39"/>
    <w:rsid w:val="00062B50"/>
    <w:rsid w:val="00064EFD"/>
    <w:rsid w:val="00067CCA"/>
    <w:rsid w:val="0007209F"/>
    <w:rsid w:val="000759A3"/>
    <w:rsid w:val="00076217"/>
    <w:rsid w:val="00076D63"/>
    <w:rsid w:val="000773E4"/>
    <w:rsid w:val="00077607"/>
    <w:rsid w:val="00082D7D"/>
    <w:rsid w:val="00084B2E"/>
    <w:rsid w:val="00087D63"/>
    <w:rsid w:val="00090546"/>
    <w:rsid w:val="000937BF"/>
    <w:rsid w:val="00095B29"/>
    <w:rsid w:val="000968E1"/>
    <w:rsid w:val="00097ACE"/>
    <w:rsid w:val="000A12F9"/>
    <w:rsid w:val="000A21BE"/>
    <w:rsid w:val="000A2FC5"/>
    <w:rsid w:val="000A32E3"/>
    <w:rsid w:val="000A3648"/>
    <w:rsid w:val="000A377E"/>
    <w:rsid w:val="000A4498"/>
    <w:rsid w:val="000A4D3E"/>
    <w:rsid w:val="000B0AC4"/>
    <w:rsid w:val="000B3074"/>
    <w:rsid w:val="000B414B"/>
    <w:rsid w:val="000C2E79"/>
    <w:rsid w:val="000C6231"/>
    <w:rsid w:val="000C6E6B"/>
    <w:rsid w:val="000C7378"/>
    <w:rsid w:val="000D01AE"/>
    <w:rsid w:val="000D07EE"/>
    <w:rsid w:val="000D2883"/>
    <w:rsid w:val="000D2B25"/>
    <w:rsid w:val="000D5823"/>
    <w:rsid w:val="000D602D"/>
    <w:rsid w:val="000E037C"/>
    <w:rsid w:val="000E0D0D"/>
    <w:rsid w:val="000E65FD"/>
    <w:rsid w:val="000E7D8F"/>
    <w:rsid w:val="00100C69"/>
    <w:rsid w:val="00101076"/>
    <w:rsid w:val="0010385F"/>
    <w:rsid w:val="001060E0"/>
    <w:rsid w:val="00106C1A"/>
    <w:rsid w:val="0010706F"/>
    <w:rsid w:val="001120DB"/>
    <w:rsid w:val="00113B35"/>
    <w:rsid w:val="00114984"/>
    <w:rsid w:val="00115419"/>
    <w:rsid w:val="00120A27"/>
    <w:rsid w:val="001233EF"/>
    <w:rsid w:val="00124C7C"/>
    <w:rsid w:val="001253B5"/>
    <w:rsid w:val="00130212"/>
    <w:rsid w:val="001328A0"/>
    <w:rsid w:val="00133100"/>
    <w:rsid w:val="001407A8"/>
    <w:rsid w:val="00140A2E"/>
    <w:rsid w:val="00140C82"/>
    <w:rsid w:val="0014136F"/>
    <w:rsid w:val="00141DE0"/>
    <w:rsid w:val="00142BB3"/>
    <w:rsid w:val="0014455E"/>
    <w:rsid w:val="001448BF"/>
    <w:rsid w:val="0014717F"/>
    <w:rsid w:val="0015067B"/>
    <w:rsid w:val="0015075F"/>
    <w:rsid w:val="00150B95"/>
    <w:rsid w:val="0015280F"/>
    <w:rsid w:val="00153B34"/>
    <w:rsid w:val="001553AF"/>
    <w:rsid w:val="001563F3"/>
    <w:rsid w:val="00157DAF"/>
    <w:rsid w:val="00161DAA"/>
    <w:rsid w:val="00163F12"/>
    <w:rsid w:val="00164045"/>
    <w:rsid w:val="001654F1"/>
    <w:rsid w:val="001753A8"/>
    <w:rsid w:val="00175AC9"/>
    <w:rsid w:val="001829C8"/>
    <w:rsid w:val="001837E4"/>
    <w:rsid w:val="001840F4"/>
    <w:rsid w:val="00184A19"/>
    <w:rsid w:val="001900BF"/>
    <w:rsid w:val="001938BF"/>
    <w:rsid w:val="00193F86"/>
    <w:rsid w:val="00194009"/>
    <w:rsid w:val="00194974"/>
    <w:rsid w:val="00195726"/>
    <w:rsid w:val="0019576B"/>
    <w:rsid w:val="00196993"/>
    <w:rsid w:val="001A0E86"/>
    <w:rsid w:val="001A17B6"/>
    <w:rsid w:val="001A28A8"/>
    <w:rsid w:val="001A4B1A"/>
    <w:rsid w:val="001A4F49"/>
    <w:rsid w:val="001A5E4B"/>
    <w:rsid w:val="001A5FDC"/>
    <w:rsid w:val="001A7CD2"/>
    <w:rsid w:val="001B41A1"/>
    <w:rsid w:val="001B5F67"/>
    <w:rsid w:val="001B63F6"/>
    <w:rsid w:val="001B7483"/>
    <w:rsid w:val="001B74FB"/>
    <w:rsid w:val="001C3038"/>
    <w:rsid w:val="001C62A8"/>
    <w:rsid w:val="001C6F29"/>
    <w:rsid w:val="001D0C83"/>
    <w:rsid w:val="001D3F89"/>
    <w:rsid w:val="001D7FE6"/>
    <w:rsid w:val="001E6142"/>
    <w:rsid w:val="001E6397"/>
    <w:rsid w:val="001F3415"/>
    <w:rsid w:val="001F36EB"/>
    <w:rsid w:val="001F4E1D"/>
    <w:rsid w:val="001F6335"/>
    <w:rsid w:val="002008D2"/>
    <w:rsid w:val="002020BA"/>
    <w:rsid w:val="0020390B"/>
    <w:rsid w:val="00204DD7"/>
    <w:rsid w:val="002062AE"/>
    <w:rsid w:val="0020668C"/>
    <w:rsid w:val="00207EC6"/>
    <w:rsid w:val="00211EEF"/>
    <w:rsid w:val="00213458"/>
    <w:rsid w:val="00213A06"/>
    <w:rsid w:val="00215927"/>
    <w:rsid w:val="0021797D"/>
    <w:rsid w:val="00217D29"/>
    <w:rsid w:val="002200F4"/>
    <w:rsid w:val="00220A34"/>
    <w:rsid w:val="00221D6A"/>
    <w:rsid w:val="002228A3"/>
    <w:rsid w:val="002244C9"/>
    <w:rsid w:val="002246B1"/>
    <w:rsid w:val="00224DD9"/>
    <w:rsid w:val="00226185"/>
    <w:rsid w:val="00226B6E"/>
    <w:rsid w:val="00231B09"/>
    <w:rsid w:val="0023220F"/>
    <w:rsid w:val="00233C6B"/>
    <w:rsid w:val="0023423B"/>
    <w:rsid w:val="00241616"/>
    <w:rsid w:val="0024165B"/>
    <w:rsid w:val="00244DF9"/>
    <w:rsid w:val="00250B17"/>
    <w:rsid w:val="00251715"/>
    <w:rsid w:val="002544A4"/>
    <w:rsid w:val="0026018F"/>
    <w:rsid w:val="00271A54"/>
    <w:rsid w:val="002724E3"/>
    <w:rsid w:val="00276108"/>
    <w:rsid w:val="00276DDE"/>
    <w:rsid w:val="0027729D"/>
    <w:rsid w:val="0027767C"/>
    <w:rsid w:val="00277A84"/>
    <w:rsid w:val="0028219D"/>
    <w:rsid w:val="00284815"/>
    <w:rsid w:val="00290381"/>
    <w:rsid w:val="00297141"/>
    <w:rsid w:val="002A1EBB"/>
    <w:rsid w:val="002A2ED5"/>
    <w:rsid w:val="002A45AE"/>
    <w:rsid w:val="002A66DA"/>
    <w:rsid w:val="002A6ADF"/>
    <w:rsid w:val="002A6D0D"/>
    <w:rsid w:val="002A7EB7"/>
    <w:rsid w:val="002B0C48"/>
    <w:rsid w:val="002B1006"/>
    <w:rsid w:val="002B101B"/>
    <w:rsid w:val="002B1251"/>
    <w:rsid w:val="002B1EDE"/>
    <w:rsid w:val="002B33A5"/>
    <w:rsid w:val="002B6307"/>
    <w:rsid w:val="002B7E49"/>
    <w:rsid w:val="002C16E0"/>
    <w:rsid w:val="002C275A"/>
    <w:rsid w:val="002C311C"/>
    <w:rsid w:val="002C387B"/>
    <w:rsid w:val="002C3903"/>
    <w:rsid w:val="002C4F9E"/>
    <w:rsid w:val="002D03FE"/>
    <w:rsid w:val="002D1585"/>
    <w:rsid w:val="002D25A2"/>
    <w:rsid w:val="002D4E23"/>
    <w:rsid w:val="002D5843"/>
    <w:rsid w:val="002D5903"/>
    <w:rsid w:val="002D5FE3"/>
    <w:rsid w:val="002D712D"/>
    <w:rsid w:val="002D7C7C"/>
    <w:rsid w:val="002E01C2"/>
    <w:rsid w:val="002E21DF"/>
    <w:rsid w:val="002E2457"/>
    <w:rsid w:val="002E4B86"/>
    <w:rsid w:val="002E678B"/>
    <w:rsid w:val="002E72BD"/>
    <w:rsid w:val="002F1F86"/>
    <w:rsid w:val="002F330E"/>
    <w:rsid w:val="002F386F"/>
    <w:rsid w:val="002F55A2"/>
    <w:rsid w:val="002F786C"/>
    <w:rsid w:val="00302BB5"/>
    <w:rsid w:val="003035CF"/>
    <w:rsid w:val="00304A69"/>
    <w:rsid w:val="00305BD6"/>
    <w:rsid w:val="00313E79"/>
    <w:rsid w:val="0031463C"/>
    <w:rsid w:val="00322623"/>
    <w:rsid w:val="00332516"/>
    <w:rsid w:val="00335439"/>
    <w:rsid w:val="0034093D"/>
    <w:rsid w:val="00344A47"/>
    <w:rsid w:val="00346CC5"/>
    <w:rsid w:val="0035395C"/>
    <w:rsid w:val="00354280"/>
    <w:rsid w:val="00355844"/>
    <w:rsid w:val="00355ADE"/>
    <w:rsid w:val="00357CAE"/>
    <w:rsid w:val="0036104B"/>
    <w:rsid w:val="00361A81"/>
    <w:rsid w:val="00361E7A"/>
    <w:rsid w:val="00362E7B"/>
    <w:rsid w:val="003652F3"/>
    <w:rsid w:val="00370F58"/>
    <w:rsid w:val="00371717"/>
    <w:rsid w:val="00371AD9"/>
    <w:rsid w:val="0037490D"/>
    <w:rsid w:val="00376A9C"/>
    <w:rsid w:val="00381028"/>
    <w:rsid w:val="003818FF"/>
    <w:rsid w:val="003876BE"/>
    <w:rsid w:val="0039141D"/>
    <w:rsid w:val="00392898"/>
    <w:rsid w:val="003935E4"/>
    <w:rsid w:val="0039468E"/>
    <w:rsid w:val="00397006"/>
    <w:rsid w:val="003973F7"/>
    <w:rsid w:val="00397CF1"/>
    <w:rsid w:val="003A0223"/>
    <w:rsid w:val="003A02A5"/>
    <w:rsid w:val="003A07A9"/>
    <w:rsid w:val="003A65C6"/>
    <w:rsid w:val="003A6876"/>
    <w:rsid w:val="003B177A"/>
    <w:rsid w:val="003B2596"/>
    <w:rsid w:val="003C2004"/>
    <w:rsid w:val="003C2A8B"/>
    <w:rsid w:val="003C2B00"/>
    <w:rsid w:val="003C32A3"/>
    <w:rsid w:val="003C6E8F"/>
    <w:rsid w:val="003D0432"/>
    <w:rsid w:val="003D15CA"/>
    <w:rsid w:val="003D1F34"/>
    <w:rsid w:val="003D39DB"/>
    <w:rsid w:val="003D6C5F"/>
    <w:rsid w:val="003D76AA"/>
    <w:rsid w:val="003E0D31"/>
    <w:rsid w:val="003E16A1"/>
    <w:rsid w:val="003E2256"/>
    <w:rsid w:val="003E29CC"/>
    <w:rsid w:val="003E2DB5"/>
    <w:rsid w:val="003E5681"/>
    <w:rsid w:val="003F4309"/>
    <w:rsid w:val="003F4C09"/>
    <w:rsid w:val="003F5E96"/>
    <w:rsid w:val="003F6625"/>
    <w:rsid w:val="00401C50"/>
    <w:rsid w:val="004056CE"/>
    <w:rsid w:val="004063C1"/>
    <w:rsid w:val="0041013E"/>
    <w:rsid w:val="00412AD4"/>
    <w:rsid w:val="00412C7B"/>
    <w:rsid w:val="00413793"/>
    <w:rsid w:val="00415A30"/>
    <w:rsid w:val="00417CE3"/>
    <w:rsid w:val="00421A30"/>
    <w:rsid w:val="00423BAB"/>
    <w:rsid w:val="00427718"/>
    <w:rsid w:val="004302FE"/>
    <w:rsid w:val="00431441"/>
    <w:rsid w:val="00435ADD"/>
    <w:rsid w:val="004360F9"/>
    <w:rsid w:val="00437D0C"/>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5700F"/>
    <w:rsid w:val="004622B1"/>
    <w:rsid w:val="0046237D"/>
    <w:rsid w:val="004638F6"/>
    <w:rsid w:val="00466250"/>
    <w:rsid w:val="00466D4E"/>
    <w:rsid w:val="00467BB7"/>
    <w:rsid w:val="0047110A"/>
    <w:rsid w:val="00471DFB"/>
    <w:rsid w:val="00475301"/>
    <w:rsid w:val="00475C81"/>
    <w:rsid w:val="004852DF"/>
    <w:rsid w:val="0048704A"/>
    <w:rsid w:val="00491292"/>
    <w:rsid w:val="0049668C"/>
    <w:rsid w:val="00497765"/>
    <w:rsid w:val="004A1EE0"/>
    <w:rsid w:val="004A21B6"/>
    <w:rsid w:val="004A3327"/>
    <w:rsid w:val="004A575C"/>
    <w:rsid w:val="004A60C1"/>
    <w:rsid w:val="004A64F3"/>
    <w:rsid w:val="004A713F"/>
    <w:rsid w:val="004A74C9"/>
    <w:rsid w:val="004A7CF5"/>
    <w:rsid w:val="004B06B7"/>
    <w:rsid w:val="004B2B05"/>
    <w:rsid w:val="004B48B0"/>
    <w:rsid w:val="004B4E8D"/>
    <w:rsid w:val="004B4EDF"/>
    <w:rsid w:val="004C1157"/>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66E"/>
    <w:rsid w:val="00514716"/>
    <w:rsid w:val="005155CC"/>
    <w:rsid w:val="00515AB5"/>
    <w:rsid w:val="00517FEE"/>
    <w:rsid w:val="0052200F"/>
    <w:rsid w:val="0052329E"/>
    <w:rsid w:val="005264C9"/>
    <w:rsid w:val="00531CE9"/>
    <w:rsid w:val="00543961"/>
    <w:rsid w:val="00543A1E"/>
    <w:rsid w:val="00544CF3"/>
    <w:rsid w:val="005460FE"/>
    <w:rsid w:val="00546E2E"/>
    <w:rsid w:val="0055062E"/>
    <w:rsid w:val="00550C39"/>
    <w:rsid w:val="00550D51"/>
    <w:rsid w:val="005524EF"/>
    <w:rsid w:val="005544D3"/>
    <w:rsid w:val="005608BB"/>
    <w:rsid w:val="0056383D"/>
    <w:rsid w:val="0057018C"/>
    <w:rsid w:val="0057024F"/>
    <w:rsid w:val="00570E6B"/>
    <w:rsid w:val="0057144F"/>
    <w:rsid w:val="0057250C"/>
    <w:rsid w:val="00572A06"/>
    <w:rsid w:val="00574516"/>
    <w:rsid w:val="00577139"/>
    <w:rsid w:val="00581FC1"/>
    <w:rsid w:val="0058284D"/>
    <w:rsid w:val="00582BF9"/>
    <w:rsid w:val="00585E7E"/>
    <w:rsid w:val="00587639"/>
    <w:rsid w:val="00587F6A"/>
    <w:rsid w:val="0059645A"/>
    <w:rsid w:val="00596B7B"/>
    <w:rsid w:val="005A13A3"/>
    <w:rsid w:val="005A23B6"/>
    <w:rsid w:val="005A2A32"/>
    <w:rsid w:val="005A2C27"/>
    <w:rsid w:val="005A3621"/>
    <w:rsid w:val="005A4833"/>
    <w:rsid w:val="005B2835"/>
    <w:rsid w:val="005B4791"/>
    <w:rsid w:val="005B6725"/>
    <w:rsid w:val="005C0AE2"/>
    <w:rsid w:val="005C22DD"/>
    <w:rsid w:val="005C2E9D"/>
    <w:rsid w:val="005C543F"/>
    <w:rsid w:val="005C7306"/>
    <w:rsid w:val="005C7D39"/>
    <w:rsid w:val="005D02EE"/>
    <w:rsid w:val="005D103F"/>
    <w:rsid w:val="005D3B7A"/>
    <w:rsid w:val="005D6B7E"/>
    <w:rsid w:val="005E4F74"/>
    <w:rsid w:val="005F0929"/>
    <w:rsid w:val="005F1690"/>
    <w:rsid w:val="005F1780"/>
    <w:rsid w:val="005F18C4"/>
    <w:rsid w:val="005F267F"/>
    <w:rsid w:val="005F2D4C"/>
    <w:rsid w:val="005F3BC2"/>
    <w:rsid w:val="006001EA"/>
    <w:rsid w:val="00600F3E"/>
    <w:rsid w:val="00601B1A"/>
    <w:rsid w:val="0060232B"/>
    <w:rsid w:val="00602C05"/>
    <w:rsid w:val="00613875"/>
    <w:rsid w:val="00613C2E"/>
    <w:rsid w:val="006142A2"/>
    <w:rsid w:val="0061592F"/>
    <w:rsid w:val="00615B69"/>
    <w:rsid w:val="0062123B"/>
    <w:rsid w:val="00623259"/>
    <w:rsid w:val="00623856"/>
    <w:rsid w:val="00627E42"/>
    <w:rsid w:val="00627EF1"/>
    <w:rsid w:val="00632DCC"/>
    <w:rsid w:val="0063368B"/>
    <w:rsid w:val="00635B46"/>
    <w:rsid w:val="00637719"/>
    <w:rsid w:val="0063777E"/>
    <w:rsid w:val="00641645"/>
    <w:rsid w:val="00641715"/>
    <w:rsid w:val="00644C2F"/>
    <w:rsid w:val="00646113"/>
    <w:rsid w:val="00646D0B"/>
    <w:rsid w:val="00651B36"/>
    <w:rsid w:val="00652D5F"/>
    <w:rsid w:val="006600F6"/>
    <w:rsid w:val="006607B8"/>
    <w:rsid w:val="00663AB2"/>
    <w:rsid w:val="00664433"/>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97EDA"/>
    <w:rsid w:val="006A0022"/>
    <w:rsid w:val="006A0B31"/>
    <w:rsid w:val="006A0F8F"/>
    <w:rsid w:val="006A19D5"/>
    <w:rsid w:val="006A23E1"/>
    <w:rsid w:val="006A2444"/>
    <w:rsid w:val="006A3F0C"/>
    <w:rsid w:val="006B00AF"/>
    <w:rsid w:val="006B1133"/>
    <w:rsid w:val="006B3011"/>
    <w:rsid w:val="006B3FAF"/>
    <w:rsid w:val="006B6036"/>
    <w:rsid w:val="006B6294"/>
    <w:rsid w:val="006C053B"/>
    <w:rsid w:val="006C4B48"/>
    <w:rsid w:val="006C5644"/>
    <w:rsid w:val="006D094F"/>
    <w:rsid w:val="006D4BAB"/>
    <w:rsid w:val="006D57F1"/>
    <w:rsid w:val="006E039E"/>
    <w:rsid w:val="006E3877"/>
    <w:rsid w:val="006E3C43"/>
    <w:rsid w:val="006E68A7"/>
    <w:rsid w:val="006F2C62"/>
    <w:rsid w:val="006F4CF2"/>
    <w:rsid w:val="00701ABE"/>
    <w:rsid w:val="00703CA3"/>
    <w:rsid w:val="007142E4"/>
    <w:rsid w:val="0071667F"/>
    <w:rsid w:val="00716C9F"/>
    <w:rsid w:val="00717EC8"/>
    <w:rsid w:val="007214FD"/>
    <w:rsid w:val="00722A6B"/>
    <w:rsid w:val="007242FF"/>
    <w:rsid w:val="00730968"/>
    <w:rsid w:val="00734CDF"/>
    <w:rsid w:val="007403FA"/>
    <w:rsid w:val="00744609"/>
    <w:rsid w:val="00747C28"/>
    <w:rsid w:val="007500E0"/>
    <w:rsid w:val="0075083D"/>
    <w:rsid w:val="00750FA5"/>
    <w:rsid w:val="00752B2A"/>
    <w:rsid w:val="00753073"/>
    <w:rsid w:val="00753AF2"/>
    <w:rsid w:val="00754DFA"/>
    <w:rsid w:val="00756E9D"/>
    <w:rsid w:val="007654F4"/>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380E"/>
    <w:rsid w:val="007B46BB"/>
    <w:rsid w:val="007B5B25"/>
    <w:rsid w:val="007C2973"/>
    <w:rsid w:val="007D012C"/>
    <w:rsid w:val="007D0C99"/>
    <w:rsid w:val="007D0FBB"/>
    <w:rsid w:val="007D1523"/>
    <w:rsid w:val="007D2939"/>
    <w:rsid w:val="007D2B48"/>
    <w:rsid w:val="007D3ED4"/>
    <w:rsid w:val="007E0923"/>
    <w:rsid w:val="007E0D62"/>
    <w:rsid w:val="007E1185"/>
    <w:rsid w:val="007E1740"/>
    <w:rsid w:val="007E2335"/>
    <w:rsid w:val="007E3828"/>
    <w:rsid w:val="007E4138"/>
    <w:rsid w:val="007F0200"/>
    <w:rsid w:val="007F6400"/>
    <w:rsid w:val="007F760C"/>
    <w:rsid w:val="007F7E62"/>
    <w:rsid w:val="00800231"/>
    <w:rsid w:val="00800CB0"/>
    <w:rsid w:val="00801603"/>
    <w:rsid w:val="0080567D"/>
    <w:rsid w:val="00806012"/>
    <w:rsid w:val="00812462"/>
    <w:rsid w:val="00813E70"/>
    <w:rsid w:val="00814FB2"/>
    <w:rsid w:val="00816CA0"/>
    <w:rsid w:val="008255D4"/>
    <w:rsid w:val="0082768F"/>
    <w:rsid w:val="00831A63"/>
    <w:rsid w:val="0083563A"/>
    <w:rsid w:val="00836D04"/>
    <w:rsid w:val="00836E9E"/>
    <w:rsid w:val="00840698"/>
    <w:rsid w:val="00841975"/>
    <w:rsid w:val="00844DB8"/>
    <w:rsid w:val="008507EF"/>
    <w:rsid w:val="008515A2"/>
    <w:rsid w:val="00852A76"/>
    <w:rsid w:val="00852BB7"/>
    <w:rsid w:val="00854B55"/>
    <w:rsid w:val="00854B9D"/>
    <w:rsid w:val="00855C41"/>
    <w:rsid w:val="00856A36"/>
    <w:rsid w:val="008578D4"/>
    <w:rsid w:val="00860A1C"/>
    <w:rsid w:val="00861EFE"/>
    <w:rsid w:val="008634F6"/>
    <w:rsid w:val="008641B0"/>
    <w:rsid w:val="0086460B"/>
    <w:rsid w:val="0086575C"/>
    <w:rsid w:val="00866E42"/>
    <w:rsid w:val="008674F1"/>
    <w:rsid w:val="00871C42"/>
    <w:rsid w:val="0087245D"/>
    <w:rsid w:val="00874DED"/>
    <w:rsid w:val="00881B89"/>
    <w:rsid w:val="008834BB"/>
    <w:rsid w:val="00884824"/>
    <w:rsid w:val="00885EC2"/>
    <w:rsid w:val="00886052"/>
    <w:rsid w:val="008915D1"/>
    <w:rsid w:val="008964FF"/>
    <w:rsid w:val="00896A45"/>
    <w:rsid w:val="00896D86"/>
    <w:rsid w:val="008A2A5B"/>
    <w:rsid w:val="008A2C91"/>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50F8"/>
    <w:rsid w:val="008E75DD"/>
    <w:rsid w:val="008F0051"/>
    <w:rsid w:val="008F38BE"/>
    <w:rsid w:val="008F43B6"/>
    <w:rsid w:val="008F5709"/>
    <w:rsid w:val="008F6F7B"/>
    <w:rsid w:val="00900295"/>
    <w:rsid w:val="00901040"/>
    <w:rsid w:val="00905CE0"/>
    <w:rsid w:val="0090760B"/>
    <w:rsid w:val="00911A5E"/>
    <w:rsid w:val="00912B25"/>
    <w:rsid w:val="009141D8"/>
    <w:rsid w:val="009141DF"/>
    <w:rsid w:val="00917800"/>
    <w:rsid w:val="009206DB"/>
    <w:rsid w:val="00920DC4"/>
    <w:rsid w:val="00924EF7"/>
    <w:rsid w:val="00926E9F"/>
    <w:rsid w:val="00927AEB"/>
    <w:rsid w:val="00927F7F"/>
    <w:rsid w:val="00932DBC"/>
    <w:rsid w:val="00935A53"/>
    <w:rsid w:val="00940ECD"/>
    <w:rsid w:val="00941360"/>
    <w:rsid w:val="0094498F"/>
    <w:rsid w:val="00946B02"/>
    <w:rsid w:val="00946B49"/>
    <w:rsid w:val="00947223"/>
    <w:rsid w:val="00947328"/>
    <w:rsid w:val="00952D8C"/>
    <w:rsid w:val="00956444"/>
    <w:rsid w:val="00956FE0"/>
    <w:rsid w:val="0095785A"/>
    <w:rsid w:val="00957927"/>
    <w:rsid w:val="00961285"/>
    <w:rsid w:val="00962577"/>
    <w:rsid w:val="009633C7"/>
    <w:rsid w:val="009634F7"/>
    <w:rsid w:val="0096636D"/>
    <w:rsid w:val="00970535"/>
    <w:rsid w:val="0097097C"/>
    <w:rsid w:val="00971B20"/>
    <w:rsid w:val="00972125"/>
    <w:rsid w:val="009727FA"/>
    <w:rsid w:val="00975B47"/>
    <w:rsid w:val="0097649E"/>
    <w:rsid w:val="00977C4C"/>
    <w:rsid w:val="00980F22"/>
    <w:rsid w:val="0098219A"/>
    <w:rsid w:val="009836F5"/>
    <w:rsid w:val="009843F9"/>
    <w:rsid w:val="009864DE"/>
    <w:rsid w:val="0099051C"/>
    <w:rsid w:val="0099147A"/>
    <w:rsid w:val="00994F43"/>
    <w:rsid w:val="009A1246"/>
    <w:rsid w:val="009A2A9D"/>
    <w:rsid w:val="009A4040"/>
    <w:rsid w:val="009A4AD7"/>
    <w:rsid w:val="009A587E"/>
    <w:rsid w:val="009B0049"/>
    <w:rsid w:val="009B0C1D"/>
    <w:rsid w:val="009B1232"/>
    <w:rsid w:val="009B3952"/>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52AE"/>
    <w:rsid w:val="00A03CFF"/>
    <w:rsid w:val="00A03E94"/>
    <w:rsid w:val="00A0404F"/>
    <w:rsid w:val="00A049F2"/>
    <w:rsid w:val="00A10904"/>
    <w:rsid w:val="00A10A9A"/>
    <w:rsid w:val="00A1198B"/>
    <w:rsid w:val="00A13031"/>
    <w:rsid w:val="00A131EF"/>
    <w:rsid w:val="00A13273"/>
    <w:rsid w:val="00A14102"/>
    <w:rsid w:val="00A15764"/>
    <w:rsid w:val="00A21C8D"/>
    <w:rsid w:val="00A22733"/>
    <w:rsid w:val="00A23504"/>
    <w:rsid w:val="00A260D1"/>
    <w:rsid w:val="00A263B8"/>
    <w:rsid w:val="00A2685B"/>
    <w:rsid w:val="00A275FC"/>
    <w:rsid w:val="00A3035D"/>
    <w:rsid w:val="00A307FA"/>
    <w:rsid w:val="00A3090C"/>
    <w:rsid w:val="00A30D63"/>
    <w:rsid w:val="00A31CD4"/>
    <w:rsid w:val="00A334BE"/>
    <w:rsid w:val="00A354B3"/>
    <w:rsid w:val="00A36811"/>
    <w:rsid w:val="00A41646"/>
    <w:rsid w:val="00A43D35"/>
    <w:rsid w:val="00A5315F"/>
    <w:rsid w:val="00A548CA"/>
    <w:rsid w:val="00A659A0"/>
    <w:rsid w:val="00A65BA5"/>
    <w:rsid w:val="00A66F88"/>
    <w:rsid w:val="00A7097F"/>
    <w:rsid w:val="00A718E7"/>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6EF"/>
    <w:rsid w:val="00AA58BC"/>
    <w:rsid w:val="00AA692B"/>
    <w:rsid w:val="00AA727E"/>
    <w:rsid w:val="00AB21C5"/>
    <w:rsid w:val="00AC161D"/>
    <w:rsid w:val="00AC2942"/>
    <w:rsid w:val="00AC2A64"/>
    <w:rsid w:val="00AC2C6F"/>
    <w:rsid w:val="00AC39A8"/>
    <w:rsid w:val="00AC60D4"/>
    <w:rsid w:val="00AC6F15"/>
    <w:rsid w:val="00AC7D65"/>
    <w:rsid w:val="00AD080F"/>
    <w:rsid w:val="00AD46A1"/>
    <w:rsid w:val="00AD4E9E"/>
    <w:rsid w:val="00AD7DFA"/>
    <w:rsid w:val="00AE2F56"/>
    <w:rsid w:val="00AE380B"/>
    <w:rsid w:val="00AE55A4"/>
    <w:rsid w:val="00AE6A92"/>
    <w:rsid w:val="00AF00C8"/>
    <w:rsid w:val="00AF3B05"/>
    <w:rsid w:val="00B00F7C"/>
    <w:rsid w:val="00B0739E"/>
    <w:rsid w:val="00B103E9"/>
    <w:rsid w:val="00B10FC1"/>
    <w:rsid w:val="00B122C7"/>
    <w:rsid w:val="00B133AF"/>
    <w:rsid w:val="00B13D62"/>
    <w:rsid w:val="00B1693E"/>
    <w:rsid w:val="00B17AFD"/>
    <w:rsid w:val="00B23499"/>
    <w:rsid w:val="00B33524"/>
    <w:rsid w:val="00B35078"/>
    <w:rsid w:val="00B42274"/>
    <w:rsid w:val="00B42364"/>
    <w:rsid w:val="00B42990"/>
    <w:rsid w:val="00B45486"/>
    <w:rsid w:val="00B458B2"/>
    <w:rsid w:val="00B45E61"/>
    <w:rsid w:val="00B552B9"/>
    <w:rsid w:val="00B57DEE"/>
    <w:rsid w:val="00B618D0"/>
    <w:rsid w:val="00B665BF"/>
    <w:rsid w:val="00B668A9"/>
    <w:rsid w:val="00B67639"/>
    <w:rsid w:val="00B67A04"/>
    <w:rsid w:val="00B739D5"/>
    <w:rsid w:val="00B757F8"/>
    <w:rsid w:val="00B76014"/>
    <w:rsid w:val="00B76694"/>
    <w:rsid w:val="00B77056"/>
    <w:rsid w:val="00B80919"/>
    <w:rsid w:val="00B870DD"/>
    <w:rsid w:val="00B9111E"/>
    <w:rsid w:val="00B93102"/>
    <w:rsid w:val="00B94ED0"/>
    <w:rsid w:val="00B97861"/>
    <w:rsid w:val="00B97B56"/>
    <w:rsid w:val="00BA49FB"/>
    <w:rsid w:val="00BA627D"/>
    <w:rsid w:val="00BA6E0F"/>
    <w:rsid w:val="00BB1C6D"/>
    <w:rsid w:val="00BB21AA"/>
    <w:rsid w:val="00BB5645"/>
    <w:rsid w:val="00BC023B"/>
    <w:rsid w:val="00BC1155"/>
    <w:rsid w:val="00BC16D1"/>
    <w:rsid w:val="00BC198F"/>
    <w:rsid w:val="00BC1F3C"/>
    <w:rsid w:val="00BC42FF"/>
    <w:rsid w:val="00BC5BAB"/>
    <w:rsid w:val="00BC5C59"/>
    <w:rsid w:val="00BC731A"/>
    <w:rsid w:val="00BC776F"/>
    <w:rsid w:val="00BD113F"/>
    <w:rsid w:val="00BD2520"/>
    <w:rsid w:val="00BD51A5"/>
    <w:rsid w:val="00BD5E81"/>
    <w:rsid w:val="00BD6A90"/>
    <w:rsid w:val="00BE2416"/>
    <w:rsid w:val="00BE4031"/>
    <w:rsid w:val="00BE5F42"/>
    <w:rsid w:val="00BE630C"/>
    <w:rsid w:val="00BE6C68"/>
    <w:rsid w:val="00BE73F4"/>
    <w:rsid w:val="00BE7D5B"/>
    <w:rsid w:val="00BF2B29"/>
    <w:rsid w:val="00BF2FDE"/>
    <w:rsid w:val="00BF3B34"/>
    <w:rsid w:val="00BF3BD1"/>
    <w:rsid w:val="00BF4464"/>
    <w:rsid w:val="00BF49A9"/>
    <w:rsid w:val="00BF541F"/>
    <w:rsid w:val="00BF5A76"/>
    <w:rsid w:val="00BF7245"/>
    <w:rsid w:val="00BF7D34"/>
    <w:rsid w:val="00C000BD"/>
    <w:rsid w:val="00C00F41"/>
    <w:rsid w:val="00C02E67"/>
    <w:rsid w:val="00C04309"/>
    <w:rsid w:val="00C04A0B"/>
    <w:rsid w:val="00C04A46"/>
    <w:rsid w:val="00C06029"/>
    <w:rsid w:val="00C1023A"/>
    <w:rsid w:val="00C10E85"/>
    <w:rsid w:val="00C13149"/>
    <w:rsid w:val="00C13EFA"/>
    <w:rsid w:val="00C154EB"/>
    <w:rsid w:val="00C17FA5"/>
    <w:rsid w:val="00C20728"/>
    <w:rsid w:val="00C23715"/>
    <w:rsid w:val="00C23EEA"/>
    <w:rsid w:val="00C31AF7"/>
    <w:rsid w:val="00C31EC9"/>
    <w:rsid w:val="00C329D7"/>
    <w:rsid w:val="00C33DD0"/>
    <w:rsid w:val="00C33F0A"/>
    <w:rsid w:val="00C351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5C7A"/>
    <w:rsid w:val="00C676D8"/>
    <w:rsid w:val="00C70098"/>
    <w:rsid w:val="00C71C3C"/>
    <w:rsid w:val="00C724DE"/>
    <w:rsid w:val="00C74A70"/>
    <w:rsid w:val="00C74B34"/>
    <w:rsid w:val="00C7570F"/>
    <w:rsid w:val="00C7775D"/>
    <w:rsid w:val="00C842D1"/>
    <w:rsid w:val="00C84608"/>
    <w:rsid w:val="00C86476"/>
    <w:rsid w:val="00C87657"/>
    <w:rsid w:val="00C87E55"/>
    <w:rsid w:val="00C90B91"/>
    <w:rsid w:val="00C92808"/>
    <w:rsid w:val="00C93BD1"/>
    <w:rsid w:val="00C93F55"/>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E62C0"/>
    <w:rsid w:val="00CE6F4C"/>
    <w:rsid w:val="00CE74C9"/>
    <w:rsid w:val="00CE76B3"/>
    <w:rsid w:val="00CE7AF1"/>
    <w:rsid w:val="00CF2C13"/>
    <w:rsid w:val="00CF695C"/>
    <w:rsid w:val="00CF7513"/>
    <w:rsid w:val="00D001D6"/>
    <w:rsid w:val="00D01544"/>
    <w:rsid w:val="00D01A4A"/>
    <w:rsid w:val="00D2108B"/>
    <w:rsid w:val="00D222AE"/>
    <w:rsid w:val="00D22BBF"/>
    <w:rsid w:val="00D2465C"/>
    <w:rsid w:val="00D24686"/>
    <w:rsid w:val="00D26811"/>
    <w:rsid w:val="00D3059A"/>
    <w:rsid w:val="00D3171E"/>
    <w:rsid w:val="00D36B85"/>
    <w:rsid w:val="00D36ECB"/>
    <w:rsid w:val="00D42914"/>
    <w:rsid w:val="00D4578C"/>
    <w:rsid w:val="00D46766"/>
    <w:rsid w:val="00D47EB9"/>
    <w:rsid w:val="00D52539"/>
    <w:rsid w:val="00D5263E"/>
    <w:rsid w:val="00D57D7E"/>
    <w:rsid w:val="00D66C73"/>
    <w:rsid w:val="00D670A4"/>
    <w:rsid w:val="00D67553"/>
    <w:rsid w:val="00D73632"/>
    <w:rsid w:val="00D73662"/>
    <w:rsid w:val="00D739ED"/>
    <w:rsid w:val="00D77DE4"/>
    <w:rsid w:val="00D80214"/>
    <w:rsid w:val="00D842A3"/>
    <w:rsid w:val="00D851B6"/>
    <w:rsid w:val="00D855E6"/>
    <w:rsid w:val="00D86886"/>
    <w:rsid w:val="00D902E4"/>
    <w:rsid w:val="00D92115"/>
    <w:rsid w:val="00D97B20"/>
    <w:rsid w:val="00DA0024"/>
    <w:rsid w:val="00DA138B"/>
    <w:rsid w:val="00DA23A5"/>
    <w:rsid w:val="00DA3B4C"/>
    <w:rsid w:val="00DA46B4"/>
    <w:rsid w:val="00DA6E5D"/>
    <w:rsid w:val="00DA7938"/>
    <w:rsid w:val="00DB3239"/>
    <w:rsid w:val="00DC14E0"/>
    <w:rsid w:val="00DC1576"/>
    <w:rsid w:val="00DC4522"/>
    <w:rsid w:val="00DC515C"/>
    <w:rsid w:val="00DC61B5"/>
    <w:rsid w:val="00DC62FD"/>
    <w:rsid w:val="00DD1E67"/>
    <w:rsid w:val="00DD2958"/>
    <w:rsid w:val="00DD6118"/>
    <w:rsid w:val="00DE09A6"/>
    <w:rsid w:val="00DE17DB"/>
    <w:rsid w:val="00DE2FC0"/>
    <w:rsid w:val="00DE3EE4"/>
    <w:rsid w:val="00DE4371"/>
    <w:rsid w:val="00DE4F53"/>
    <w:rsid w:val="00DF1FC3"/>
    <w:rsid w:val="00DF3DD3"/>
    <w:rsid w:val="00DF469B"/>
    <w:rsid w:val="00DF7C19"/>
    <w:rsid w:val="00E07443"/>
    <w:rsid w:val="00E13581"/>
    <w:rsid w:val="00E13F7A"/>
    <w:rsid w:val="00E14050"/>
    <w:rsid w:val="00E146A0"/>
    <w:rsid w:val="00E14EB6"/>
    <w:rsid w:val="00E21EBF"/>
    <w:rsid w:val="00E23492"/>
    <w:rsid w:val="00E25545"/>
    <w:rsid w:val="00E260A3"/>
    <w:rsid w:val="00E30A6C"/>
    <w:rsid w:val="00E321AB"/>
    <w:rsid w:val="00E3310D"/>
    <w:rsid w:val="00E33F93"/>
    <w:rsid w:val="00E35960"/>
    <w:rsid w:val="00E362EC"/>
    <w:rsid w:val="00E3689F"/>
    <w:rsid w:val="00E37D8D"/>
    <w:rsid w:val="00E4035E"/>
    <w:rsid w:val="00E413B8"/>
    <w:rsid w:val="00E436DB"/>
    <w:rsid w:val="00E44219"/>
    <w:rsid w:val="00E46329"/>
    <w:rsid w:val="00E556FE"/>
    <w:rsid w:val="00E5755B"/>
    <w:rsid w:val="00E57DF8"/>
    <w:rsid w:val="00E6050D"/>
    <w:rsid w:val="00E65380"/>
    <w:rsid w:val="00E67AAD"/>
    <w:rsid w:val="00E73A0E"/>
    <w:rsid w:val="00E74658"/>
    <w:rsid w:val="00E751E3"/>
    <w:rsid w:val="00E814FC"/>
    <w:rsid w:val="00E8321C"/>
    <w:rsid w:val="00E925A1"/>
    <w:rsid w:val="00E92AE6"/>
    <w:rsid w:val="00E93676"/>
    <w:rsid w:val="00E95A82"/>
    <w:rsid w:val="00E961EF"/>
    <w:rsid w:val="00E96D84"/>
    <w:rsid w:val="00EA00BC"/>
    <w:rsid w:val="00EA01F9"/>
    <w:rsid w:val="00EA0DAE"/>
    <w:rsid w:val="00EA0ECF"/>
    <w:rsid w:val="00EA22D6"/>
    <w:rsid w:val="00EA39BE"/>
    <w:rsid w:val="00EA4E67"/>
    <w:rsid w:val="00EA55AD"/>
    <w:rsid w:val="00EB1647"/>
    <w:rsid w:val="00EB189E"/>
    <w:rsid w:val="00EB1E30"/>
    <w:rsid w:val="00EB215E"/>
    <w:rsid w:val="00EB3C78"/>
    <w:rsid w:val="00EB4D93"/>
    <w:rsid w:val="00EC08F4"/>
    <w:rsid w:val="00EC3B13"/>
    <w:rsid w:val="00ED11DF"/>
    <w:rsid w:val="00ED3B14"/>
    <w:rsid w:val="00ED53C1"/>
    <w:rsid w:val="00ED663D"/>
    <w:rsid w:val="00ED69D0"/>
    <w:rsid w:val="00ED7749"/>
    <w:rsid w:val="00ED7F2C"/>
    <w:rsid w:val="00EE6D8F"/>
    <w:rsid w:val="00EE6F53"/>
    <w:rsid w:val="00EF0378"/>
    <w:rsid w:val="00EF33BC"/>
    <w:rsid w:val="00EF3605"/>
    <w:rsid w:val="00F01627"/>
    <w:rsid w:val="00F01FBE"/>
    <w:rsid w:val="00F047F0"/>
    <w:rsid w:val="00F074E6"/>
    <w:rsid w:val="00F11A53"/>
    <w:rsid w:val="00F13494"/>
    <w:rsid w:val="00F13ABB"/>
    <w:rsid w:val="00F143CD"/>
    <w:rsid w:val="00F14963"/>
    <w:rsid w:val="00F222E6"/>
    <w:rsid w:val="00F22CE0"/>
    <w:rsid w:val="00F241A6"/>
    <w:rsid w:val="00F245D6"/>
    <w:rsid w:val="00F30981"/>
    <w:rsid w:val="00F31120"/>
    <w:rsid w:val="00F312C0"/>
    <w:rsid w:val="00F32B92"/>
    <w:rsid w:val="00F334C1"/>
    <w:rsid w:val="00F336DD"/>
    <w:rsid w:val="00F336F8"/>
    <w:rsid w:val="00F354A9"/>
    <w:rsid w:val="00F35FB3"/>
    <w:rsid w:val="00F37175"/>
    <w:rsid w:val="00F37388"/>
    <w:rsid w:val="00F40327"/>
    <w:rsid w:val="00F43728"/>
    <w:rsid w:val="00F45D78"/>
    <w:rsid w:val="00F532D2"/>
    <w:rsid w:val="00F549AC"/>
    <w:rsid w:val="00F55362"/>
    <w:rsid w:val="00F56D98"/>
    <w:rsid w:val="00F57480"/>
    <w:rsid w:val="00F600F5"/>
    <w:rsid w:val="00F6209A"/>
    <w:rsid w:val="00F62565"/>
    <w:rsid w:val="00F630B2"/>
    <w:rsid w:val="00F63A63"/>
    <w:rsid w:val="00F71210"/>
    <w:rsid w:val="00F72A4B"/>
    <w:rsid w:val="00F73998"/>
    <w:rsid w:val="00F74302"/>
    <w:rsid w:val="00F76C52"/>
    <w:rsid w:val="00F81173"/>
    <w:rsid w:val="00F85F39"/>
    <w:rsid w:val="00F86574"/>
    <w:rsid w:val="00F866E4"/>
    <w:rsid w:val="00F931D1"/>
    <w:rsid w:val="00F952B6"/>
    <w:rsid w:val="00F97A95"/>
    <w:rsid w:val="00F97D45"/>
    <w:rsid w:val="00FA0F2F"/>
    <w:rsid w:val="00FA0FE0"/>
    <w:rsid w:val="00FA1685"/>
    <w:rsid w:val="00FA2607"/>
    <w:rsid w:val="00FA4ED8"/>
    <w:rsid w:val="00FB1945"/>
    <w:rsid w:val="00FB2F33"/>
    <w:rsid w:val="00FB71B0"/>
    <w:rsid w:val="00FB7D4A"/>
    <w:rsid w:val="00FC24D8"/>
    <w:rsid w:val="00FC2B3F"/>
    <w:rsid w:val="00FD2AEB"/>
    <w:rsid w:val="00FD3EC3"/>
    <w:rsid w:val="00FD4368"/>
    <w:rsid w:val="00FD6EBB"/>
    <w:rsid w:val="00FD7F05"/>
    <w:rsid w:val="00FE7EE6"/>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 w:type="paragraph" w:customStyle="1" w:styleId="Default">
    <w:name w:val="Default"/>
    <w:rsid w:val="00B234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 w:type="paragraph" w:customStyle="1" w:styleId="Default">
    <w:name w:val="Default"/>
    <w:rsid w:val="00B234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F716-7EC9-4FEA-BAE3-523996E9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10861</Words>
  <Characters>61911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2017-02-24T07:23:00Z</dcterms:created>
  <dcterms:modified xsi:type="dcterms:W3CDTF">2017-02-24T07:23:00Z</dcterms:modified>
</cp:coreProperties>
</file>