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C7" w:rsidRPr="001B33B3" w:rsidRDefault="009D15C7" w:rsidP="009D15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3B3">
        <w:rPr>
          <w:rFonts w:ascii="Times New Roman" w:hAnsi="Times New Roman"/>
          <w:b/>
          <w:sz w:val="24"/>
          <w:szCs w:val="24"/>
        </w:rPr>
        <w:t>THE REPUBLIC OF UGANDA</w:t>
      </w:r>
    </w:p>
    <w:p w:rsidR="009D15C7" w:rsidRPr="001B33B3" w:rsidRDefault="009D15C7" w:rsidP="009D15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3B3">
        <w:rPr>
          <w:rFonts w:ascii="Times New Roman" w:hAnsi="Times New Roman"/>
          <w:b/>
          <w:sz w:val="24"/>
          <w:szCs w:val="24"/>
        </w:rPr>
        <w:t>IN THE HIGH COURT OF UGANDA AT KAMPALA</w:t>
      </w:r>
    </w:p>
    <w:p w:rsidR="009D15C7" w:rsidRPr="001B33B3" w:rsidRDefault="009D15C7" w:rsidP="009D15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3B3">
        <w:rPr>
          <w:rFonts w:ascii="Times New Roman" w:hAnsi="Times New Roman"/>
          <w:b/>
          <w:sz w:val="24"/>
          <w:szCs w:val="24"/>
        </w:rPr>
        <w:t>(CIVIL DIVISION)</w:t>
      </w:r>
    </w:p>
    <w:p w:rsidR="009D15C7" w:rsidRDefault="009D15C7" w:rsidP="009D15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MISCELLANEOUS APPLICATION NO.860 OF 2016</w:t>
      </w:r>
    </w:p>
    <w:p w:rsidR="009D15C7" w:rsidRPr="001B33B3" w:rsidRDefault="009D15C7" w:rsidP="009D15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(ARISING FROM MISC. CAUSE NO. 278 OF 2016)</w:t>
      </w:r>
    </w:p>
    <w:p w:rsidR="009D15C7" w:rsidRPr="001B33B3" w:rsidRDefault="009D15C7" w:rsidP="009D15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CHINA NATIONAL AERO-TECHNOLOGY INTERNATIONAL ENGINEERING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CORPORATION         </w:t>
      </w:r>
      <w:r w:rsidRPr="001B33B3">
        <w:rPr>
          <w:rFonts w:ascii="Times New Roman" w:hAnsi="Times New Roman"/>
          <w:b/>
          <w:sz w:val="24"/>
          <w:szCs w:val="24"/>
        </w:rPr>
        <w:t>::::::::::::::::::::::::::::::::::::::::::::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B33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APPLICANT</w:t>
      </w:r>
    </w:p>
    <w:p w:rsidR="009D15C7" w:rsidRPr="001B33B3" w:rsidRDefault="009D15C7" w:rsidP="009D15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3B3">
        <w:rPr>
          <w:rFonts w:ascii="Times New Roman" w:hAnsi="Times New Roman"/>
          <w:b/>
          <w:sz w:val="24"/>
          <w:szCs w:val="24"/>
        </w:rPr>
        <w:t>VERSUS</w:t>
      </w:r>
      <w:bookmarkStart w:id="0" w:name="_GoBack"/>
      <w:bookmarkEnd w:id="0"/>
    </w:p>
    <w:p w:rsidR="009D15C7" w:rsidRPr="001B33B3" w:rsidRDefault="009D15C7" w:rsidP="009D1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PARLIAMENTARY COMMISSION</w:t>
      </w:r>
    </w:p>
    <w:p w:rsidR="009D15C7" w:rsidRDefault="009D15C7" w:rsidP="009D1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CLERK TO THE PARLIAMENT OF UGANDA</w:t>
      </w:r>
    </w:p>
    <w:p w:rsidR="009D15C7" w:rsidRDefault="009D15C7" w:rsidP="009D1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PROCUREMEN</w:t>
      </w:r>
      <w:r w:rsidR="00447A6F">
        <w:rPr>
          <w:rFonts w:ascii="Times New Roman" w:hAnsi="Times New Roman"/>
          <w:b/>
          <w:sz w:val="24"/>
          <w:szCs w:val="24"/>
        </w:rPr>
        <w:t xml:space="preserve">T AND DISPOSAL OF PUBLIC ASSETS </w:t>
      </w:r>
      <w:r>
        <w:rPr>
          <w:rFonts w:ascii="Times New Roman" w:hAnsi="Times New Roman"/>
          <w:b/>
          <w:sz w:val="24"/>
          <w:szCs w:val="24"/>
        </w:rPr>
        <w:t>AUTHORITY</w:t>
      </w:r>
      <w:r w:rsidR="00447A6F">
        <w:rPr>
          <w:rFonts w:ascii="Times New Roman" w:hAnsi="Times New Roman"/>
          <w:b/>
          <w:sz w:val="24"/>
          <w:szCs w:val="24"/>
        </w:rPr>
        <w:t>(PPDA)</w:t>
      </w:r>
    </w:p>
    <w:p w:rsidR="009D15C7" w:rsidRPr="001B33B3" w:rsidRDefault="009D15C7" w:rsidP="009D1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ATTORNEY GENERAL     </w:t>
      </w:r>
      <w:r w:rsidRPr="001B33B3">
        <w:rPr>
          <w:rFonts w:ascii="Times New Roman" w:hAnsi="Times New Roman"/>
          <w:b/>
          <w:sz w:val="24"/>
          <w:szCs w:val="24"/>
        </w:rPr>
        <w:t xml:space="preserve">:::::::::::::::::::::::::::::: </w:t>
      </w:r>
      <w:r>
        <w:rPr>
          <w:rFonts w:ascii="Times New Roman" w:hAnsi="Times New Roman"/>
          <w:b/>
          <w:sz w:val="24"/>
          <w:szCs w:val="24"/>
        </w:rPr>
        <w:t xml:space="preserve">          RESPONDENTS</w:t>
      </w:r>
    </w:p>
    <w:p w:rsidR="009D15C7" w:rsidRPr="001B33B3" w:rsidRDefault="009D15C7" w:rsidP="009D15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33B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D15C7" w:rsidRPr="001B33B3" w:rsidRDefault="009D15C7" w:rsidP="009D15C7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15C7" w:rsidRDefault="009D15C7" w:rsidP="009D15C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1B33B3">
        <w:rPr>
          <w:rFonts w:ascii="Times New Roman" w:hAnsi="Times New Roman"/>
          <w:b/>
          <w:sz w:val="24"/>
          <w:szCs w:val="24"/>
          <w:lang w:val="en-GB"/>
        </w:rPr>
        <w:t>BEFORE: LADY JUSTICE LYDIA MUGAMBE</w:t>
      </w:r>
    </w:p>
    <w:p w:rsidR="009D15C7" w:rsidRPr="001B33B3" w:rsidRDefault="009D15C7" w:rsidP="009D15C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9D15C7" w:rsidRPr="001B33B3" w:rsidRDefault="009D15C7" w:rsidP="009D15C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1B33B3">
        <w:rPr>
          <w:rFonts w:ascii="Times New Roman" w:hAnsi="Times New Roman"/>
          <w:b/>
          <w:sz w:val="24"/>
          <w:szCs w:val="24"/>
          <w:lang w:val="en-GB"/>
        </w:rPr>
        <w:t>RULING</w:t>
      </w:r>
    </w:p>
    <w:p w:rsidR="009D15C7" w:rsidRPr="001B33B3" w:rsidRDefault="009D15C7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Introduction</w:t>
      </w:r>
    </w:p>
    <w:p w:rsidR="009D15C7" w:rsidRPr="001B33B3" w:rsidRDefault="009D15C7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</w:t>
      </w:r>
      <w:r w:rsidR="00447A6F">
        <w:rPr>
          <w:rFonts w:ascii="Times New Roman" w:hAnsi="Times New Roman"/>
          <w:sz w:val="24"/>
          <w:szCs w:val="24"/>
        </w:rPr>
        <w:t>my ruling in the</w:t>
      </w:r>
      <w:r w:rsidR="00940D1E">
        <w:rPr>
          <w:rFonts w:ascii="Times New Roman" w:hAnsi="Times New Roman"/>
          <w:sz w:val="24"/>
          <w:szCs w:val="24"/>
        </w:rPr>
        <w:t xml:space="preserve"> applicat</w:t>
      </w:r>
      <w:r w:rsidR="00447A6F">
        <w:rPr>
          <w:rFonts w:ascii="Times New Roman" w:hAnsi="Times New Roman"/>
          <w:sz w:val="24"/>
          <w:szCs w:val="24"/>
        </w:rPr>
        <w:t>ion for a temporary injunction i</w:t>
      </w:r>
      <w:r w:rsidR="00940D1E">
        <w:rPr>
          <w:rFonts w:ascii="Times New Roman" w:hAnsi="Times New Roman"/>
          <w:sz w:val="24"/>
          <w:szCs w:val="24"/>
        </w:rPr>
        <w:t>n Misc</w:t>
      </w:r>
      <w:r w:rsidR="00647969">
        <w:rPr>
          <w:rFonts w:ascii="Times New Roman" w:hAnsi="Times New Roman"/>
          <w:sz w:val="24"/>
          <w:szCs w:val="24"/>
        </w:rPr>
        <w:t>.</w:t>
      </w:r>
      <w:r w:rsidR="00940D1E">
        <w:rPr>
          <w:rFonts w:ascii="Times New Roman" w:hAnsi="Times New Roman"/>
          <w:sz w:val="24"/>
          <w:szCs w:val="24"/>
        </w:rPr>
        <w:t xml:space="preserve"> Application No. </w:t>
      </w:r>
      <w:r w:rsidR="00700115">
        <w:rPr>
          <w:rFonts w:ascii="Times New Roman" w:hAnsi="Times New Roman"/>
          <w:sz w:val="24"/>
          <w:szCs w:val="24"/>
        </w:rPr>
        <w:t>860 of</w:t>
      </w:r>
      <w:r w:rsidR="00940D1E">
        <w:rPr>
          <w:rFonts w:ascii="Times New Roman" w:hAnsi="Times New Roman"/>
          <w:sz w:val="24"/>
          <w:szCs w:val="24"/>
        </w:rPr>
        <w:t xml:space="preserve"> 2016</w:t>
      </w:r>
      <w:r w:rsidRPr="001B33B3">
        <w:rPr>
          <w:rFonts w:ascii="Times New Roman" w:hAnsi="Times New Roman"/>
          <w:sz w:val="24"/>
          <w:szCs w:val="24"/>
        </w:rPr>
        <w:t xml:space="preserve">. </w:t>
      </w:r>
    </w:p>
    <w:p w:rsidR="009D15C7" w:rsidRPr="001B33B3" w:rsidRDefault="009D15C7" w:rsidP="009D15C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15C7" w:rsidRPr="00F934E1" w:rsidRDefault="009D15C7" w:rsidP="00F934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40D1E"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7C6">
        <w:rPr>
          <w:rFonts w:ascii="Times New Roman" w:hAnsi="Times New Roman"/>
          <w:sz w:val="24"/>
          <w:szCs w:val="24"/>
        </w:rPr>
        <w:t xml:space="preserve">is represented by Mr. </w:t>
      </w:r>
      <w:r>
        <w:rPr>
          <w:rFonts w:ascii="Times New Roman" w:hAnsi="Times New Roman"/>
          <w:sz w:val="24"/>
          <w:szCs w:val="24"/>
        </w:rPr>
        <w:t xml:space="preserve"> </w:t>
      </w:r>
      <w:r w:rsidR="00940D1E">
        <w:rPr>
          <w:rFonts w:ascii="Times New Roman" w:hAnsi="Times New Roman"/>
          <w:sz w:val="24"/>
          <w:szCs w:val="24"/>
        </w:rPr>
        <w:t>Alexandra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D1E">
        <w:rPr>
          <w:rFonts w:ascii="Times New Roman" w:hAnsi="Times New Roman"/>
          <w:sz w:val="24"/>
          <w:szCs w:val="24"/>
        </w:rPr>
        <w:t>Kibandama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A17C6">
        <w:rPr>
          <w:rFonts w:ascii="Times New Roman" w:hAnsi="Times New Roman"/>
          <w:sz w:val="24"/>
          <w:szCs w:val="24"/>
        </w:rPr>
        <w:t xml:space="preserve">of M/s. </w:t>
      </w:r>
      <w:proofErr w:type="spellStart"/>
      <w:r w:rsidR="00447A6F">
        <w:rPr>
          <w:rFonts w:ascii="Times New Roman" w:hAnsi="Times New Roman"/>
          <w:sz w:val="24"/>
          <w:szCs w:val="24"/>
        </w:rPr>
        <w:t>ENA</w:t>
      </w:r>
      <w:r w:rsidR="00940D1E">
        <w:rPr>
          <w:rFonts w:ascii="Times New Roman" w:hAnsi="Times New Roman"/>
          <w:sz w:val="24"/>
          <w:szCs w:val="24"/>
        </w:rPr>
        <w:t>frica</w:t>
      </w:r>
      <w:proofErr w:type="spellEnd"/>
      <w:r w:rsidR="00940D1E">
        <w:rPr>
          <w:rFonts w:ascii="Times New Roman" w:hAnsi="Times New Roman"/>
          <w:sz w:val="24"/>
          <w:szCs w:val="24"/>
        </w:rPr>
        <w:t xml:space="preserve"> Advocates</w:t>
      </w:r>
      <w:r>
        <w:rPr>
          <w:rFonts w:ascii="Times New Roman" w:hAnsi="Times New Roman"/>
          <w:sz w:val="24"/>
          <w:szCs w:val="24"/>
        </w:rPr>
        <w:t>,</w:t>
      </w:r>
      <w:r w:rsidRPr="004A17C6">
        <w:rPr>
          <w:rFonts w:ascii="Times New Roman" w:hAnsi="Times New Roman"/>
          <w:sz w:val="24"/>
          <w:szCs w:val="24"/>
        </w:rPr>
        <w:t xml:space="preserve"> </w:t>
      </w:r>
      <w:r w:rsidR="00447A6F">
        <w:rPr>
          <w:rFonts w:ascii="Times New Roman" w:hAnsi="Times New Roman"/>
          <w:sz w:val="24"/>
          <w:szCs w:val="24"/>
        </w:rPr>
        <w:t>t</w:t>
      </w:r>
      <w:r w:rsidRPr="004A17C6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940D1E">
        <w:rPr>
          <w:rFonts w:ascii="Times New Roman" w:hAnsi="Times New Roman"/>
          <w:sz w:val="24"/>
          <w:szCs w:val="24"/>
        </w:rPr>
        <w:t>and second Respondents are</w:t>
      </w:r>
      <w:r>
        <w:rPr>
          <w:rFonts w:ascii="Times New Roman" w:hAnsi="Times New Roman"/>
          <w:sz w:val="24"/>
          <w:szCs w:val="24"/>
        </w:rPr>
        <w:t xml:space="preserve"> represented </w:t>
      </w:r>
      <w:r w:rsidR="00CB3C5F">
        <w:rPr>
          <w:rFonts w:ascii="Times New Roman" w:hAnsi="Times New Roman"/>
          <w:sz w:val="24"/>
          <w:szCs w:val="24"/>
        </w:rPr>
        <w:t>by Ms</w:t>
      </w:r>
      <w:r>
        <w:rPr>
          <w:rFonts w:ascii="Times New Roman" w:hAnsi="Times New Roman"/>
          <w:sz w:val="24"/>
          <w:szCs w:val="24"/>
        </w:rPr>
        <w:t xml:space="preserve">. </w:t>
      </w:r>
      <w:r w:rsidR="00CB3C5F">
        <w:rPr>
          <w:rFonts w:ascii="Times New Roman" w:hAnsi="Times New Roman"/>
          <w:sz w:val="24"/>
          <w:szCs w:val="24"/>
        </w:rPr>
        <w:t>Bukenya Jackie</w:t>
      </w:r>
      <w:r w:rsidR="00700115">
        <w:rPr>
          <w:rFonts w:ascii="Times New Roman" w:hAnsi="Times New Roman"/>
          <w:sz w:val="24"/>
          <w:szCs w:val="24"/>
        </w:rPr>
        <w:t xml:space="preserve"> and Mr. Kirunda Solomon</w:t>
      </w:r>
      <w:r w:rsidR="00C137DD">
        <w:rPr>
          <w:rFonts w:ascii="Times New Roman" w:hAnsi="Times New Roman"/>
          <w:sz w:val="24"/>
          <w:szCs w:val="24"/>
        </w:rPr>
        <w:t xml:space="preserve"> </w:t>
      </w:r>
      <w:r w:rsidR="00447A6F">
        <w:rPr>
          <w:rFonts w:ascii="Times New Roman" w:hAnsi="Times New Roman"/>
          <w:sz w:val="24"/>
          <w:szCs w:val="24"/>
        </w:rPr>
        <w:t>from</w:t>
      </w:r>
      <w:r w:rsidR="00C137DD">
        <w:rPr>
          <w:rFonts w:ascii="Times New Roman" w:hAnsi="Times New Roman"/>
          <w:sz w:val="24"/>
          <w:szCs w:val="24"/>
        </w:rPr>
        <w:t xml:space="preserve"> the </w:t>
      </w:r>
      <w:r w:rsidR="00171432">
        <w:rPr>
          <w:rFonts w:ascii="Times New Roman" w:hAnsi="Times New Roman"/>
          <w:sz w:val="24"/>
          <w:szCs w:val="24"/>
        </w:rPr>
        <w:t>D</w:t>
      </w:r>
      <w:r w:rsidR="00C137DD">
        <w:rPr>
          <w:rFonts w:ascii="Times New Roman" w:hAnsi="Times New Roman"/>
          <w:sz w:val="24"/>
          <w:szCs w:val="24"/>
        </w:rPr>
        <w:t>epartment of Legal and Legislative Services of the Parliament of Uganda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and the 3</w:t>
      </w:r>
      <w:r w:rsidRPr="00FC15E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5A">
        <w:rPr>
          <w:rFonts w:ascii="Times New Roman" w:hAnsi="Times New Roman"/>
          <w:sz w:val="24"/>
          <w:szCs w:val="24"/>
        </w:rPr>
        <w:t>Respondent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5A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represented by Mr</w:t>
      </w:r>
      <w:r w:rsidR="00273B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115">
        <w:rPr>
          <w:rFonts w:ascii="Times New Roman" w:hAnsi="Times New Roman"/>
          <w:sz w:val="24"/>
          <w:szCs w:val="24"/>
        </w:rPr>
        <w:t>Uthman</w:t>
      </w:r>
      <w:proofErr w:type="spellEnd"/>
      <w:r w:rsidR="00700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115">
        <w:rPr>
          <w:rFonts w:ascii="Times New Roman" w:hAnsi="Times New Roman"/>
          <w:sz w:val="24"/>
          <w:szCs w:val="24"/>
        </w:rPr>
        <w:t>Seg</w:t>
      </w:r>
      <w:r w:rsidR="00273B40">
        <w:rPr>
          <w:rFonts w:ascii="Times New Roman" w:hAnsi="Times New Roman"/>
          <w:sz w:val="24"/>
          <w:szCs w:val="24"/>
        </w:rPr>
        <w:t>a</w:t>
      </w:r>
      <w:r w:rsidR="00700115">
        <w:rPr>
          <w:rFonts w:ascii="Times New Roman" w:hAnsi="Times New Roman"/>
          <w:sz w:val="24"/>
          <w:szCs w:val="24"/>
        </w:rPr>
        <w:t>wa</w:t>
      </w:r>
      <w:proofErr w:type="spellEnd"/>
      <w:r w:rsidR="00700115">
        <w:rPr>
          <w:rFonts w:ascii="Times New Roman" w:hAnsi="Times New Roman"/>
          <w:sz w:val="24"/>
          <w:szCs w:val="24"/>
        </w:rPr>
        <w:t xml:space="preserve"> and Mr. John </w:t>
      </w:r>
      <w:proofErr w:type="spellStart"/>
      <w:r w:rsidR="00700115">
        <w:rPr>
          <w:rFonts w:ascii="Times New Roman" w:hAnsi="Times New Roman"/>
          <w:sz w:val="24"/>
          <w:szCs w:val="24"/>
        </w:rPr>
        <w:t>Kalemera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12F8">
        <w:rPr>
          <w:rFonts w:ascii="Times New Roman" w:hAnsi="Times New Roman"/>
          <w:sz w:val="24"/>
          <w:szCs w:val="24"/>
        </w:rPr>
        <w:t xml:space="preserve">from the </w:t>
      </w:r>
      <w:r w:rsidR="00EA7C38">
        <w:rPr>
          <w:rFonts w:ascii="Times New Roman" w:hAnsi="Times New Roman"/>
          <w:sz w:val="24"/>
          <w:szCs w:val="24"/>
        </w:rPr>
        <w:t xml:space="preserve">Public Procurement and Disposal of Public Assets Authority </w:t>
      </w:r>
      <w:r w:rsidR="00DA12F8">
        <w:rPr>
          <w:rFonts w:ascii="Times New Roman" w:hAnsi="Times New Roman"/>
          <w:sz w:val="24"/>
          <w:szCs w:val="24"/>
        </w:rPr>
        <w:t xml:space="preserve">(PPDA) </w:t>
      </w:r>
      <w:r w:rsidR="00171432">
        <w:rPr>
          <w:rFonts w:ascii="Times New Roman" w:hAnsi="Times New Roman"/>
          <w:sz w:val="24"/>
          <w:szCs w:val="24"/>
        </w:rPr>
        <w:t>C</w:t>
      </w:r>
      <w:r w:rsidR="00700115">
        <w:rPr>
          <w:rFonts w:ascii="Times New Roman" w:hAnsi="Times New Roman"/>
          <w:sz w:val="24"/>
          <w:szCs w:val="24"/>
        </w:rPr>
        <w:t>hambers</w:t>
      </w:r>
      <w:r>
        <w:rPr>
          <w:rFonts w:ascii="Times New Roman" w:hAnsi="Times New Roman"/>
          <w:sz w:val="24"/>
          <w:szCs w:val="24"/>
        </w:rPr>
        <w:t>.</w:t>
      </w:r>
    </w:p>
    <w:p w:rsidR="009D15C7" w:rsidRPr="004A17C6" w:rsidRDefault="009D15C7" w:rsidP="009D15C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9D15C7" w:rsidRPr="00FC15E1" w:rsidRDefault="00700115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DA12F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A12F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voidance of doubt, I have read all the pleadings on file and considered all the arguments</w:t>
      </w:r>
      <w:r w:rsidR="00171432">
        <w:rPr>
          <w:rFonts w:ascii="Times New Roman" w:hAnsi="Times New Roman"/>
          <w:sz w:val="24"/>
          <w:szCs w:val="24"/>
        </w:rPr>
        <w:t xml:space="preserve"> and submissions</w:t>
      </w:r>
      <w:r>
        <w:rPr>
          <w:rFonts w:ascii="Times New Roman" w:hAnsi="Times New Roman"/>
          <w:sz w:val="24"/>
          <w:szCs w:val="24"/>
        </w:rPr>
        <w:t xml:space="preserve"> of the parties at the hearing. </w:t>
      </w:r>
    </w:p>
    <w:p w:rsidR="009D15C7" w:rsidRPr="001B33B3" w:rsidRDefault="009D15C7" w:rsidP="009D15C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3486" w:rsidRDefault="00700115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standard for the grant of a temporary injunction is now well established in our jurisdiction. The Applicant must prove that;</w:t>
      </w:r>
    </w:p>
    <w:p w:rsidR="00453486" w:rsidRPr="00453486" w:rsidRDefault="00453486" w:rsidP="00453486">
      <w:pPr>
        <w:pStyle w:val="ListParagraph"/>
        <w:rPr>
          <w:rFonts w:ascii="Times New Roman" w:hAnsi="Times New Roman"/>
          <w:sz w:val="24"/>
          <w:szCs w:val="24"/>
        </w:rPr>
      </w:pPr>
    </w:p>
    <w:p w:rsidR="009D15C7" w:rsidRDefault="00DA12F8" w:rsidP="004534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53486">
        <w:rPr>
          <w:rFonts w:ascii="Times New Roman" w:hAnsi="Times New Roman"/>
          <w:sz w:val="24"/>
          <w:szCs w:val="24"/>
        </w:rPr>
        <w:t>e/she has a prima facie case with high chances of success</w:t>
      </w:r>
      <w:r w:rsidR="001A3742">
        <w:rPr>
          <w:rFonts w:ascii="Times New Roman" w:hAnsi="Times New Roman"/>
          <w:sz w:val="24"/>
          <w:szCs w:val="24"/>
        </w:rPr>
        <w:t>,</w:t>
      </w:r>
    </w:p>
    <w:p w:rsidR="00453486" w:rsidRDefault="00453486" w:rsidP="004534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injunction is denied, he stands</w:t>
      </w:r>
      <w:r w:rsidR="00DA12F8">
        <w:rPr>
          <w:rFonts w:ascii="Times New Roman" w:hAnsi="Times New Roman"/>
          <w:sz w:val="24"/>
          <w:szCs w:val="24"/>
        </w:rPr>
        <w:t xml:space="preserve"> to suffer irreparable loss and</w:t>
      </w:r>
    </w:p>
    <w:p w:rsidR="00453486" w:rsidRPr="001B33B3" w:rsidRDefault="00647969" w:rsidP="004534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453486">
        <w:rPr>
          <w:rFonts w:ascii="Times New Roman" w:hAnsi="Times New Roman"/>
          <w:sz w:val="24"/>
          <w:szCs w:val="24"/>
        </w:rPr>
        <w:t>f</w:t>
      </w:r>
      <w:proofErr w:type="gramEnd"/>
      <w:r w:rsidR="00453486">
        <w:rPr>
          <w:rFonts w:ascii="Times New Roman" w:hAnsi="Times New Roman"/>
          <w:sz w:val="24"/>
          <w:szCs w:val="24"/>
        </w:rPr>
        <w:t xml:space="preserve"> the court is in doubt, it makes a determination on a balance of convenience.</w:t>
      </w:r>
    </w:p>
    <w:p w:rsidR="009D15C7" w:rsidRPr="001B33B3" w:rsidRDefault="009D15C7" w:rsidP="009D15C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5C7" w:rsidRPr="001B33B3" w:rsidRDefault="00453486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 prima facie case, </w:t>
      </w:r>
      <w:r w:rsidR="00DA12F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ounsel for the Applicant made long winded arguments claiming violatio</w:t>
      </w:r>
      <w:r w:rsidR="00DA12F8">
        <w:rPr>
          <w:rFonts w:ascii="Times New Roman" w:hAnsi="Times New Roman"/>
          <w:sz w:val="24"/>
          <w:szCs w:val="24"/>
        </w:rPr>
        <w:t>ns of his client’s c</w:t>
      </w:r>
      <w:r>
        <w:rPr>
          <w:rFonts w:ascii="Times New Roman" w:hAnsi="Times New Roman"/>
          <w:sz w:val="24"/>
          <w:szCs w:val="24"/>
        </w:rPr>
        <w:t>onstitutional right to be heard under Article 28</w:t>
      </w:r>
      <w:r w:rsidR="00F934E1">
        <w:rPr>
          <w:rFonts w:ascii="Times New Roman" w:hAnsi="Times New Roman"/>
          <w:sz w:val="24"/>
          <w:szCs w:val="24"/>
        </w:rPr>
        <w:t xml:space="preserve"> of the 1995 C</w:t>
      </w:r>
      <w:r w:rsidR="00DA12F8">
        <w:rPr>
          <w:rFonts w:ascii="Times New Roman" w:hAnsi="Times New Roman"/>
          <w:sz w:val="24"/>
          <w:szCs w:val="24"/>
        </w:rPr>
        <w:t>onstitution of Uganda</w:t>
      </w:r>
      <w:r>
        <w:rPr>
          <w:rFonts w:ascii="Times New Roman" w:hAnsi="Times New Roman"/>
          <w:sz w:val="24"/>
          <w:szCs w:val="24"/>
        </w:rPr>
        <w:t>; violations of Section</w:t>
      </w:r>
      <w:r w:rsidR="001714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43-49 of the P</w:t>
      </w:r>
      <w:r w:rsidR="00EA7C38">
        <w:rPr>
          <w:rFonts w:ascii="Times New Roman" w:hAnsi="Times New Roman"/>
          <w:sz w:val="24"/>
          <w:szCs w:val="24"/>
        </w:rPr>
        <w:t>ublic Procurement and Disposal of Public Assets Act, 2003</w:t>
      </w:r>
      <w:r w:rsidR="005E05CB">
        <w:rPr>
          <w:rFonts w:ascii="Times New Roman" w:hAnsi="Times New Roman"/>
          <w:sz w:val="24"/>
          <w:szCs w:val="24"/>
        </w:rPr>
        <w:t xml:space="preserve"> as amended </w:t>
      </w:r>
      <w:r w:rsidR="00EA7C38">
        <w:rPr>
          <w:rFonts w:ascii="Times New Roman" w:hAnsi="Times New Roman"/>
          <w:sz w:val="24"/>
          <w:szCs w:val="24"/>
        </w:rPr>
        <w:t>(</w:t>
      </w:r>
      <w:r w:rsidR="00171432">
        <w:rPr>
          <w:rFonts w:ascii="Times New Roman" w:hAnsi="Times New Roman"/>
          <w:sz w:val="24"/>
          <w:szCs w:val="24"/>
        </w:rPr>
        <w:t xml:space="preserve"> the </w:t>
      </w:r>
      <w:r w:rsidR="00EA7C38">
        <w:rPr>
          <w:rFonts w:ascii="Times New Roman" w:hAnsi="Times New Roman"/>
          <w:sz w:val="24"/>
          <w:szCs w:val="24"/>
        </w:rPr>
        <w:t>PPDA Act)</w:t>
      </w:r>
      <w:r>
        <w:rPr>
          <w:rFonts w:ascii="Times New Roman" w:hAnsi="Times New Roman"/>
          <w:sz w:val="24"/>
          <w:szCs w:val="24"/>
        </w:rPr>
        <w:t xml:space="preserve"> by the </w:t>
      </w:r>
      <w:r w:rsidR="001A3742">
        <w:rPr>
          <w:rFonts w:ascii="Times New Roman" w:hAnsi="Times New Roman"/>
          <w:sz w:val="24"/>
          <w:szCs w:val="24"/>
        </w:rPr>
        <w:t>1</w:t>
      </w:r>
      <w:r w:rsidR="001A3742" w:rsidRPr="00453486">
        <w:rPr>
          <w:rFonts w:ascii="Times New Roman" w:hAnsi="Times New Roman"/>
          <w:sz w:val="24"/>
          <w:szCs w:val="24"/>
          <w:vertAlign w:val="superscript"/>
        </w:rPr>
        <w:t>st</w:t>
      </w:r>
      <w:r w:rsidR="001A3742">
        <w:rPr>
          <w:rFonts w:ascii="Times New Roman" w:hAnsi="Times New Roman"/>
          <w:sz w:val="24"/>
          <w:szCs w:val="24"/>
        </w:rPr>
        <w:t>, 2nd</w:t>
      </w:r>
      <w:r>
        <w:rPr>
          <w:rFonts w:ascii="Times New Roman" w:hAnsi="Times New Roman"/>
          <w:sz w:val="24"/>
          <w:szCs w:val="24"/>
        </w:rPr>
        <w:t xml:space="preserve"> and 3</w:t>
      </w:r>
      <w:r w:rsidRPr="0045348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Respondents</w:t>
      </w:r>
      <w:r w:rsidR="005E05CB">
        <w:rPr>
          <w:rFonts w:ascii="Times New Roman" w:hAnsi="Times New Roman"/>
          <w:sz w:val="24"/>
          <w:szCs w:val="24"/>
        </w:rPr>
        <w:t xml:space="preserve"> and violation of the Public Procurement and Disposal of Public Assets Regulations,</w:t>
      </w:r>
      <w:r w:rsidR="00DA12F8">
        <w:rPr>
          <w:rFonts w:ascii="Times New Roman" w:hAnsi="Times New Roman"/>
          <w:sz w:val="24"/>
          <w:szCs w:val="24"/>
        </w:rPr>
        <w:t xml:space="preserve"> </w:t>
      </w:r>
      <w:r w:rsidR="005E05CB">
        <w:rPr>
          <w:rFonts w:ascii="Times New Roman" w:hAnsi="Times New Roman"/>
          <w:sz w:val="24"/>
          <w:szCs w:val="24"/>
        </w:rPr>
        <w:t>2014   (</w:t>
      </w:r>
      <w:r w:rsidR="00171432">
        <w:rPr>
          <w:rFonts w:ascii="Times New Roman" w:hAnsi="Times New Roman"/>
          <w:sz w:val="24"/>
          <w:szCs w:val="24"/>
        </w:rPr>
        <w:t xml:space="preserve">the </w:t>
      </w:r>
      <w:r w:rsidR="005E05CB">
        <w:rPr>
          <w:rFonts w:ascii="Times New Roman" w:hAnsi="Times New Roman"/>
          <w:sz w:val="24"/>
          <w:szCs w:val="24"/>
        </w:rPr>
        <w:t xml:space="preserve">PPDA Regulations) </w:t>
      </w:r>
      <w:r>
        <w:rPr>
          <w:rFonts w:ascii="Times New Roman" w:hAnsi="Times New Roman"/>
          <w:sz w:val="24"/>
          <w:szCs w:val="24"/>
        </w:rPr>
        <w:t xml:space="preserve">when the </w:t>
      </w:r>
      <w:r w:rsidR="001A3742">
        <w:rPr>
          <w:rFonts w:ascii="Times New Roman" w:hAnsi="Times New Roman"/>
          <w:sz w:val="24"/>
          <w:szCs w:val="24"/>
        </w:rPr>
        <w:t>1</w:t>
      </w:r>
      <w:r w:rsidR="001A3742" w:rsidRPr="00453486">
        <w:rPr>
          <w:rFonts w:ascii="Times New Roman" w:hAnsi="Times New Roman"/>
          <w:sz w:val="24"/>
          <w:szCs w:val="24"/>
          <w:vertAlign w:val="superscript"/>
        </w:rPr>
        <w:t>st</w:t>
      </w:r>
      <w:r w:rsidR="001A3742">
        <w:rPr>
          <w:rFonts w:ascii="Times New Roman" w:hAnsi="Times New Roman"/>
          <w:sz w:val="24"/>
          <w:szCs w:val="24"/>
        </w:rPr>
        <w:t>, 2nd</w:t>
      </w:r>
      <w:r>
        <w:rPr>
          <w:rFonts w:ascii="Times New Roman" w:hAnsi="Times New Roman"/>
          <w:sz w:val="24"/>
          <w:szCs w:val="24"/>
        </w:rPr>
        <w:t xml:space="preserve"> and 3</w:t>
      </w:r>
      <w:r w:rsidRPr="0045348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Respondents connived to ensure that the Applicant is excluded from the bidding process for the </w:t>
      </w:r>
      <w:r w:rsidR="001A3742">
        <w:rPr>
          <w:rFonts w:ascii="Times New Roman" w:hAnsi="Times New Roman"/>
          <w:sz w:val="24"/>
          <w:szCs w:val="24"/>
        </w:rPr>
        <w:t>construction of</w:t>
      </w:r>
      <w:r>
        <w:rPr>
          <w:rFonts w:ascii="Times New Roman" w:hAnsi="Times New Roman"/>
          <w:sz w:val="24"/>
          <w:szCs w:val="24"/>
        </w:rPr>
        <w:t xml:space="preserve"> the new Parliamentary Chambers.</w:t>
      </w:r>
    </w:p>
    <w:p w:rsidR="009D15C7" w:rsidRPr="001B33B3" w:rsidRDefault="009D15C7" w:rsidP="009D15C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15C7" w:rsidRPr="00171432" w:rsidRDefault="00781392" w:rsidP="0017143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1</w:t>
      </w:r>
      <w:r w:rsidRPr="00781392">
        <w:rPr>
          <w:rFonts w:ascii="Times New Roman" w:hAnsi="Times New Roman"/>
          <w:sz w:val="24"/>
          <w:szCs w:val="24"/>
          <w:vertAlign w:val="superscript"/>
        </w:rPr>
        <w:t>st</w:t>
      </w:r>
      <w:r w:rsidR="006861C7">
        <w:rPr>
          <w:rFonts w:ascii="Times New Roman" w:hAnsi="Times New Roman"/>
          <w:sz w:val="24"/>
          <w:szCs w:val="24"/>
        </w:rPr>
        <w:t>, 2</w:t>
      </w:r>
      <w:r w:rsidR="006861C7" w:rsidRPr="006861C7">
        <w:rPr>
          <w:rFonts w:ascii="Times New Roman" w:hAnsi="Times New Roman"/>
          <w:sz w:val="24"/>
          <w:szCs w:val="24"/>
          <w:vertAlign w:val="superscript"/>
        </w:rPr>
        <w:t>nd</w:t>
      </w:r>
      <w:r w:rsidR="006861C7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8139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Respondents argued that in all their actions, they had basis in law. They cite</w:t>
      </w:r>
      <w:r w:rsidR="00720616">
        <w:rPr>
          <w:rFonts w:ascii="Times New Roman" w:hAnsi="Times New Roman"/>
          <w:sz w:val="24"/>
          <w:szCs w:val="24"/>
        </w:rPr>
        <w:t xml:space="preserve"> sections of the PPDA Act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71432">
        <w:rPr>
          <w:rFonts w:ascii="Times New Roman" w:hAnsi="Times New Roman"/>
          <w:sz w:val="24"/>
          <w:szCs w:val="24"/>
        </w:rPr>
        <w:t>Regulations</w:t>
      </w:r>
      <w:r w:rsidR="001A3742" w:rsidRPr="00171432">
        <w:rPr>
          <w:rFonts w:ascii="Times New Roman" w:hAnsi="Times New Roman"/>
          <w:sz w:val="24"/>
          <w:szCs w:val="24"/>
        </w:rPr>
        <w:t xml:space="preserve"> for this</w:t>
      </w:r>
      <w:r w:rsidR="006861C7" w:rsidRPr="00171432">
        <w:rPr>
          <w:rFonts w:ascii="Times New Roman" w:hAnsi="Times New Roman"/>
          <w:sz w:val="24"/>
          <w:szCs w:val="24"/>
        </w:rPr>
        <w:t>.</w:t>
      </w:r>
      <w:r w:rsidRPr="00171432">
        <w:rPr>
          <w:rFonts w:ascii="Times New Roman" w:hAnsi="Times New Roman"/>
          <w:sz w:val="24"/>
          <w:szCs w:val="24"/>
        </w:rPr>
        <w:t xml:space="preserve"> </w:t>
      </w:r>
    </w:p>
    <w:p w:rsidR="009D15C7" w:rsidRDefault="009D15C7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5C7" w:rsidRDefault="001A3742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 </w:t>
      </w:r>
      <w:r w:rsidR="009D15C7" w:rsidRPr="00753BF5">
        <w:rPr>
          <w:rFonts w:ascii="Times New Roman" w:hAnsi="Times New Roman"/>
          <w:b/>
          <w:sz w:val="24"/>
          <w:szCs w:val="24"/>
        </w:rPr>
        <w:t>Analysis</w:t>
      </w:r>
    </w:p>
    <w:p w:rsidR="009D15C7" w:rsidRPr="00753BF5" w:rsidRDefault="009D15C7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5C7" w:rsidRPr="00DA12F8" w:rsidRDefault="00DA12F8" w:rsidP="00DA12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</w:t>
      </w:r>
      <w:r w:rsidR="006861C7">
        <w:rPr>
          <w:rFonts w:ascii="Times New Roman" w:hAnsi="Times New Roman"/>
          <w:sz w:val="24"/>
          <w:szCs w:val="24"/>
        </w:rPr>
        <w:t xml:space="preserve">t is hard for me to say that the Applicant has </w:t>
      </w:r>
      <w:r w:rsidR="002727DF">
        <w:rPr>
          <w:rFonts w:ascii="Times New Roman" w:hAnsi="Times New Roman"/>
          <w:sz w:val="24"/>
          <w:szCs w:val="24"/>
        </w:rPr>
        <w:t>a prima facie case with high chances of success</w:t>
      </w:r>
      <w:r>
        <w:rPr>
          <w:rFonts w:ascii="Times New Roman" w:hAnsi="Times New Roman"/>
          <w:sz w:val="24"/>
          <w:szCs w:val="24"/>
        </w:rPr>
        <w:t xml:space="preserve"> when it fails to demonstrate </w:t>
      </w:r>
      <w:r w:rsidR="00171432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 xml:space="preserve">violations of the </w:t>
      </w:r>
      <w:r w:rsidR="001714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aw as it claims.</w:t>
      </w:r>
      <w:r w:rsidRPr="00DA12F8">
        <w:rPr>
          <w:rFonts w:ascii="Times New Roman" w:hAnsi="Times New Roman"/>
          <w:sz w:val="24"/>
          <w:szCs w:val="24"/>
        </w:rPr>
        <w:t xml:space="preserve"> The</w:t>
      </w:r>
      <w:r w:rsidR="002727DF" w:rsidRPr="00DA12F8">
        <w:rPr>
          <w:rFonts w:ascii="Times New Roman" w:hAnsi="Times New Roman"/>
          <w:sz w:val="24"/>
          <w:szCs w:val="24"/>
        </w:rPr>
        <w:t xml:space="preserve"> plethora of jurisprudence from this court and courts above demonstrates that violations of fair hearing rights</w:t>
      </w:r>
      <w:r w:rsidR="00171432">
        <w:rPr>
          <w:rFonts w:ascii="Times New Roman" w:hAnsi="Times New Roman"/>
          <w:sz w:val="24"/>
          <w:szCs w:val="24"/>
        </w:rPr>
        <w:t xml:space="preserve"> like the one that the Applicant claims</w:t>
      </w:r>
      <w:r w:rsidR="002727DF" w:rsidRPr="00DA12F8">
        <w:rPr>
          <w:rFonts w:ascii="Times New Roman" w:hAnsi="Times New Roman"/>
          <w:sz w:val="24"/>
          <w:szCs w:val="24"/>
        </w:rPr>
        <w:t xml:space="preserve"> can be </w:t>
      </w:r>
      <w:r w:rsidR="00F36065" w:rsidRPr="00DA12F8">
        <w:rPr>
          <w:rFonts w:ascii="Times New Roman" w:hAnsi="Times New Roman"/>
          <w:sz w:val="24"/>
          <w:szCs w:val="24"/>
        </w:rPr>
        <w:t>atoned in d</w:t>
      </w:r>
      <w:r w:rsidR="001A3742" w:rsidRPr="00DA12F8">
        <w:rPr>
          <w:rFonts w:ascii="Times New Roman" w:hAnsi="Times New Roman"/>
          <w:sz w:val="24"/>
          <w:szCs w:val="24"/>
        </w:rPr>
        <w:t xml:space="preserve">amages. Mindful that this is a </w:t>
      </w:r>
      <w:r w:rsidRPr="00DA12F8">
        <w:rPr>
          <w:rFonts w:ascii="Times New Roman" w:hAnsi="Times New Roman"/>
          <w:sz w:val="24"/>
          <w:szCs w:val="24"/>
        </w:rPr>
        <w:lastRenderedPageBreak/>
        <w:t>judicial</w:t>
      </w:r>
      <w:r>
        <w:rPr>
          <w:rFonts w:ascii="Times New Roman" w:hAnsi="Times New Roman"/>
          <w:sz w:val="24"/>
          <w:szCs w:val="24"/>
        </w:rPr>
        <w:t xml:space="preserve"> review application </w:t>
      </w:r>
      <w:r w:rsidR="00F36065" w:rsidRPr="00DA12F8">
        <w:rPr>
          <w:rFonts w:ascii="Times New Roman" w:hAnsi="Times New Roman"/>
          <w:sz w:val="24"/>
          <w:szCs w:val="24"/>
        </w:rPr>
        <w:t xml:space="preserve">and having labored extra to </w:t>
      </w:r>
      <w:r w:rsidR="00D73A03" w:rsidRPr="00DA12F8">
        <w:rPr>
          <w:rFonts w:ascii="Times New Roman" w:hAnsi="Times New Roman"/>
          <w:sz w:val="24"/>
          <w:szCs w:val="24"/>
        </w:rPr>
        <w:t xml:space="preserve">appreciate the arguments of the Applicant here, I am not satisfied at all that the Applicant, which is a </w:t>
      </w:r>
      <w:r w:rsidRPr="00DA12F8">
        <w:rPr>
          <w:rFonts w:ascii="Times New Roman" w:hAnsi="Times New Roman"/>
          <w:sz w:val="24"/>
          <w:szCs w:val="24"/>
        </w:rPr>
        <w:t>company,</w:t>
      </w:r>
      <w:r w:rsidR="00D73A03" w:rsidRPr="00DA12F8">
        <w:rPr>
          <w:rFonts w:ascii="Times New Roman" w:hAnsi="Times New Roman"/>
          <w:sz w:val="24"/>
          <w:szCs w:val="24"/>
        </w:rPr>
        <w:t xml:space="preserve"> </w:t>
      </w:r>
      <w:r w:rsidR="001268C9" w:rsidRPr="00DA12F8">
        <w:rPr>
          <w:rFonts w:ascii="Times New Roman" w:hAnsi="Times New Roman"/>
          <w:sz w:val="24"/>
          <w:szCs w:val="24"/>
        </w:rPr>
        <w:t>stands to suffer irreparable loss if the injunction is denied.</w:t>
      </w:r>
      <w:r w:rsidR="00D73A03" w:rsidRPr="00DA12F8">
        <w:rPr>
          <w:rFonts w:ascii="Times New Roman" w:hAnsi="Times New Roman"/>
          <w:sz w:val="24"/>
          <w:szCs w:val="24"/>
        </w:rPr>
        <w:t xml:space="preserve">  </w:t>
      </w:r>
    </w:p>
    <w:p w:rsidR="009D15C7" w:rsidRPr="001B33B3" w:rsidRDefault="009D15C7" w:rsidP="009D15C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9D15C7" w:rsidRPr="000D6DE5" w:rsidRDefault="001268C9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fact, I am more inclined to consider that the Appli</w:t>
      </w:r>
      <w:r w:rsidR="0000099E">
        <w:rPr>
          <w:rFonts w:ascii="Times New Roman" w:hAnsi="Times New Roman"/>
          <w:sz w:val="24"/>
          <w:szCs w:val="24"/>
        </w:rPr>
        <w:t>cant c</w:t>
      </w:r>
      <w:r w:rsidR="00DA12F8">
        <w:rPr>
          <w:rFonts w:ascii="Times New Roman" w:hAnsi="Times New Roman"/>
          <w:sz w:val="24"/>
          <w:szCs w:val="24"/>
        </w:rPr>
        <w:t>an be atoned in damages if the j</w:t>
      </w:r>
      <w:r w:rsidR="0000099E">
        <w:rPr>
          <w:rFonts w:ascii="Times New Roman" w:hAnsi="Times New Roman"/>
          <w:sz w:val="24"/>
          <w:szCs w:val="24"/>
        </w:rPr>
        <w:t>udicial review application succeeded. Besides the argument that its reputational damage cannot be atoned cannot stand on its own if the prima facie case is not established.</w:t>
      </w:r>
    </w:p>
    <w:p w:rsidR="000D6DE5" w:rsidRPr="000D6DE5" w:rsidRDefault="000D6DE5" w:rsidP="000D6D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D6DE5" w:rsidRPr="000D6DE5" w:rsidRDefault="000D6DE5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DE5">
        <w:rPr>
          <w:rFonts w:ascii="Times New Roman" w:hAnsi="Times New Roman"/>
          <w:sz w:val="24"/>
          <w:szCs w:val="24"/>
        </w:rPr>
        <w:t>I will</w:t>
      </w:r>
      <w:r>
        <w:rPr>
          <w:rFonts w:ascii="Times New Roman" w:hAnsi="Times New Roman"/>
          <w:sz w:val="24"/>
          <w:szCs w:val="24"/>
        </w:rPr>
        <w:t xml:space="preserve"> </w:t>
      </w:r>
      <w:r w:rsidR="00171432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>consider the balance of convenience in this case. First of all I wish to say</w:t>
      </w:r>
      <w:r w:rsidR="00171432">
        <w:rPr>
          <w:rFonts w:ascii="Times New Roman" w:hAnsi="Times New Roman"/>
          <w:sz w:val="24"/>
          <w:szCs w:val="24"/>
        </w:rPr>
        <w:t xml:space="preserve"> with all due respect</w:t>
      </w:r>
      <w:r>
        <w:rPr>
          <w:rFonts w:ascii="Times New Roman" w:hAnsi="Times New Roman"/>
          <w:sz w:val="24"/>
          <w:szCs w:val="24"/>
        </w:rPr>
        <w:t xml:space="preserve"> that the argument by Mr.</w:t>
      </w:r>
      <w:r w:rsidR="00DA1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Kirunda for the 1</w:t>
      </w:r>
      <w:r w:rsidRPr="000D6DE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2</w:t>
      </w:r>
      <w:r w:rsidRPr="000D6D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Respondents that allowing this application would disenfranchise</w:t>
      </w:r>
      <w:r w:rsidR="00D47DF0">
        <w:rPr>
          <w:rFonts w:ascii="Times New Roman" w:hAnsi="Times New Roman"/>
          <w:sz w:val="24"/>
          <w:szCs w:val="24"/>
        </w:rPr>
        <w:t xml:space="preserve"> </w:t>
      </w:r>
      <w:r w:rsidR="0029675A">
        <w:rPr>
          <w:rFonts w:ascii="Times New Roman" w:hAnsi="Times New Roman"/>
          <w:sz w:val="24"/>
          <w:szCs w:val="24"/>
        </w:rPr>
        <w:t>some constitu</w:t>
      </w:r>
      <w:r w:rsidR="00DA12F8">
        <w:rPr>
          <w:rFonts w:ascii="Times New Roman" w:hAnsi="Times New Roman"/>
          <w:sz w:val="24"/>
          <w:szCs w:val="24"/>
        </w:rPr>
        <w:t>encies in this country is an un</w:t>
      </w:r>
      <w:r w:rsidR="0029675A">
        <w:rPr>
          <w:rFonts w:ascii="Times New Roman" w:hAnsi="Times New Roman"/>
          <w:sz w:val="24"/>
          <w:szCs w:val="24"/>
        </w:rPr>
        <w:t>necessary exa</w:t>
      </w:r>
      <w:r w:rsidR="00DA12F8">
        <w:rPr>
          <w:rFonts w:ascii="Times New Roman" w:hAnsi="Times New Roman"/>
          <w:sz w:val="24"/>
          <w:szCs w:val="24"/>
        </w:rPr>
        <w:t>ggeration of the issues at hand.</w:t>
      </w:r>
    </w:p>
    <w:p w:rsidR="009D15C7" w:rsidRPr="00914990" w:rsidRDefault="009D15C7" w:rsidP="009D15C7">
      <w:pPr>
        <w:pStyle w:val="ListParagraph"/>
        <w:tabs>
          <w:tab w:val="left" w:pos="3152"/>
        </w:tabs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14990">
        <w:rPr>
          <w:rFonts w:ascii="Times New Roman" w:eastAsia="Times New Roman" w:hAnsi="Times New Roman"/>
          <w:i/>
          <w:sz w:val="24"/>
          <w:szCs w:val="24"/>
        </w:rPr>
        <w:tab/>
      </w:r>
    </w:p>
    <w:p w:rsidR="009D15C7" w:rsidRPr="008C5740" w:rsidRDefault="0029675A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that as it may, if the application is allowed, it would have the effect of denying the 3</w:t>
      </w:r>
      <w:r w:rsidRPr="0029675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Respondent </w:t>
      </w:r>
      <w:r w:rsidR="00DA12F8">
        <w:rPr>
          <w:rFonts w:ascii="Times New Roman" w:hAnsi="Times New Roman"/>
          <w:sz w:val="24"/>
          <w:szCs w:val="24"/>
        </w:rPr>
        <w:t>its s</w:t>
      </w:r>
      <w:r w:rsidR="004427F4">
        <w:rPr>
          <w:rFonts w:ascii="Times New Roman" w:hAnsi="Times New Roman"/>
          <w:sz w:val="24"/>
          <w:szCs w:val="24"/>
        </w:rPr>
        <w:t xml:space="preserve">tatutory mandate in the national procurement process; of </w:t>
      </w:r>
      <w:r w:rsidR="00D47DF0">
        <w:rPr>
          <w:rFonts w:ascii="Times New Roman" w:hAnsi="Times New Roman"/>
          <w:sz w:val="24"/>
          <w:szCs w:val="24"/>
        </w:rPr>
        <w:t>investigating wrong doing in this</w:t>
      </w:r>
      <w:r w:rsidR="004427F4">
        <w:rPr>
          <w:rFonts w:ascii="Times New Roman" w:hAnsi="Times New Roman"/>
          <w:sz w:val="24"/>
          <w:szCs w:val="24"/>
        </w:rPr>
        <w:t xml:space="preserve"> process and ensuring that procurement laws are followed. This task is vested with the 3</w:t>
      </w:r>
      <w:r w:rsidR="004427F4" w:rsidRPr="004427F4">
        <w:rPr>
          <w:rFonts w:ascii="Times New Roman" w:hAnsi="Times New Roman"/>
          <w:sz w:val="24"/>
          <w:szCs w:val="24"/>
          <w:vertAlign w:val="superscript"/>
        </w:rPr>
        <w:t>rd</w:t>
      </w:r>
      <w:r w:rsidR="004427F4">
        <w:rPr>
          <w:rFonts w:ascii="Times New Roman" w:hAnsi="Times New Roman"/>
          <w:sz w:val="24"/>
          <w:szCs w:val="24"/>
        </w:rPr>
        <w:t xml:space="preserve"> Respondent and I find no justifiable reason to put it on hold.</w:t>
      </w:r>
    </w:p>
    <w:p w:rsidR="009D15C7" w:rsidRPr="003914CE" w:rsidRDefault="009D15C7" w:rsidP="009D15C7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D15C7" w:rsidRPr="00BA5436" w:rsidRDefault="004427F4" w:rsidP="00BA54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the 1</w:t>
      </w:r>
      <w:r w:rsidRPr="004427F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2</w:t>
      </w:r>
      <w:r w:rsidRPr="004427F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Respo</w:t>
      </w:r>
      <w:r w:rsidR="00F3039E">
        <w:rPr>
          <w:rFonts w:ascii="Times New Roman" w:hAnsi="Times New Roman"/>
          <w:sz w:val="24"/>
          <w:szCs w:val="24"/>
        </w:rPr>
        <w:t>ndent</w:t>
      </w:r>
      <w:r w:rsidR="00DA12F8">
        <w:rPr>
          <w:rFonts w:ascii="Times New Roman" w:hAnsi="Times New Roman"/>
          <w:sz w:val="24"/>
          <w:szCs w:val="24"/>
        </w:rPr>
        <w:t>s</w:t>
      </w:r>
      <w:r w:rsidR="00F3039E">
        <w:rPr>
          <w:rFonts w:ascii="Times New Roman" w:hAnsi="Times New Roman"/>
          <w:sz w:val="24"/>
          <w:szCs w:val="24"/>
        </w:rPr>
        <w:t xml:space="preserve"> argued that it was not disputed that if the application is allowed, there is a fear of the money allocated for the </w:t>
      </w:r>
      <w:r w:rsidR="0021085C">
        <w:rPr>
          <w:rFonts w:ascii="Times New Roman" w:hAnsi="Times New Roman"/>
          <w:sz w:val="24"/>
          <w:szCs w:val="24"/>
        </w:rPr>
        <w:t>chambers’ construction</w:t>
      </w:r>
      <w:r w:rsidR="00F3039E">
        <w:rPr>
          <w:rFonts w:ascii="Times New Roman" w:hAnsi="Times New Roman"/>
          <w:sz w:val="24"/>
          <w:szCs w:val="24"/>
        </w:rPr>
        <w:t xml:space="preserve"> project</w:t>
      </w:r>
      <w:r w:rsidR="00DA12F8">
        <w:rPr>
          <w:rFonts w:ascii="Times New Roman" w:hAnsi="Times New Roman"/>
          <w:sz w:val="24"/>
          <w:szCs w:val="24"/>
        </w:rPr>
        <w:t xml:space="preserve"> in issue</w:t>
      </w:r>
      <w:r w:rsidR="00F3039E">
        <w:rPr>
          <w:rFonts w:ascii="Times New Roman" w:hAnsi="Times New Roman"/>
          <w:sz w:val="24"/>
          <w:szCs w:val="24"/>
        </w:rPr>
        <w:t xml:space="preserve"> being recalled </w:t>
      </w:r>
      <w:r w:rsidR="00BA5436">
        <w:rPr>
          <w:rFonts w:ascii="Times New Roman" w:hAnsi="Times New Roman"/>
          <w:sz w:val="24"/>
          <w:szCs w:val="24"/>
        </w:rPr>
        <w:t xml:space="preserve">if </w:t>
      </w:r>
      <w:r w:rsidR="00F3039E">
        <w:rPr>
          <w:rFonts w:ascii="Times New Roman" w:hAnsi="Times New Roman"/>
          <w:sz w:val="24"/>
          <w:szCs w:val="24"/>
        </w:rPr>
        <w:t xml:space="preserve">it is not completed within 36 months from August 2016. At the time of </w:t>
      </w:r>
      <w:r w:rsidR="00DA12F8">
        <w:rPr>
          <w:rFonts w:ascii="Times New Roman" w:hAnsi="Times New Roman"/>
          <w:sz w:val="24"/>
          <w:szCs w:val="24"/>
        </w:rPr>
        <w:t xml:space="preserve">this hearing and </w:t>
      </w:r>
      <w:r w:rsidR="00F3039E">
        <w:rPr>
          <w:rFonts w:ascii="Times New Roman" w:hAnsi="Times New Roman"/>
          <w:sz w:val="24"/>
          <w:szCs w:val="24"/>
        </w:rPr>
        <w:t xml:space="preserve">ruling, over 3 months have been </w:t>
      </w:r>
      <w:r w:rsidR="00FF4B94">
        <w:rPr>
          <w:rFonts w:ascii="Times New Roman" w:hAnsi="Times New Roman"/>
          <w:sz w:val="24"/>
          <w:szCs w:val="24"/>
        </w:rPr>
        <w:t>wasted.</w:t>
      </w:r>
      <w:r w:rsidR="00FF4B94" w:rsidRPr="00BA5436">
        <w:rPr>
          <w:rFonts w:ascii="Times New Roman" w:hAnsi="Times New Roman"/>
          <w:bCs/>
          <w:sz w:val="24"/>
          <w:szCs w:val="24"/>
        </w:rPr>
        <w:t xml:space="preserve"> Counsel</w:t>
      </w:r>
      <w:r w:rsidR="00F3039E" w:rsidRPr="00BA5436">
        <w:rPr>
          <w:rFonts w:ascii="Times New Roman" w:hAnsi="Times New Roman"/>
          <w:bCs/>
          <w:sz w:val="24"/>
          <w:szCs w:val="24"/>
        </w:rPr>
        <w:t xml:space="preserve"> also submits that</w:t>
      </w:r>
      <w:r w:rsidR="00DA12F8">
        <w:rPr>
          <w:rFonts w:ascii="Times New Roman" w:hAnsi="Times New Roman"/>
          <w:bCs/>
          <w:sz w:val="24"/>
          <w:szCs w:val="24"/>
        </w:rPr>
        <w:t xml:space="preserve"> apart</w:t>
      </w:r>
      <w:r w:rsidR="00F3039E" w:rsidRPr="00BA5436">
        <w:rPr>
          <w:rFonts w:ascii="Times New Roman" w:hAnsi="Times New Roman"/>
          <w:bCs/>
          <w:sz w:val="24"/>
          <w:szCs w:val="24"/>
        </w:rPr>
        <w:t xml:space="preserve"> from the 500,000</w:t>
      </w:r>
      <w:r w:rsidR="0021085C">
        <w:rPr>
          <w:rFonts w:ascii="Times New Roman" w:hAnsi="Times New Roman"/>
          <w:bCs/>
          <w:sz w:val="24"/>
          <w:szCs w:val="24"/>
        </w:rPr>
        <w:t>/= non</w:t>
      </w:r>
      <w:r w:rsidR="00BA5436" w:rsidRPr="00BA5436">
        <w:rPr>
          <w:rFonts w:ascii="Times New Roman" w:hAnsi="Times New Roman"/>
          <w:bCs/>
          <w:sz w:val="24"/>
          <w:szCs w:val="24"/>
        </w:rPr>
        <w:t>-refundable fee paid, all other monies like security fee, paid by the Applicant get to be refunded.</w:t>
      </w:r>
    </w:p>
    <w:p w:rsidR="009D15C7" w:rsidRPr="005D1B1D" w:rsidRDefault="009D15C7" w:rsidP="009D15C7">
      <w:pPr>
        <w:pStyle w:val="ListParagraph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D15C7" w:rsidRPr="00E15A59" w:rsidRDefault="00DA12F8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Applicant</w:t>
      </w:r>
      <w:r w:rsidR="0021085C">
        <w:rPr>
          <w:rFonts w:ascii="Times New Roman" w:hAnsi="Times New Roman"/>
          <w:bCs/>
          <w:sz w:val="24"/>
          <w:szCs w:val="24"/>
        </w:rPr>
        <w:t xml:space="preserve"> C</w:t>
      </w:r>
      <w:r w:rsidR="00BA5436">
        <w:rPr>
          <w:rFonts w:ascii="Times New Roman" w:hAnsi="Times New Roman"/>
          <w:bCs/>
          <w:sz w:val="24"/>
          <w:szCs w:val="24"/>
        </w:rPr>
        <w:t>ounsel makes vehement allegations of connivance between the 1</w:t>
      </w:r>
      <w:r w:rsidR="00BA5436" w:rsidRPr="00BA5436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8D7E78">
        <w:rPr>
          <w:rFonts w:ascii="Times New Roman" w:hAnsi="Times New Roman"/>
          <w:bCs/>
          <w:sz w:val="24"/>
          <w:szCs w:val="24"/>
        </w:rPr>
        <w:t>, 2</w:t>
      </w:r>
      <w:r w:rsidR="008D7E78" w:rsidRPr="008D7E78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8D7E78">
        <w:rPr>
          <w:rFonts w:ascii="Times New Roman" w:hAnsi="Times New Roman"/>
          <w:bCs/>
          <w:sz w:val="24"/>
          <w:szCs w:val="24"/>
        </w:rPr>
        <w:t xml:space="preserve"> </w:t>
      </w:r>
      <w:r w:rsidR="00BA5436">
        <w:rPr>
          <w:rFonts w:ascii="Times New Roman" w:hAnsi="Times New Roman"/>
          <w:bCs/>
          <w:sz w:val="24"/>
          <w:szCs w:val="24"/>
        </w:rPr>
        <w:t xml:space="preserve"> and 3</w:t>
      </w:r>
      <w:r w:rsidR="00BA5436" w:rsidRPr="00BA5436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BA5436">
        <w:rPr>
          <w:rFonts w:ascii="Times New Roman" w:hAnsi="Times New Roman"/>
          <w:bCs/>
          <w:sz w:val="24"/>
          <w:szCs w:val="24"/>
        </w:rPr>
        <w:t xml:space="preserve"> Respondents but considering they found all their actions under the law</w:t>
      </w:r>
      <w:r w:rsidR="00770AC5">
        <w:rPr>
          <w:rFonts w:ascii="Times New Roman" w:hAnsi="Times New Roman"/>
          <w:bCs/>
          <w:sz w:val="24"/>
          <w:szCs w:val="24"/>
        </w:rPr>
        <w:t>, it is so hard to attach much value to the</w:t>
      </w:r>
      <w:r w:rsidR="00171432">
        <w:rPr>
          <w:rFonts w:ascii="Times New Roman" w:hAnsi="Times New Roman"/>
          <w:bCs/>
          <w:sz w:val="24"/>
          <w:szCs w:val="24"/>
        </w:rPr>
        <w:t>se allegations</w:t>
      </w:r>
      <w:r w:rsidR="00770AC5">
        <w:rPr>
          <w:rFonts w:ascii="Times New Roman" w:hAnsi="Times New Roman"/>
          <w:bCs/>
          <w:sz w:val="24"/>
          <w:szCs w:val="24"/>
        </w:rPr>
        <w:t xml:space="preserve"> at this stage.</w:t>
      </w:r>
    </w:p>
    <w:p w:rsidR="009D15C7" w:rsidRDefault="009D15C7" w:rsidP="009D15C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5C7" w:rsidRPr="00770AC5" w:rsidRDefault="00770AC5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So in weighing whether to allow the application and stall the construction</w:t>
      </w:r>
      <w:r w:rsidR="00DA12F8">
        <w:rPr>
          <w:rFonts w:ascii="Times New Roman" w:hAnsi="Times New Roman"/>
          <w:bCs/>
          <w:sz w:val="24"/>
          <w:szCs w:val="24"/>
        </w:rPr>
        <w:t xml:space="preserve"> of the parliamentary chambers </w:t>
      </w:r>
      <w:r>
        <w:rPr>
          <w:rFonts w:ascii="Times New Roman" w:hAnsi="Times New Roman"/>
          <w:bCs/>
          <w:sz w:val="24"/>
          <w:szCs w:val="24"/>
        </w:rPr>
        <w:t>or disallow the application so that the said construction can commence</w:t>
      </w:r>
      <w:r w:rsidR="00FF4B94">
        <w:rPr>
          <w:rFonts w:ascii="Times New Roman" w:hAnsi="Times New Roman"/>
          <w:bCs/>
          <w:sz w:val="24"/>
          <w:szCs w:val="24"/>
        </w:rPr>
        <w:t>, based on all the above, I am more inclined to deny the application.</w:t>
      </w:r>
    </w:p>
    <w:p w:rsidR="00770AC5" w:rsidRPr="00770AC5" w:rsidRDefault="00770AC5" w:rsidP="00770AC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770AC5" w:rsidRPr="00770AC5" w:rsidRDefault="00FF4B94" w:rsidP="00770AC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="00D47DF0">
        <w:rPr>
          <w:rFonts w:ascii="Times New Roman" w:hAnsi="Times New Roman"/>
          <w:b/>
          <w:bCs/>
          <w:sz w:val="24"/>
          <w:szCs w:val="24"/>
        </w:rPr>
        <w:t>Conclusion</w:t>
      </w:r>
    </w:p>
    <w:p w:rsidR="009D15C7" w:rsidRDefault="009D15C7" w:rsidP="009D15C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D15C7" w:rsidRDefault="00FF4B94" w:rsidP="009D15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Accordingly the application is denied. Each party shall bear its own costs.</w:t>
      </w:r>
    </w:p>
    <w:p w:rsidR="00647969" w:rsidRDefault="00647969" w:rsidP="009D15C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15C7" w:rsidRPr="006166BD" w:rsidRDefault="009D15C7" w:rsidP="009D15C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5A59">
        <w:rPr>
          <w:rFonts w:ascii="Times New Roman" w:hAnsi="Times New Roman"/>
          <w:bCs/>
          <w:sz w:val="24"/>
          <w:szCs w:val="24"/>
        </w:rPr>
        <w:t>I so order</w:t>
      </w:r>
    </w:p>
    <w:p w:rsidR="009D15C7" w:rsidRDefault="009D15C7" w:rsidP="009D1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5C7" w:rsidRDefault="009D15C7" w:rsidP="009D1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5C7" w:rsidRPr="00E15A59" w:rsidRDefault="009D15C7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5A59">
        <w:rPr>
          <w:rFonts w:ascii="Times New Roman" w:hAnsi="Times New Roman"/>
          <w:b/>
          <w:sz w:val="24"/>
          <w:szCs w:val="24"/>
        </w:rPr>
        <w:t>LYDIA MUGAMBE</w:t>
      </w:r>
    </w:p>
    <w:p w:rsidR="009D15C7" w:rsidRPr="00E15A59" w:rsidRDefault="009D15C7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A59">
        <w:rPr>
          <w:rFonts w:ascii="Times New Roman" w:hAnsi="Times New Roman"/>
          <w:b/>
          <w:sz w:val="24"/>
          <w:szCs w:val="24"/>
        </w:rPr>
        <w:t xml:space="preserve"> JUDGE</w:t>
      </w:r>
    </w:p>
    <w:p w:rsidR="009D15C7" w:rsidRPr="006166BD" w:rsidRDefault="00FF4B94" w:rsidP="009D15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D15C7">
        <w:rPr>
          <w:rFonts w:ascii="Times New Roman" w:hAnsi="Times New Roman"/>
          <w:b/>
          <w:sz w:val="24"/>
          <w:szCs w:val="24"/>
        </w:rPr>
        <w:t>/11/2016</w:t>
      </w:r>
    </w:p>
    <w:p w:rsidR="006D1034" w:rsidRDefault="006D1034"/>
    <w:sectPr w:rsidR="006D1034" w:rsidSect="004534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39" w:rsidRDefault="00AF3639" w:rsidP="00244DFA">
      <w:pPr>
        <w:spacing w:after="0" w:line="240" w:lineRule="auto"/>
      </w:pPr>
      <w:r>
        <w:separator/>
      </w:r>
    </w:p>
  </w:endnote>
  <w:endnote w:type="continuationSeparator" w:id="0">
    <w:p w:rsidR="00AF3639" w:rsidRDefault="00AF3639" w:rsidP="0024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747"/>
      <w:docPartObj>
        <w:docPartGallery w:val="Page Numbers (Bottom of Page)"/>
        <w:docPartUnique/>
      </w:docPartObj>
    </w:sdtPr>
    <w:sdtEndPr/>
    <w:sdtContent>
      <w:p w:rsidR="00770AC5" w:rsidRDefault="00AF3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AC5" w:rsidRDefault="0077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39" w:rsidRDefault="00AF3639" w:rsidP="00244DFA">
      <w:pPr>
        <w:spacing w:after="0" w:line="240" w:lineRule="auto"/>
      </w:pPr>
      <w:r>
        <w:separator/>
      </w:r>
    </w:p>
  </w:footnote>
  <w:footnote w:type="continuationSeparator" w:id="0">
    <w:p w:rsidR="00AF3639" w:rsidRDefault="00AF3639" w:rsidP="0024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AD4"/>
    <w:multiLevelType w:val="hybridMultilevel"/>
    <w:tmpl w:val="8D1E1B76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ED5AEB"/>
    <w:multiLevelType w:val="hybridMultilevel"/>
    <w:tmpl w:val="7512946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78E1"/>
    <w:multiLevelType w:val="hybridMultilevel"/>
    <w:tmpl w:val="3B9651CC"/>
    <w:lvl w:ilvl="0" w:tplc="4E324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0F7102A"/>
    <w:multiLevelType w:val="hybridMultilevel"/>
    <w:tmpl w:val="A6CEB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C7"/>
    <w:rsid w:val="0000099E"/>
    <w:rsid w:val="000D6DE5"/>
    <w:rsid w:val="001268C9"/>
    <w:rsid w:val="00171432"/>
    <w:rsid w:val="001A3742"/>
    <w:rsid w:val="0021085C"/>
    <w:rsid w:val="00244DFA"/>
    <w:rsid w:val="002727DF"/>
    <w:rsid w:val="00273B40"/>
    <w:rsid w:val="0029675A"/>
    <w:rsid w:val="00432C68"/>
    <w:rsid w:val="004427F4"/>
    <w:rsid w:val="00447A6F"/>
    <w:rsid w:val="00453486"/>
    <w:rsid w:val="005E05CB"/>
    <w:rsid w:val="00647969"/>
    <w:rsid w:val="006861C7"/>
    <w:rsid w:val="006A7ACE"/>
    <w:rsid w:val="006D1034"/>
    <w:rsid w:val="00700115"/>
    <w:rsid w:val="00720616"/>
    <w:rsid w:val="00770AC5"/>
    <w:rsid w:val="00781392"/>
    <w:rsid w:val="00792FA4"/>
    <w:rsid w:val="008D7E78"/>
    <w:rsid w:val="00940D1E"/>
    <w:rsid w:val="009D15C7"/>
    <w:rsid w:val="00AF3639"/>
    <w:rsid w:val="00B2055A"/>
    <w:rsid w:val="00BA5436"/>
    <w:rsid w:val="00C137DD"/>
    <w:rsid w:val="00CB3C5F"/>
    <w:rsid w:val="00CD79E1"/>
    <w:rsid w:val="00D217EE"/>
    <w:rsid w:val="00D47DF0"/>
    <w:rsid w:val="00D73A03"/>
    <w:rsid w:val="00DA12F8"/>
    <w:rsid w:val="00DB6BD2"/>
    <w:rsid w:val="00E313AD"/>
    <w:rsid w:val="00E679AD"/>
    <w:rsid w:val="00E83443"/>
    <w:rsid w:val="00EA7C38"/>
    <w:rsid w:val="00EC2CAE"/>
    <w:rsid w:val="00F20A2F"/>
    <w:rsid w:val="00F3039E"/>
    <w:rsid w:val="00F36065"/>
    <w:rsid w:val="00F93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C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C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2229-36CC-47BC-A88E-2CF5AB73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2</cp:revision>
  <cp:lastPrinted>2016-11-22T05:35:00Z</cp:lastPrinted>
  <dcterms:created xsi:type="dcterms:W3CDTF">2017-12-19T12:09:00Z</dcterms:created>
  <dcterms:modified xsi:type="dcterms:W3CDTF">2017-12-19T12:09:00Z</dcterms:modified>
</cp:coreProperties>
</file>