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F02F04" w:rsidRDefault="00CA59BC" w:rsidP="00F02F04">
      <w:pPr>
        <w:spacing w:after="0" w:line="360" w:lineRule="auto"/>
        <w:jc w:val="center"/>
        <w:rPr>
          <w:rFonts w:ascii="Times New Roman" w:hAnsi="Times New Roman" w:cs="Times New Roman"/>
          <w:b/>
          <w:sz w:val="24"/>
          <w:szCs w:val="24"/>
        </w:rPr>
      </w:pPr>
      <w:r w:rsidRPr="00F02F04">
        <w:rPr>
          <w:rFonts w:ascii="Times New Roman" w:hAnsi="Times New Roman" w:cs="Times New Roman"/>
          <w:b/>
          <w:sz w:val="24"/>
          <w:szCs w:val="24"/>
        </w:rPr>
        <w:t>THE REPUBLIC OF UGANDA</w:t>
      </w:r>
    </w:p>
    <w:p w:rsidR="00CA59BC" w:rsidRPr="00F02F04" w:rsidRDefault="00CA59BC" w:rsidP="00F02F04">
      <w:pPr>
        <w:spacing w:after="0" w:line="360" w:lineRule="auto"/>
        <w:jc w:val="center"/>
        <w:rPr>
          <w:rFonts w:ascii="Times New Roman" w:hAnsi="Times New Roman" w:cs="Times New Roman"/>
          <w:b/>
          <w:sz w:val="24"/>
          <w:szCs w:val="24"/>
        </w:rPr>
      </w:pPr>
      <w:r w:rsidRPr="00F02F04">
        <w:rPr>
          <w:rFonts w:ascii="Times New Roman" w:hAnsi="Times New Roman" w:cs="Times New Roman"/>
          <w:b/>
          <w:sz w:val="24"/>
          <w:szCs w:val="24"/>
        </w:rPr>
        <w:t>IN THE HIGH COURT OF UGANDA SITTING AT ARUA</w:t>
      </w:r>
    </w:p>
    <w:p w:rsidR="00CA59BC" w:rsidRPr="00F02F04" w:rsidRDefault="00CA59BC" w:rsidP="00F02F04">
      <w:pPr>
        <w:spacing w:after="0" w:line="360" w:lineRule="auto"/>
        <w:jc w:val="center"/>
        <w:rPr>
          <w:rFonts w:ascii="Times New Roman" w:hAnsi="Times New Roman" w:cs="Times New Roman"/>
          <w:b/>
          <w:sz w:val="24"/>
          <w:szCs w:val="24"/>
        </w:rPr>
      </w:pPr>
      <w:r w:rsidRPr="00F02F04">
        <w:rPr>
          <w:rFonts w:ascii="Times New Roman" w:hAnsi="Times New Roman" w:cs="Times New Roman"/>
          <w:b/>
          <w:sz w:val="24"/>
          <w:szCs w:val="24"/>
        </w:rPr>
        <w:t xml:space="preserve">CIVIL </w:t>
      </w:r>
      <w:r w:rsidR="00962577" w:rsidRPr="00F02F04">
        <w:rPr>
          <w:rFonts w:ascii="Times New Roman" w:hAnsi="Times New Roman" w:cs="Times New Roman"/>
          <w:b/>
          <w:sz w:val="24"/>
          <w:szCs w:val="24"/>
        </w:rPr>
        <w:t>APPEAL</w:t>
      </w:r>
      <w:r w:rsidRPr="00F02F04">
        <w:rPr>
          <w:rFonts w:ascii="Times New Roman" w:hAnsi="Times New Roman" w:cs="Times New Roman"/>
          <w:b/>
          <w:sz w:val="24"/>
          <w:szCs w:val="24"/>
        </w:rPr>
        <w:t xml:space="preserve"> No. 00</w:t>
      </w:r>
      <w:r w:rsidR="007220A3" w:rsidRPr="00F02F04">
        <w:rPr>
          <w:rFonts w:ascii="Times New Roman" w:hAnsi="Times New Roman" w:cs="Times New Roman"/>
          <w:b/>
          <w:sz w:val="24"/>
          <w:szCs w:val="24"/>
        </w:rPr>
        <w:t>17</w:t>
      </w:r>
      <w:r w:rsidRPr="00F02F04">
        <w:rPr>
          <w:rFonts w:ascii="Times New Roman" w:hAnsi="Times New Roman" w:cs="Times New Roman"/>
          <w:b/>
          <w:sz w:val="24"/>
          <w:szCs w:val="24"/>
        </w:rPr>
        <w:t xml:space="preserve"> OF 20</w:t>
      </w:r>
      <w:r w:rsidR="00392898" w:rsidRPr="00F02F04">
        <w:rPr>
          <w:rFonts w:ascii="Times New Roman" w:hAnsi="Times New Roman" w:cs="Times New Roman"/>
          <w:b/>
          <w:sz w:val="24"/>
          <w:szCs w:val="24"/>
        </w:rPr>
        <w:t>1</w:t>
      </w:r>
      <w:r w:rsidR="007220A3" w:rsidRPr="00F02F04">
        <w:rPr>
          <w:rFonts w:ascii="Times New Roman" w:hAnsi="Times New Roman" w:cs="Times New Roman"/>
          <w:b/>
          <w:sz w:val="24"/>
          <w:szCs w:val="24"/>
        </w:rPr>
        <w:t>3</w:t>
      </w:r>
    </w:p>
    <w:p w:rsidR="00962577" w:rsidRPr="00F02F04" w:rsidRDefault="00962577" w:rsidP="00F02F04">
      <w:pPr>
        <w:spacing w:after="0" w:line="360" w:lineRule="auto"/>
        <w:jc w:val="center"/>
        <w:rPr>
          <w:rFonts w:ascii="Times New Roman" w:hAnsi="Times New Roman" w:cs="Times New Roman"/>
          <w:b/>
          <w:sz w:val="24"/>
          <w:szCs w:val="24"/>
        </w:rPr>
      </w:pPr>
      <w:r w:rsidRPr="00F02F04">
        <w:rPr>
          <w:rFonts w:ascii="Times New Roman" w:hAnsi="Times New Roman" w:cs="Times New Roman"/>
          <w:b/>
          <w:sz w:val="24"/>
          <w:szCs w:val="24"/>
        </w:rPr>
        <w:t xml:space="preserve">(Arising from </w:t>
      </w:r>
      <w:r w:rsidR="00AA1D9F" w:rsidRPr="00F02F04">
        <w:rPr>
          <w:rFonts w:ascii="Times New Roman" w:hAnsi="Times New Roman" w:cs="Times New Roman"/>
          <w:b/>
          <w:sz w:val="24"/>
          <w:szCs w:val="24"/>
        </w:rPr>
        <w:t xml:space="preserve">the </w:t>
      </w:r>
      <w:proofErr w:type="spellStart"/>
      <w:r w:rsidR="00AA1D9F" w:rsidRPr="00F02F04">
        <w:rPr>
          <w:rFonts w:ascii="Times New Roman" w:hAnsi="Times New Roman" w:cs="Times New Roman"/>
          <w:b/>
          <w:sz w:val="24"/>
          <w:szCs w:val="24"/>
        </w:rPr>
        <w:t>A</w:t>
      </w:r>
      <w:r w:rsidR="007220A3" w:rsidRPr="00F02F04">
        <w:rPr>
          <w:rFonts w:ascii="Times New Roman" w:hAnsi="Times New Roman" w:cs="Times New Roman"/>
          <w:b/>
          <w:sz w:val="24"/>
          <w:szCs w:val="24"/>
        </w:rPr>
        <w:t>rua</w:t>
      </w:r>
      <w:proofErr w:type="spellEnd"/>
      <w:r w:rsidR="00AA1D9F" w:rsidRPr="00F02F04">
        <w:rPr>
          <w:rFonts w:ascii="Times New Roman" w:hAnsi="Times New Roman" w:cs="Times New Roman"/>
          <w:b/>
          <w:sz w:val="24"/>
          <w:szCs w:val="24"/>
        </w:rPr>
        <w:t xml:space="preserve"> </w:t>
      </w:r>
      <w:r w:rsidR="007220A3" w:rsidRPr="00F02F04">
        <w:rPr>
          <w:rFonts w:ascii="Times New Roman" w:hAnsi="Times New Roman" w:cs="Times New Roman"/>
          <w:b/>
          <w:sz w:val="24"/>
          <w:szCs w:val="24"/>
        </w:rPr>
        <w:t>Chief</w:t>
      </w:r>
      <w:r w:rsidRPr="00F02F04">
        <w:rPr>
          <w:rFonts w:ascii="Times New Roman" w:hAnsi="Times New Roman" w:cs="Times New Roman"/>
          <w:b/>
          <w:sz w:val="24"/>
          <w:szCs w:val="24"/>
        </w:rPr>
        <w:t xml:space="preserve"> Magistrate</w:t>
      </w:r>
      <w:r w:rsidR="00E21EBF" w:rsidRPr="00F02F04">
        <w:rPr>
          <w:rFonts w:ascii="Times New Roman" w:hAnsi="Times New Roman" w:cs="Times New Roman"/>
          <w:b/>
          <w:sz w:val="24"/>
          <w:szCs w:val="24"/>
        </w:rPr>
        <w:t>s</w:t>
      </w:r>
      <w:r w:rsidR="00FA1685" w:rsidRPr="00F02F04">
        <w:rPr>
          <w:rFonts w:ascii="Times New Roman" w:hAnsi="Times New Roman" w:cs="Times New Roman"/>
          <w:b/>
          <w:sz w:val="24"/>
          <w:szCs w:val="24"/>
        </w:rPr>
        <w:t xml:space="preserve"> </w:t>
      </w:r>
      <w:r w:rsidRPr="00F02F04">
        <w:rPr>
          <w:rFonts w:ascii="Times New Roman" w:hAnsi="Times New Roman" w:cs="Times New Roman"/>
          <w:b/>
          <w:sz w:val="24"/>
          <w:szCs w:val="24"/>
        </w:rPr>
        <w:t xml:space="preserve">Court Civil </w:t>
      </w:r>
      <w:r w:rsidR="007220A3" w:rsidRPr="00F02F04">
        <w:rPr>
          <w:rFonts w:ascii="Times New Roman" w:hAnsi="Times New Roman" w:cs="Times New Roman"/>
          <w:b/>
          <w:sz w:val="24"/>
          <w:szCs w:val="24"/>
        </w:rPr>
        <w:t>Application</w:t>
      </w:r>
      <w:r w:rsidRPr="00F02F04">
        <w:rPr>
          <w:rFonts w:ascii="Times New Roman" w:hAnsi="Times New Roman" w:cs="Times New Roman"/>
          <w:b/>
          <w:sz w:val="24"/>
          <w:szCs w:val="24"/>
        </w:rPr>
        <w:t xml:space="preserve"> No. 00</w:t>
      </w:r>
      <w:r w:rsidR="007220A3" w:rsidRPr="00F02F04">
        <w:rPr>
          <w:rFonts w:ascii="Times New Roman" w:hAnsi="Times New Roman" w:cs="Times New Roman"/>
          <w:b/>
          <w:sz w:val="24"/>
          <w:szCs w:val="24"/>
        </w:rPr>
        <w:t>9</w:t>
      </w:r>
      <w:r w:rsidRPr="00F02F04">
        <w:rPr>
          <w:rFonts w:ascii="Times New Roman" w:hAnsi="Times New Roman" w:cs="Times New Roman"/>
          <w:b/>
          <w:sz w:val="24"/>
          <w:szCs w:val="24"/>
        </w:rPr>
        <w:t xml:space="preserve"> of 20</w:t>
      </w:r>
      <w:r w:rsidR="00E61CF7" w:rsidRPr="00F02F04">
        <w:rPr>
          <w:rFonts w:ascii="Times New Roman" w:hAnsi="Times New Roman" w:cs="Times New Roman"/>
          <w:b/>
          <w:sz w:val="24"/>
          <w:szCs w:val="24"/>
        </w:rPr>
        <w:t>13</w:t>
      </w:r>
      <w:r w:rsidRPr="00F02F04">
        <w:rPr>
          <w:rFonts w:ascii="Times New Roman" w:hAnsi="Times New Roman" w:cs="Times New Roman"/>
          <w:b/>
          <w:sz w:val="24"/>
          <w:szCs w:val="24"/>
        </w:rPr>
        <w:t>)</w:t>
      </w:r>
    </w:p>
    <w:p w:rsidR="001A7CD2" w:rsidRPr="00F02F04" w:rsidRDefault="001A7CD2" w:rsidP="00F02F04">
      <w:pPr>
        <w:spacing w:after="0" w:line="360" w:lineRule="auto"/>
        <w:ind w:left="576" w:right="576"/>
        <w:jc w:val="center"/>
        <w:rPr>
          <w:rFonts w:ascii="Times New Roman" w:hAnsi="Times New Roman" w:cs="Times New Roman"/>
          <w:b/>
          <w:sz w:val="24"/>
          <w:szCs w:val="24"/>
        </w:rPr>
      </w:pPr>
      <w:bookmarkStart w:id="0" w:name="_GoBack"/>
      <w:bookmarkEnd w:id="0"/>
    </w:p>
    <w:p w:rsidR="00A21C8D" w:rsidRPr="00F02F04" w:rsidRDefault="007220A3" w:rsidP="00F02F04">
      <w:pPr>
        <w:spacing w:after="0" w:line="360" w:lineRule="auto"/>
        <w:jc w:val="both"/>
        <w:rPr>
          <w:rFonts w:ascii="Times New Roman" w:hAnsi="Times New Roman" w:cs="Times New Roman"/>
          <w:b/>
          <w:sz w:val="24"/>
          <w:szCs w:val="24"/>
        </w:rPr>
      </w:pPr>
      <w:r w:rsidRPr="00F02F04">
        <w:rPr>
          <w:rFonts w:ascii="Times New Roman" w:hAnsi="Times New Roman" w:cs="Times New Roman"/>
          <w:b/>
          <w:sz w:val="24"/>
          <w:szCs w:val="24"/>
        </w:rPr>
        <w:t>CONTINENTAL TOBACCO (U) LIMITED</w:t>
      </w:r>
      <w:r w:rsidR="00392898" w:rsidRPr="00F02F04">
        <w:rPr>
          <w:rFonts w:ascii="Times New Roman" w:hAnsi="Times New Roman" w:cs="Times New Roman"/>
          <w:b/>
          <w:sz w:val="24"/>
          <w:szCs w:val="24"/>
        </w:rPr>
        <w:tab/>
        <w:t>…………………</w:t>
      </w:r>
      <w:r w:rsidRPr="00F02F04">
        <w:rPr>
          <w:rFonts w:ascii="Times New Roman" w:hAnsi="Times New Roman" w:cs="Times New Roman"/>
          <w:b/>
          <w:sz w:val="24"/>
          <w:szCs w:val="24"/>
        </w:rPr>
        <w:t>...</w:t>
      </w:r>
      <w:r w:rsidR="00A21C8D" w:rsidRPr="00F02F04">
        <w:rPr>
          <w:rFonts w:ascii="Times New Roman" w:hAnsi="Times New Roman" w:cs="Times New Roman"/>
          <w:b/>
          <w:sz w:val="24"/>
          <w:szCs w:val="24"/>
        </w:rPr>
        <w:tab/>
        <w:t>APPELLANT</w:t>
      </w:r>
    </w:p>
    <w:p w:rsidR="001A7CD2" w:rsidRPr="00F02F04" w:rsidRDefault="001A7CD2" w:rsidP="00F02F04">
      <w:pPr>
        <w:spacing w:after="0" w:line="360" w:lineRule="auto"/>
        <w:jc w:val="both"/>
        <w:rPr>
          <w:rFonts w:ascii="Times New Roman" w:hAnsi="Times New Roman" w:cs="Times New Roman"/>
          <w:b/>
          <w:sz w:val="24"/>
          <w:szCs w:val="24"/>
        </w:rPr>
      </w:pPr>
    </w:p>
    <w:p w:rsidR="00CA59BC" w:rsidRPr="00F02F04" w:rsidRDefault="00CA59BC" w:rsidP="00F02F04">
      <w:pPr>
        <w:pStyle w:val="ListParagraph"/>
        <w:spacing w:after="0" w:line="360" w:lineRule="auto"/>
        <w:jc w:val="center"/>
        <w:rPr>
          <w:rFonts w:ascii="Times New Roman" w:hAnsi="Times New Roman" w:cs="Times New Roman"/>
          <w:b/>
          <w:sz w:val="24"/>
          <w:szCs w:val="24"/>
        </w:rPr>
      </w:pPr>
      <w:r w:rsidRPr="00F02F04">
        <w:rPr>
          <w:rFonts w:ascii="Times New Roman" w:hAnsi="Times New Roman" w:cs="Times New Roman"/>
          <w:b/>
          <w:sz w:val="24"/>
          <w:szCs w:val="24"/>
        </w:rPr>
        <w:t>VERSUS</w:t>
      </w:r>
    </w:p>
    <w:p w:rsidR="001A7CD2" w:rsidRPr="00F02F04" w:rsidRDefault="001A7CD2" w:rsidP="00F02F04">
      <w:pPr>
        <w:pStyle w:val="ListParagraph"/>
        <w:spacing w:after="0" w:line="360" w:lineRule="auto"/>
        <w:jc w:val="both"/>
        <w:rPr>
          <w:rFonts w:ascii="Times New Roman" w:hAnsi="Times New Roman" w:cs="Times New Roman"/>
          <w:b/>
          <w:sz w:val="24"/>
          <w:szCs w:val="24"/>
        </w:rPr>
      </w:pPr>
    </w:p>
    <w:p w:rsidR="00392898" w:rsidRPr="00F02F04" w:rsidRDefault="007220A3" w:rsidP="00F02F04">
      <w:pPr>
        <w:spacing w:after="0" w:line="360" w:lineRule="auto"/>
        <w:jc w:val="both"/>
        <w:rPr>
          <w:rFonts w:ascii="Times New Roman" w:hAnsi="Times New Roman" w:cs="Times New Roman"/>
          <w:b/>
          <w:sz w:val="24"/>
          <w:szCs w:val="24"/>
        </w:rPr>
      </w:pPr>
      <w:r w:rsidRPr="00F02F04">
        <w:rPr>
          <w:rFonts w:ascii="Times New Roman" w:hAnsi="Times New Roman" w:cs="Times New Roman"/>
          <w:b/>
          <w:sz w:val="24"/>
          <w:szCs w:val="24"/>
        </w:rPr>
        <w:t>GLOBAL HARDWARE</w:t>
      </w:r>
      <w:r w:rsidR="00AA1D9F" w:rsidRPr="00F02F04">
        <w:rPr>
          <w:rFonts w:ascii="Times New Roman" w:hAnsi="Times New Roman" w:cs="Times New Roman"/>
          <w:b/>
          <w:sz w:val="24"/>
          <w:szCs w:val="24"/>
        </w:rPr>
        <w:t xml:space="preserve"> COMPANY LIMITED</w:t>
      </w:r>
      <w:r w:rsidR="00392898" w:rsidRPr="00F02F04">
        <w:rPr>
          <w:rFonts w:ascii="Times New Roman" w:hAnsi="Times New Roman" w:cs="Times New Roman"/>
          <w:b/>
          <w:sz w:val="24"/>
          <w:szCs w:val="24"/>
        </w:rPr>
        <w:tab/>
        <w:t>………</w:t>
      </w:r>
      <w:r w:rsidRPr="00F02F04">
        <w:rPr>
          <w:rFonts w:ascii="Times New Roman" w:hAnsi="Times New Roman" w:cs="Times New Roman"/>
          <w:b/>
          <w:sz w:val="24"/>
          <w:szCs w:val="24"/>
        </w:rPr>
        <w:t>.............</w:t>
      </w:r>
      <w:r w:rsidR="00392898" w:rsidRPr="00F02F04">
        <w:rPr>
          <w:rFonts w:ascii="Times New Roman" w:hAnsi="Times New Roman" w:cs="Times New Roman"/>
          <w:b/>
          <w:sz w:val="24"/>
          <w:szCs w:val="24"/>
        </w:rPr>
        <w:t>……</w:t>
      </w:r>
      <w:r w:rsidR="00AA1D9F" w:rsidRPr="00F02F04">
        <w:rPr>
          <w:rFonts w:ascii="Times New Roman" w:hAnsi="Times New Roman" w:cs="Times New Roman"/>
          <w:b/>
          <w:sz w:val="24"/>
          <w:szCs w:val="24"/>
        </w:rPr>
        <w:tab/>
        <w:t>RESPONDENT</w:t>
      </w:r>
    </w:p>
    <w:p w:rsidR="00CA59BC" w:rsidRPr="00F02F04" w:rsidRDefault="00392898" w:rsidP="00F02F04">
      <w:pPr>
        <w:pStyle w:val="ListParagraph"/>
        <w:spacing w:after="0" w:line="360" w:lineRule="auto"/>
        <w:ind w:left="360"/>
        <w:jc w:val="both"/>
        <w:rPr>
          <w:rFonts w:ascii="Times New Roman" w:hAnsi="Times New Roman" w:cs="Times New Roman"/>
          <w:b/>
          <w:sz w:val="24"/>
          <w:szCs w:val="24"/>
        </w:rPr>
      </w:pPr>
      <w:r w:rsidRPr="00F02F04">
        <w:rPr>
          <w:rFonts w:ascii="Times New Roman" w:hAnsi="Times New Roman" w:cs="Times New Roman"/>
          <w:b/>
          <w:sz w:val="24"/>
          <w:szCs w:val="24"/>
        </w:rPr>
        <w:tab/>
      </w:r>
    </w:p>
    <w:p w:rsidR="00A10A9A" w:rsidRPr="00F02F04" w:rsidRDefault="00A10A9A" w:rsidP="00F02F04">
      <w:pPr>
        <w:spacing w:after="0" w:line="360" w:lineRule="auto"/>
        <w:jc w:val="center"/>
        <w:rPr>
          <w:rFonts w:ascii="Times New Roman" w:hAnsi="Times New Roman" w:cs="Times New Roman"/>
          <w:b/>
          <w:sz w:val="24"/>
          <w:szCs w:val="24"/>
          <w:u w:val="single"/>
        </w:rPr>
      </w:pPr>
    </w:p>
    <w:p w:rsidR="00A10A9A" w:rsidRPr="00F02F04" w:rsidRDefault="00A10A9A" w:rsidP="00F02F04">
      <w:pPr>
        <w:spacing w:line="360" w:lineRule="auto"/>
        <w:rPr>
          <w:rFonts w:ascii="Times New Roman" w:hAnsi="Times New Roman" w:cs="Times New Roman"/>
          <w:b/>
          <w:sz w:val="24"/>
          <w:szCs w:val="24"/>
        </w:rPr>
      </w:pPr>
      <w:r w:rsidRPr="00F02F04">
        <w:rPr>
          <w:rFonts w:ascii="Times New Roman" w:hAnsi="Times New Roman" w:cs="Times New Roman"/>
          <w:b/>
          <w:sz w:val="24"/>
          <w:szCs w:val="24"/>
        </w:rPr>
        <w:t xml:space="preserve">Before: Hon Justice Stephen </w:t>
      </w:r>
      <w:proofErr w:type="spellStart"/>
      <w:r w:rsidRPr="00F02F04">
        <w:rPr>
          <w:rFonts w:ascii="Times New Roman" w:hAnsi="Times New Roman" w:cs="Times New Roman"/>
          <w:b/>
          <w:sz w:val="24"/>
          <w:szCs w:val="24"/>
        </w:rPr>
        <w:t>Mubiru</w:t>
      </w:r>
      <w:proofErr w:type="spellEnd"/>
      <w:r w:rsidRPr="00F02F04">
        <w:rPr>
          <w:rFonts w:ascii="Times New Roman" w:hAnsi="Times New Roman" w:cs="Times New Roman"/>
          <w:b/>
          <w:sz w:val="24"/>
          <w:szCs w:val="24"/>
        </w:rPr>
        <w:t>.</w:t>
      </w:r>
    </w:p>
    <w:p w:rsidR="00A10A9A" w:rsidRPr="00F02F04" w:rsidRDefault="00A10A9A" w:rsidP="00F02F04">
      <w:pPr>
        <w:spacing w:after="0" w:line="360" w:lineRule="auto"/>
        <w:rPr>
          <w:rFonts w:ascii="Times New Roman" w:hAnsi="Times New Roman" w:cs="Times New Roman"/>
          <w:b/>
          <w:sz w:val="24"/>
          <w:szCs w:val="24"/>
          <w:u w:val="single"/>
        </w:rPr>
      </w:pPr>
    </w:p>
    <w:p w:rsidR="00CA59BC" w:rsidRPr="00F02F04" w:rsidRDefault="00CA59BC" w:rsidP="00F02F04">
      <w:pPr>
        <w:spacing w:after="0" w:line="360" w:lineRule="auto"/>
        <w:jc w:val="center"/>
        <w:rPr>
          <w:rFonts w:ascii="Times New Roman" w:hAnsi="Times New Roman" w:cs="Times New Roman"/>
          <w:b/>
          <w:sz w:val="24"/>
          <w:szCs w:val="24"/>
          <w:u w:val="single"/>
        </w:rPr>
      </w:pPr>
      <w:r w:rsidRPr="00F02F04">
        <w:rPr>
          <w:rFonts w:ascii="Times New Roman" w:hAnsi="Times New Roman" w:cs="Times New Roman"/>
          <w:b/>
          <w:sz w:val="24"/>
          <w:szCs w:val="24"/>
          <w:u w:val="single"/>
        </w:rPr>
        <w:t>JUDGMENT</w:t>
      </w:r>
    </w:p>
    <w:p w:rsidR="00C40079" w:rsidRPr="00F02F04" w:rsidRDefault="00C40079" w:rsidP="00F02F04">
      <w:pPr>
        <w:spacing w:after="0" w:line="360" w:lineRule="auto"/>
        <w:jc w:val="center"/>
        <w:rPr>
          <w:rFonts w:ascii="Times New Roman" w:hAnsi="Times New Roman" w:cs="Times New Roman"/>
          <w:sz w:val="24"/>
          <w:szCs w:val="24"/>
          <w:u w:val="single"/>
        </w:rPr>
      </w:pPr>
    </w:p>
    <w:p w:rsidR="00CA59BC" w:rsidRPr="00F02F04" w:rsidRDefault="007220A3"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This is an appeal arising out of the decision of the Chief Magistrate’s Court of </w:t>
      </w:r>
      <w:proofErr w:type="spellStart"/>
      <w:r w:rsidRPr="00F02F04">
        <w:rPr>
          <w:rFonts w:ascii="Times New Roman" w:hAnsi="Times New Roman" w:cs="Times New Roman"/>
          <w:sz w:val="24"/>
          <w:szCs w:val="24"/>
        </w:rPr>
        <w:t>Arua</w:t>
      </w:r>
      <w:proofErr w:type="spellEnd"/>
      <w:r w:rsidRPr="00F02F04">
        <w:rPr>
          <w:rFonts w:ascii="Times New Roman" w:hAnsi="Times New Roman" w:cs="Times New Roman"/>
          <w:sz w:val="24"/>
          <w:szCs w:val="24"/>
        </w:rPr>
        <w:t xml:space="preserve"> when it dismissed the appellant’s application to set aside an ex-parte judgment</w:t>
      </w:r>
      <w:r w:rsidR="00C9509F" w:rsidRPr="00F02F04">
        <w:rPr>
          <w:rFonts w:ascii="Times New Roman" w:hAnsi="Times New Roman" w:cs="Times New Roman"/>
          <w:sz w:val="24"/>
          <w:szCs w:val="24"/>
        </w:rPr>
        <w:t>.</w:t>
      </w:r>
      <w:r w:rsidRPr="00F02F04">
        <w:rPr>
          <w:rFonts w:ascii="Times New Roman" w:hAnsi="Times New Roman" w:cs="Times New Roman"/>
          <w:sz w:val="24"/>
          <w:szCs w:val="24"/>
        </w:rPr>
        <w:t xml:space="preserve"> The background to the appeal is that sometime during the year 2012, the respondent sued the appellant for recovery of </w:t>
      </w:r>
      <w:proofErr w:type="spellStart"/>
      <w:r w:rsidRPr="00F02F04">
        <w:rPr>
          <w:rFonts w:ascii="Times New Roman" w:hAnsi="Times New Roman" w:cs="Times New Roman"/>
          <w:sz w:val="24"/>
          <w:szCs w:val="24"/>
        </w:rPr>
        <w:t>shs</w:t>
      </w:r>
      <w:proofErr w:type="spellEnd"/>
      <w:r w:rsidRPr="00F02F04">
        <w:rPr>
          <w:rFonts w:ascii="Times New Roman" w:hAnsi="Times New Roman" w:cs="Times New Roman"/>
          <w:sz w:val="24"/>
          <w:szCs w:val="24"/>
        </w:rPr>
        <w:t>. 28,408,800/=, general damages for breach of contract and costs. The trial proceeded ex-parte against the appellant and judgment was on 10</w:t>
      </w:r>
      <w:r w:rsidRPr="00F02F04">
        <w:rPr>
          <w:rFonts w:ascii="Times New Roman" w:hAnsi="Times New Roman" w:cs="Times New Roman"/>
          <w:sz w:val="24"/>
          <w:szCs w:val="24"/>
          <w:vertAlign w:val="superscript"/>
        </w:rPr>
        <w:t>th</w:t>
      </w:r>
      <w:r w:rsidRPr="00F02F04">
        <w:rPr>
          <w:rFonts w:ascii="Times New Roman" w:hAnsi="Times New Roman" w:cs="Times New Roman"/>
          <w:sz w:val="24"/>
          <w:szCs w:val="24"/>
        </w:rPr>
        <w:t xml:space="preserve"> December 2012 entered for the respondent against the appellant in the sum of </w:t>
      </w:r>
      <w:proofErr w:type="spellStart"/>
      <w:r w:rsidRPr="00F02F04">
        <w:rPr>
          <w:rFonts w:ascii="Times New Roman" w:hAnsi="Times New Roman" w:cs="Times New Roman"/>
          <w:sz w:val="24"/>
          <w:szCs w:val="24"/>
        </w:rPr>
        <w:t>shs</w:t>
      </w:r>
      <w:proofErr w:type="spellEnd"/>
      <w:r w:rsidRPr="00F02F04">
        <w:rPr>
          <w:rFonts w:ascii="Times New Roman" w:hAnsi="Times New Roman" w:cs="Times New Roman"/>
          <w:sz w:val="24"/>
          <w:szCs w:val="24"/>
        </w:rPr>
        <w:t xml:space="preserve">. 28,408,800/= as special damages, </w:t>
      </w:r>
      <w:proofErr w:type="spellStart"/>
      <w:r w:rsidRPr="00F02F04">
        <w:rPr>
          <w:rFonts w:ascii="Times New Roman" w:hAnsi="Times New Roman" w:cs="Times New Roman"/>
          <w:sz w:val="24"/>
          <w:szCs w:val="24"/>
        </w:rPr>
        <w:t>shs</w:t>
      </w:r>
      <w:proofErr w:type="spellEnd"/>
      <w:r w:rsidRPr="00F02F04">
        <w:rPr>
          <w:rFonts w:ascii="Times New Roman" w:hAnsi="Times New Roman" w:cs="Times New Roman"/>
          <w:sz w:val="24"/>
          <w:szCs w:val="24"/>
        </w:rPr>
        <w:t xml:space="preserve">. 5,000,000/= as general damages and costs. The respondent proceeded to execute the decree by way of </w:t>
      </w:r>
      <w:r w:rsidR="00FE3FEF" w:rsidRPr="00F02F04">
        <w:rPr>
          <w:rFonts w:ascii="Times New Roman" w:hAnsi="Times New Roman" w:cs="Times New Roman"/>
          <w:sz w:val="24"/>
          <w:szCs w:val="24"/>
        </w:rPr>
        <w:t>attachment</w:t>
      </w:r>
      <w:r w:rsidRPr="00F02F04">
        <w:rPr>
          <w:rFonts w:ascii="Times New Roman" w:hAnsi="Times New Roman" w:cs="Times New Roman"/>
          <w:sz w:val="24"/>
          <w:szCs w:val="24"/>
        </w:rPr>
        <w:t xml:space="preserve"> of the appellant’s </w:t>
      </w:r>
      <w:r w:rsidR="00FE3FEF" w:rsidRPr="00F02F04">
        <w:rPr>
          <w:rFonts w:ascii="Times New Roman" w:hAnsi="Times New Roman" w:cs="Times New Roman"/>
          <w:sz w:val="24"/>
          <w:szCs w:val="24"/>
        </w:rPr>
        <w:t xml:space="preserve">stock in trade of fertilizers but before the sale could take place, the appellant secured an order of stay of execution pending its application to set aside the ex-parte judgment and decree. </w:t>
      </w:r>
    </w:p>
    <w:p w:rsidR="00FE3FEF" w:rsidRPr="00F02F04" w:rsidRDefault="00FE3FEF" w:rsidP="00F02F04">
      <w:pPr>
        <w:spacing w:after="0" w:line="360" w:lineRule="auto"/>
        <w:jc w:val="both"/>
        <w:rPr>
          <w:rFonts w:ascii="Times New Roman" w:hAnsi="Times New Roman" w:cs="Times New Roman"/>
          <w:sz w:val="24"/>
          <w:szCs w:val="24"/>
        </w:rPr>
      </w:pPr>
    </w:p>
    <w:p w:rsidR="00FE3FEF" w:rsidRPr="00F02F04" w:rsidRDefault="00FE3FEF"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At the hearing of the application, counsel for the applicant / appellant </w:t>
      </w:r>
      <w:proofErr w:type="spellStart"/>
      <w:r w:rsidRPr="00F02F04">
        <w:rPr>
          <w:rFonts w:ascii="Times New Roman" w:hAnsi="Times New Roman" w:cs="Times New Roman"/>
          <w:sz w:val="24"/>
          <w:szCs w:val="24"/>
        </w:rPr>
        <w:t>Mr.</w:t>
      </w:r>
      <w:proofErr w:type="spellEnd"/>
      <w:r w:rsidRPr="00F02F04">
        <w:rPr>
          <w:rFonts w:ascii="Times New Roman" w:hAnsi="Times New Roman" w:cs="Times New Roman"/>
          <w:sz w:val="24"/>
          <w:szCs w:val="24"/>
        </w:rPr>
        <w:t xml:space="preserve"> </w:t>
      </w:r>
      <w:proofErr w:type="spellStart"/>
      <w:r w:rsidRPr="00F02F04">
        <w:rPr>
          <w:rFonts w:ascii="Times New Roman" w:hAnsi="Times New Roman" w:cs="Times New Roman"/>
          <w:sz w:val="24"/>
          <w:szCs w:val="24"/>
        </w:rPr>
        <w:t>Medard</w:t>
      </w:r>
      <w:proofErr w:type="spellEnd"/>
      <w:r w:rsidRPr="00F02F04">
        <w:rPr>
          <w:rFonts w:ascii="Times New Roman" w:hAnsi="Times New Roman" w:cs="Times New Roman"/>
          <w:sz w:val="24"/>
          <w:szCs w:val="24"/>
        </w:rPr>
        <w:t xml:space="preserve"> </w:t>
      </w:r>
      <w:proofErr w:type="spellStart"/>
      <w:r w:rsidRPr="00F02F04">
        <w:rPr>
          <w:rFonts w:ascii="Times New Roman" w:hAnsi="Times New Roman" w:cs="Times New Roman"/>
          <w:sz w:val="24"/>
          <w:szCs w:val="24"/>
        </w:rPr>
        <w:t>Lubega</w:t>
      </w:r>
      <w:proofErr w:type="spellEnd"/>
      <w:r w:rsidRPr="00F02F04">
        <w:rPr>
          <w:rFonts w:ascii="Times New Roman" w:hAnsi="Times New Roman" w:cs="Times New Roman"/>
          <w:sz w:val="24"/>
          <w:szCs w:val="24"/>
        </w:rPr>
        <w:t xml:space="preserve"> </w:t>
      </w:r>
      <w:proofErr w:type="spellStart"/>
      <w:r w:rsidRPr="00F02F04">
        <w:rPr>
          <w:rFonts w:ascii="Times New Roman" w:hAnsi="Times New Roman" w:cs="Times New Roman"/>
          <w:sz w:val="24"/>
          <w:szCs w:val="24"/>
        </w:rPr>
        <w:t>Seggona</w:t>
      </w:r>
      <w:proofErr w:type="spellEnd"/>
      <w:r w:rsidRPr="00F02F04">
        <w:rPr>
          <w:rFonts w:ascii="Times New Roman" w:hAnsi="Times New Roman" w:cs="Times New Roman"/>
          <w:sz w:val="24"/>
          <w:szCs w:val="24"/>
        </w:rPr>
        <w:t xml:space="preserve"> argued that the applicant had been prevented by sufficient cause from attending court on the day the suit was heard ex-parte. Counsel argued that although service of the hearing notice had been </w:t>
      </w:r>
      <w:proofErr w:type="gramStart"/>
      <w:r w:rsidRPr="00F02F04">
        <w:rPr>
          <w:rFonts w:ascii="Times New Roman" w:hAnsi="Times New Roman" w:cs="Times New Roman"/>
          <w:sz w:val="24"/>
          <w:szCs w:val="24"/>
        </w:rPr>
        <w:t>effected</w:t>
      </w:r>
      <w:proofErr w:type="gramEnd"/>
      <w:r w:rsidRPr="00F02F04">
        <w:rPr>
          <w:rFonts w:ascii="Times New Roman" w:hAnsi="Times New Roman" w:cs="Times New Roman"/>
          <w:sz w:val="24"/>
          <w:szCs w:val="24"/>
        </w:rPr>
        <w:t xml:space="preserve"> on the then counsel for the applicant, </w:t>
      </w:r>
      <w:proofErr w:type="spellStart"/>
      <w:r w:rsidRPr="00F02F04">
        <w:rPr>
          <w:rFonts w:ascii="Times New Roman" w:hAnsi="Times New Roman" w:cs="Times New Roman"/>
          <w:sz w:val="24"/>
          <w:szCs w:val="24"/>
        </w:rPr>
        <w:t>Mr.</w:t>
      </w:r>
      <w:proofErr w:type="spellEnd"/>
      <w:r w:rsidRPr="00F02F04">
        <w:rPr>
          <w:rFonts w:ascii="Times New Roman" w:hAnsi="Times New Roman" w:cs="Times New Roman"/>
          <w:sz w:val="24"/>
          <w:szCs w:val="24"/>
        </w:rPr>
        <w:t xml:space="preserve"> </w:t>
      </w:r>
      <w:proofErr w:type="spellStart"/>
      <w:r w:rsidRPr="00F02F04">
        <w:rPr>
          <w:rFonts w:ascii="Times New Roman" w:hAnsi="Times New Roman" w:cs="Times New Roman"/>
          <w:sz w:val="24"/>
          <w:szCs w:val="24"/>
        </w:rPr>
        <w:t>Ondimu</w:t>
      </w:r>
      <w:proofErr w:type="spellEnd"/>
      <w:r w:rsidRPr="00F02F04">
        <w:rPr>
          <w:rFonts w:ascii="Times New Roman" w:hAnsi="Times New Roman" w:cs="Times New Roman"/>
          <w:sz w:val="24"/>
          <w:szCs w:val="24"/>
        </w:rPr>
        <w:t xml:space="preserve">, he failed in his duty to </w:t>
      </w:r>
      <w:r w:rsidRPr="00F02F04">
        <w:rPr>
          <w:rFonts w:ascii="Times New Roman" w:hAnsi="Times New Roman" w:cs="Times New Roman"/>
          <w:sz w:val="24"/>
          <w:szCs w:val="24"/>
        </w:rPr>
        <w:lastRenderedPageBreak/>
        <w:t xml:space="preserve">transmit that information to his client, the applicant who thereby was unaware of the date fixed for trial of the suit. </w:t>
      </w:r>
      <w:r w:rsidR="001C412E" w:rsidRPr="00F02F04">
        <w:rPr>
          <w:rFonts w:ascii="Times New Roman" w:hAnsi="Times New Roman" w:cs="Times New Roman"/>
          <w:sz w:val="24"/>
          <w:szCs w:val="24"/>
        </w:rPr>
        <w:t xml:space="preserve">The applicant </w:t>
      </w:r>
      <w:proofErr w:type="spellStart"/>
      <w:r w:rsidR="001C412E" w:rsidRPr="00F02F04">
        <w:rPr>
          <w:rFonts w:ascii="Times New Roman" w:hAnsi="Times New Roman" w:cs="Times New Roman"/>
          <w:sz w:val="24"/>
          <w:szCs w:val="24"/>
        </w:rPr>
        <w:t>ahd</w:t>
      </w:r>
      <w:proofErr w:type="spellEnd"/>
      <w:r w:rsidR="001C412E" w:rsidRPr="00F02F04">
        <w:rPr>
          <w:rFonts w:ascii="Times New Roman" w:hAnsi="Times New Roman" w:cs="Times New Roman"/>
          <w:sz w:val="24"/>
          <w:szCs w:val="24"/>
        </w:rPr>
        <w:t xml:space="preserve"> learnt of the decree on 22</w:t>
      </w:r>
      <w:r w:rsidR="001C412E" w:rsidRPr="00F02F04">
        <w:rPr>
          <w:rFonts w:ascii="Times New Roman" w:hAnsi="Times New Roman" w:cs="Times New Roman"/>
          <w:sz w:val="24"/>
          <w:szCs w:val="24"/>
          <w:vertAlign w:val="superscript"/>
        </w:rPr>
        <w:t>nd</w:t>
      </w:r>
      <w:r w:rsidR="001C412E" w:rsidRPr="00F02F04">
        <w:rPr>
          <w:rFonts w:ascii="Times New Roman" w:hAnsi="Times New Roman" w:cs="Times New Roman"/>
          <w:sz w:val="24"/>
          <w:szCs w:val="24"/>
        </w:rPr>
        <w:t xml:space="preserve"> February 2013 and had filed the application for setting it aside on 28</w:t>
      </w:r>
      <w:r w:rsidR="001C412E" w:rsidRPr="00F02F04">
        <w:rPr>
          <w:rFonts w:ascii="Times New Roman" w:hAnsi="Times New Roman" w:cs="Times New Roman"/>
          <w:sz w:val="24"/>
          <w:szCs w:val="24"/>
          <w:vertAlign w:val="superscript"/>
        </w:rPr>
        <w:t>th</w:t>
      </w:r>
      <w:r w:rsidR="001C412E" w:rsidRPr="00F02F04">
        <w:rPr>
          <w:rFonts w:ascii="Times New Roman" w:hAnsi="Times New Roman" w:cs="Times New Roman"/>
          <w:sz w:val="24"/>
          <w:szCs w:val="24"/>
        </w:rPr>
        <w:t xml:space="preserve"> February 2013, without inordinate delay. </w:t>
      </w:r>
      <w:r w:rsidR="008649B1" w:rsidRPr="00F02F04">
        <w:rPr>
          <w:rFonts w:ascii="Times New Roman" w:hAnsi="Times New Roman" w:cs="Times New Roman"/>
          <w:sz w:val="24"/>
          <w:szCs w:val="24"/>
        </w:rPr>
        <w:t xml:space="preserve">The applicant had admitted indebtedness to the respondent only in the amount of </w:t>
      </w:r>
      <w:proofErr w:type="spellStart"/>
      <w:r w:rsidR="008649B1" w:rsidRPr="00F02F04">
        <w:rPr>
          <w:rFonts w:ascii="Times New Roman" w:hAnsi="Times New Roman" w:cs="Times New Roman"/>
          <w:sz w:val="24"/>
          <w:szCs w:val="24"/>
        </w:rPr>
        <w:t>shs</w:t>
      </w:r>
      <w:proofErr w:type="spellEnd"/>
      <w:r w:rsidR="008649B1" w:rsidRPr="00F02F04">
        <w:rPr>
          <w:rFonts w:ascii="Times New Roman" w:hAnsi="Times New Roman" w:cs="Times New Roman"/>
          <w:sz w:val="24"/>
          <w:szCs w:val="24"/>
        </w:rPr>
        <w:t xml:space="preserve">. 19,000,000/= which it had deposited in court but had a defence against the rest of the respondent’s claim. </w:t>
      </w:r>
      <w:r w:rsidRPr="00F02F04">
        <w:rPr>
          <w:rFonts w:ascii="Times New Roman" w:hAnsi="Times New Roman" w:cs="Times New Roman"/>
          <w:sz w:val="24"/>
          <w:szCs w:val="24"/>
        </w:rPr>
        <w:t>He prayed that counsel’s mistake should not have been visited on the applicant</w:t>
      </w:r>
      <w:r w:rsidR="008649B1" w:rsidRPr="00F02F04">
        <w:rPr>
          <w:rFonts w:ascii="Times New Roman" w:hAnsi="Times New Roman" w:cs="Times New Roman"/>
          <w:sz w:val="24"/>
          <w:szCs w:val="24"/>
        </w:rPr>
        <w:t xml:space="preserve"> and the ex-parte judgment be set aside to enable the applicant present its defence to the rest of the applicant’s claim</w:t>
      </w:r>
      <w:r w:rsidRPr="00F02F04">
        <w:rPr>
          <w:rFonts w:ascii="Times New Roman" w:hAnsi="Times New Roman" w:cs="Times New Roman"/>
          <w:sz w:val="24"/>
          <w:szCs w:val="24"/>
        </w:rPr>
        <w:t xml:space="preserve">. He cited </w:t>
      </w:r>
      <w:r w:rsidRPr="00F02F04">
        <w:rPr>
          <w:rFonts w:ascii="Times New Roman" w:hAnsi="Times New Roman" w:cs="Times New Roman"/>
          <w:i/>
          <w:sz w:val="24"/>
          <w:szCs w:val="24"/>
        </w:rPr>
        <w:t xml:space="preserve">Haji </w:t>
      </w:r>
      <w:proofErr w:type="spellStart"/>
      <w:r w:rsidRPr="00F02F04">
        <w:rPr>
          <w:rFonts w:ascii="Times New Roman" w:hAnsi="Times New Roman" w:cs="Times New Roman"/>
          <w:i/>
          <w:sz w:val="24"/>
          <w:szCs w:val="24"/>
        </w:rPr>
        <w:t>Nasur</w:t>
      </w:r>
      <w:proofErr w:type="spellEnd"/>
      <w:r w:rsidRPr="00F02F04">
        <w:rPr>
          <w:rFonts w:ascii="Times New Roman" w:hAnsi="Times New Roman" w:cs="Times New Roman"/>
          <w:i/>
          <w:sz w:val="24"/>
          <w:szCs w:val="24"/>
        </w:rPr>
        <w:t xml:space="preserve"> </w:t>
      </w:r>
      <w:proofErr w:type="spellStart"/>
      <w:r w:rsidRPr="00F02F04">
        <w:rPr>
          <w:rFonts w:ascii="Times New Roman" w:hAnsi="Times New Roman" w:cs="Times New Roman"/>
          <w:i/>
          <w:sz w:val="24"/>
          <w:szCs w:val="24"/>
        </w:rPr>
        <w:t>Matovu</w:t>
      </w:r>
      <w:proofErr w:type="spellEnd"/>
      <w:r w:rsidRPr="00F02F04">
        <w:rPr>
          <w:rFonts w:ascii="Times New Roman" w:hAnsi="Times New Roman" w:cs="Times New Roman"/>
          <w:i/>
          <w:sz w:val="24"/>
          <w:szCs w:val="24"/>
        </w:rPr>
        <w:t xml:space="preserve"> v. Ben </w:t>
      </w:r>
      <w:proofErr w:type="spellStart"/>
      <w:r w:rsidRPr="00F02F04">
        <w:rPr>
          <w:rFonts w:ascii="Times New Roman" w:hAnsi="Times New Roman" w:cs="Times New Roman"/>
          <w:i/>
          <w:sz w:val="24"/>
          <w:szCs w:val="24"/>
        </w:rPr>
        <w:t>Kiwanuka</w:t>
      </w:r>
      <w:proofErr w:type="spellEnd"/>
      <w:r w:rsidRPr="00F02F04">
        <w:rPr>
          <w:rFonts w:ascii="Times New Roman" w:hAnsi="Times New Roman" w:cs="Times New Roman"/>
          <w:i/>
          <w:sz w:val="24"/>
          <w:szCs w:val="24"/>
        </w:rPr>
        <w:t>, S. C. Civil Appeal No. 12 of 1991</w:t>
      </w:r>
      <w:r w:rsidRPr="00F02F04">
        <w:rPr>
          <w:rFonts w:ascii="Times New Roman" w:hAnsi="Times New Roman" w:cs="Times New Roman"/>
          <w:sz w:val="24"/>
          <w:szCs w:val="24"/>
        </w:rPr>
        <w:t xml:space="preserve">, </w:t>
      </w:r>
      <w:proofErr w:type="spellStart"/>
      <w:r w:rsidRPr="00F02F04">
        <w:rPr>
          <w:rFonts w:ascii="Times New Roman" w:hAnsi="Times New Roman" w:cs="Times New Roman"/>
          <w:i/>
          <w:sz w:val="24"/>
          <w:szCs w:val="24"/>
        </w:rPr>
        <w:t>Mulindwa</w:t>
      </w:r>
      <w:proofErr w:type="spellEnd"/>
      <w:r w:rsidRPr="00F02F04">
        <w:rPr>
          <w:rFonts w:ascii="Times New Roman" w:hAnsi="Times New Roman" w:cs="Times New Roman"/>
          <w:i/>
          <w:sz w:val="24"/>
          <w:szCs w:val="24"/>
        </w:rPr>
        <w:t xml:space="preserve"> G. v. </w:t>
      </w:r>
      <w:proofErr w:type="spellStart"/>
      <w:r w:rsidRPr="00F02F04">
        <w:rPr>
          <w:rFonts w:ascii="Times New Roman" w:hAnsi="Times New Roman" w:cs="Times New Roman"/>
          <w:i/>
          <w:sz w:val="24"/>
          <w:szCs w:val="24"/>
        </w:rPr>
        <w:t>Kisubika</w:t>
      </w:r>
      <w:proofErr w:type="spellEnd"/>
      <w:r w:rsidRPr="00F02F04">
        <w:rPr>
          <w:rFonts w:ascii="Times New Roman" w:hAnsi="Times New Roman" w:cs="Times New Roman"/>
          <w:i/>
          <w:sz w:val="24"/>
          <w:szCs w:val="24"/>
        </w:rPr>
        <w:t>, H.C. Civil Suit No. 689 of 1991</w:t>
      </w:r>
      <w:r w:rsidRPr="00F02F04">
        <w:rPr>
          <w:rFonts w:ascii="Times New Roman" w:hAnsi="Times New Roman" w:cs="Times New Roman"/>
          <w:sz w:val="24"/>
          <w:szCs w:val="24"/>
        </w:rPr>
        <w:t xml:space="preserve"> and </w:t>
      </w:r>
      <w:r w:rsidRPr="00F02F04">
        <w:rPr>
          <w:rFonts w:ascii="Times New Roman" w:hAnsi="Times New Roman" w:cs="Times New Roman"/>
          <w:i/>
          <w:sz w:val="24"/>
          <w:szCs w:val="24"/>
        </w:rPr>
        <w:t xml:space="preserve">Fr. Francis Pager v. </w:t>
      </w:r>
      <w:proofErr w:type="spellStart"/>
      <w:r w:rsidRPr="00F02F04">
        <w:rPr>
          <w:rFonts w:ascii="Times New Roman" w:hAnsi="Times New Roman" w:cs="Times New Roman"/>
          <w:i/>
          <w:sz w:val="24"/>
          <w:szCs w:val="24"/>
        </w:rPr>
        <w:t>Kiwanga</w:t>
      </w:r>
      <w:proofErr w:type="spellEnd"/>
      <w:r w:rsidRPr="00F02F04">
        <w:rPr>
          <w:rFonts w:ascii="Times New Roman" w:hAnsi="Times New Roman" w:cs="Times New Roman"/>
          <w:i/>
          <w:sz w:val="24"/>
          <w:szCs w:val="24"/>
        </w:rPr>
        <w:t xml:space="preserve"> </w:t>
      </w:r>
      <w:proofErr w:type="spellStart"/>
      <w:r w:rsidRPr="00F02F04">
        <w:rPr>
          <w:rFonts w:ascii="Times New Roman" w:hAnsi="Times New Roman" w:cs="Times New Roman"/>
          <w:i/>
          <w:sz w:val="24"/>
          <w:szCs w:val="24"/>
        </w:rPr>
        <w:t>Mwebe</w:t>
      </w:r>
      <w:proofErr w:type="spellEnd"/>
      <w:r w:rsidRPr="00F02F04">
        <w:rPr>
          <w:rFonts w:ascii="Times New Roman" w:hAnsi="Times New Roman" w:cs="Times New Roman"/>
          <w:i/>
          <w:sz w:val="24"/>
          <w:szCs w:val="24"/>
        </w:rPr>
        <w:t xml:space="preserve"> and other, H.C. Civil Suit No. 194 of 1994</w:t>
      </w:r>
      <w:proofErr w:type="gramStart"/>
      <w:r w:rsidRPr="00F02F04">
        <w:rPr>
          <w:rFonts w:ascii="Times New Roman" w:hAnsi="Times New Roman" w:cs="Times New Roman"/>
          <w:i/>
          <w:sz w:val="24"/>
          <w:szCs w:val="24"/>
        </w:rPr>
        <w:t xml:space="preserve">, </w:t>
      </w:r>
      <w:r w:rsidRPr="00F02F04">
        <w:rPr>
          <w:rFonts w:ascii="Times New Roman" w:hAnsi="Times New Roman" w:cs="Times New Roman"/>
          <w:sz w:val="24"/>
          <w:szCs w:val="24"/>
        </w:rPr>
        <w:t xml:space="preserve"> in</w:t>
      </w:r>
      <w:proofErr w:type="gramEnd"/>
      <w:r w:rsidRPr="00F02F04">
        <w:rPr>
          <w:rFonts w:ascii="Times New Roman" w:hAnsi="Times New Roman" w:cs="Times New Roman"/>
          <w:sz w:val="24"/>
          <w:szCs w:val="24"/>
        </w:rPr>
        <w:t xml:space="preserve"> support of his submissions.  </w:t>
      </w:r>
    </w:p>
    <w:p w:rsidR="001C412E" w:rsidRPr="00F02F04" w:rsidRDefault="001C412E" w:rsidP="00F02F04">
      <w:pPr>
        <w:spacing w:after="0" w:line="360" w:lineRule="auto"/>
        <w:jc w:val="both"/>
        <w:rPr>
          <w:rFonts w:ascii="Times New Roman" w:hAnsi="Times New Roman" w:cs="Times New Roman"/>
          <w:sz w:val="24"/>
          <w:szCs w:val="24"/>
        </w:rPr>
      </w:pPr>
    </w:p>
    <w:p w:rsidR="001C412E" w:rsidRPr="00F02F04" w:rsidRDefault="001C412E"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In response, counsel for the respondent, </w:t>
      </w:r>
      <w:proofErr w:type="spellStart"/>
      <w:r w:rsidRPr="00F02F04">
        <w:rPr>
          <w:rFonts w:ascii="Times New Roman" w:hAnsi="Times New Roman" w:cs="Times New Roman"/>
          <w:sz w:val="24"/>
          <w:szCs w:val="24"/>
        </w:rPr>
        <w:t>Mr.</w:t>
      </w:r>
      <w:proofErr w:type="spellEnd"/>
      <w:r w:rsidRPr="00F02F04">
        <w:rPr>
          <w:rFonts w:ascii="Times New Roman" w:hAnsi="Times New Roman" w:cs="Times New Roman"/>
          <w:sz w:val="24"/>
          <w:szCs w:val="24"/>
        </w:rPr>
        <w:t xml:space="preserve"> Samuel </w:t>
      </w:r>
      <w:proofErr w:type="spellStart"/>
      <w:r w:rsidRPr="00F02F04">
        <w:rPr>
          <w:rFonts w:ascii="Times New Roman" w:hAnsi="Times New Roman" w:cs="Times New Roman"/>
          <w:sz w:val="24"/>
          <w:szCs w:val="24"/>
        </w:rPr>
        <w:t>Ondoma</w:t>
      </w:r>
      <w:proofErr w:type="spellEnd"/>
      <w:r w:rsidRPr="00F02F04">
        <w:rPr>
          <w:rFonts w:ascii="Times New Roman" w:hAnsi="Times New Roman" w:cs="Times New Roman"/>
          <w:sz w:val="24"/>
          <w:szCs w:val="24"/>
        </w:rPr>
        <w:t xml:space="preserve"> argued that through their counsel, the applicants had been effectively served with a hearing notice and had absented themselves from the proceedings. The applicants were negligent themselves in failing to make a follow-up of their case with their advocate. The respondent had proceeded to execute the decree by attachment and sale of the applicant’s fertiliser and therefore prayed court to dismiss the application.</w:t>
      </w:r>
    </w:p>
    <w:p w:rsidR="001C412E" w:rsidRPr="00F02F04" w:rsidRDefault="001C412E" w:rsidP="00F02F04">
      <w:pPr>
        <w:spacing w:after="0" w:line="360" w:lineRule="auto"/>
        <w:jc w:val="both"/>
        <w:rPr>
          <w:rFonts w:ascii="Times New Roman" w:hAnsi="Times New Roman" w:cs="Times New Roman"/>
          <w:sz w:val="24"/>
          <w:szCs w:val="24"/>
        </w:rPr>
      </w:pPr>
    </w:p>
    <w:p w:rsidR="001C412E" w:rsidRPr="00F02F04" w:rsidRDefault="001C412E"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In its ruling, the court below stated that when the court decided to </w:t>
      </w:r>
      <w:proofErr w:type="gramStart"/>
      <w:r w:rsidRPr="00F02F04">
        <w:rPr>
          <w:rFonts w:ascii="Times New Roman" w:hAnsi="Times New Roman" w:cs="Times New Roman"/>
          <w:sz w:val="24"/>
          <w:szCs w:val="24"/>
        </w:rPr>
        <w:t>proceed</w:t>
      </w:r>
      <w:proofErr w:type="gramEnd"/>
      <w:r w:rsidRPr="00F02F04">
        <w:rPr>
          <w:rFonts w:ascii="Times New Roman" w:hAnsi="Times New Roman" w:cs="Times New Roman"/>
          <w:sz w:val="24"/>
          <w:szCs w:val="24"/>
        </w:rPr>
        <w:t xml:space="preserve"> ex-parte, there was an affidavit of service on record as proof of the fact that the applicant had been duly served with a hearing notice. </w:t>
      </w:r>
      <w:r w:rsidR="008649B1" w:rsidRPr="00F02F04">
        <w:rPr>
          <w:rFonts w:ascii="Times New Roman" w:hAnsi="Times New Roman" w:cs="Times New Roman"/>
          <w:sz w:val="24"/>
          <w:szCs w:val="24"/>
        </w:rPr>
        <w:t xml:space="preserve"> Citing Order 3 r 4 of </w:t>
      </w:r>
      <w:r w:rsidR="008649B1" w:rsidRPr="00F02F04">
        <w:rPr>
          <w:rFonts w:ascii="Times New Roman" w:hAnsi="Times New Roman" w:cs="Times New Roman"/>
          <w:i/>
          <w:sz w:val="24"/>
          <w:szCs w:val="24"/>
        </w:rPr>
        <w:t>The Civil Procedure rules</w:t>
      </w:r>
      <w:r w:rsidR="008649B1" w:rsidRPr="00F02F04">
        <w:rPr>
          <w:rFonts w:ascii="Times New Roman" w:hAnsi="Times New Roman" w:cs="Times New Roman"/>
          <w:sz w:val="24"/>
          <w:szCs w:val="24"/>
        </w:rPr>
        <w:t xml:space="preserve">, the court held that any process served on the advocate of any party or left at the office or ordinary residence of the advocate, whether the process is for the personal appearance of the party or not, is presumed to be duly communicated and made known to the party whom the advocate represents, and, unless the court otherwise directs, is effectual for all purposes as if the process had been given to or served on the party in person. The trial magistrate expressed concern that litigants who engage “negligent” advocates </w:t>
      </w:r>
      <w:r w:rsidR="006A6D9C" w:rsidRPr="00F02F04">
        <w:rPr>
          <w:rFonts w:ascii="Times New Roman" w:hAnsi="Times New Roman" w:cs="Times New Roman"/>
          <w:sz w:val="24"/>
          <w:szCs w:val="24"/>
        </w:rPr>
        <w:t xml:space="preserve">unnecessarily prolong trials and </w:t>
      </w:r>
      <w:r w:rsidR="008649B1" w:rsidRPr="00F02F04">
        <w:rPr>
          <w:rFonts w:ascii="Times New Roman" w:hAnsi="Times New Roman" w:cs="Times New Roman"/>
          <w:sz w:val="24"/>
          <w:szCs w:val="24"/>
        </w:rPr>
        <w:t xml:space="preserve">then stated that; “I therefore choose not to </w:t>
      </w:r>
      <w:r w:rsidR="006A6D9C" w:rsidRPr="00F02F04">
        <w:rPr>
          <w:rFonts w:ascii="Times New Roman" w:hAnsi="Times New Roman" w:cs="Times New Roman"/>
          <w:sz w:val="24"/>
          <w:szCs w:val="24"/>
        </w:rPr>
        <w:t>follow</w:t>
      </w:r>
      <w:r w:rsidR="008649B1" w:rsidRPr="00F02F04">
        <w:rPr>
          <w:rFonts w:ascii="Times New Roman" w:hAnsi="Times New Roman" w:cs="Times New Roman"/>
          <w:sz w:val="24"/>
          <w:szCs w:val="24"/>
        </w:rPr>
        <w:t xml:space="preserve"> the case law but the rule which </w:t>
      </w:r>
      <w:r w:rsidR="006A6D9C" w:rsidRPr="00F02F04">
        <w:rPr>
          <w:rFonts w:ascii="Times New Roman" w:hAnsi="Times New Roman" w:cs="Times New Roman"/>
          <w:sz w:val="24"/>
          <w:szCs w:val="24"/>
        </w:rPr>
        <w:t>provides</w:t>
      </w:r>
      <w:r w:rsidR="008649B1" w:rsidRPr="00F02F04">
        <w:rPr>
          <w:rFonts w:ascii="Times New Roman" w:hAnsi="Times New Roman" w:cs="Times New Roman"/>
          <w:sz w:val="24"/>
          <w:szCs w:val="24"/>
        </w:rPr>
        <w:t xml:space="preserve"> that service on an advocate shall be effectual for all purposes as if the process had been given or served on the party in person.” He therefore dismissed the application with costs to the respondent.</w:t>
      </w:r>
    </w:p>
    <w:p w:rsidR="006A6D9C" w:rsidRPr="00F02F04" w:rsidRDefault="006A6D9C" w:rsidP="00F02F04">
      <w:pPr>
        <w:spacing w:after="0" w:line="360" w:lineRule="auto"/>
        <w:jc w:val="both"/>
        <w:rPr>
          <w:rFonts w:ascii="Times New Roman" w:hAnsi="Times New Roman" w:cs="Times New Roman"/>
          <w:sz w:val="24"/>
          <w:szCs w:val="24"/>
        </w:rPr>
      </w:pPr>
    </w:p>
    <w:p w:rsidR="006A6D9C" w:rsidRPr="00F02F04" w:rsidRDefault="006A6D9C" w:rsidP="00F02F04">
      <w:pPr>
        <w:spacing w:after="0" w:line="360" w:lineRule="auto"/>
        <w:jc w:val="both"/>
        <w:rPr>
          <w:rFonts w:ascii="Times New Roman" w:hAnsi="Times New Roman" w:cs="Times New Roman"/>
          <w:sz w:val="24"/>
          <w:szCs w:val="24"/>
        </w:rPr>
      </w:pPr>
    </w:p>
    <w:p w:rsidR="00440D0D" w:rsidRPr="00F02F04" w:rsidRDefault="00440D0D" w:rsidP="00F02F04">
      <w:pPr>
        <w:spacing w:after="0" w:line="360" w:lineRule="auto"/>
        <w:jc w:val="both"/>
        <w:rPr>
          <w:rFonts w:ascii="Times New Roman" w:hAnsi="Times New Roman" w:cs="Times New Roman"/>
          <w:sz w:val="24"/>
          <w:szCs w:val="24"/>
        </w:rPr>
      </w:pPr>
    </w:p>
    <w:p w:rsidR="00C87657" w:rsidRPr="00F02F04" w:rsidRDefault="0071667F" w:rsidP="00F02F04">
      <w:pPr>
        <w:autoSpaceDE w:val="0"/>
        <w:autoSpaceDN w:val="0"/>
        <w:adjustRightInd w:val="0"/>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Being dissatisfied with the </w:t>
      </w:r>
      <w:r w:rsidR="00C87657" w:rsidRPr="00F02F04">
        <w:rPr>
          <w:rFonts w:ascii="Times New Roman" w:hAnsi="Times New Roman" w:cs="Times New Roman"/>
          <w:sz w:val="24"/>
          <w:szCs w:val="24"/>
        </w:rPr>
        <w:t>decision</w:t>
      </w:r>
      <w:r w:rsidR="004B530E" w:rsidRPr="00F02F04">
        <w:rPr>
          <w:rFonts w:ascii="Times New Roman" w:hAnsi="Times New Roman" w:cs="Times New Roman"/>
          <w:sz w:val="24"/>
          <w:szCs w:val="24"/>
        </w:rPr>
        <w:t>,</w:t>
      </w:r>
      <w:r w:rsidR="00C87657" w:rsidRPr="00F02F04">
        <w:rPr>
          <w:rFonts w:ascii="Times New Roman" w:hAnsi="Times New Roman" w:cs="Times New Roman"/>
          <w:sz w:val="24"/>
          <w:szCs w:val="24"/>
        </w:rPr>
        <w:t xml:space="preserve"> </w:t>
      </w:r>
      <w:r w:rsidR="00297141" w:rsidRPr="00F02F04">
        <w:rPr>
          <w:rFonts w:ascii="Times New Roman" w:hAnsi="Times New Roman" w:cs="Times New Roman"/>
          <w:sz w:val="24"/>
          <w:szCs w:val="24"/>
        </w:rPr>
        <w:t>the appellant</w:t>
      </w:r>
      <w:r w:rsidRPr="00F02F04">
        <w:rPr>
          <w:rFonts w:ascii="Times New Roman" w:hAnsi="Times New Roman" w:cs="Times New Roman"/>
          <w:sz w:val="24"/>
          <w:szCs w:val="24"/>
        </w:rPr>
        <w:t xml:space="preserve"> appeal</w:t>
      </w:r>
      <w:r w:rsidR="00297141" w:rsidRPr="00F02F04">
        <w:rPr>
          <w:rFonts w:ascii="Times New Roman" w:hAnsi="Times New Roman" w:cs="Times New Roman"/>
          <w:sz w:val="24"/>
          <w:szCs w:val="24"/>
        </w:rPr>
        <w:t>s</w:t>
      </w:r>
      <w:r w:rsidRPr="00F02F04">
        <w:rPr>
          <w:rFonts w:ascii="Times New Roman" w:hAnsi="Times New Roman" w:cs="Times New Roman"/>
          <w:sz w:val="24"/>
          <w:szCs w:val="24"/>
        </w:rPr>
        <w:t xml:space="preserve"> on </w:t>
      </w:r>
      <w:r w:rsidR="004B530E" w:rsidRPr="00F02F04">
        <w:rPr>
          <w:rFonts w:ascii="Times New Roman" w:hAnsi="Times New Roman" w:cs="Times New Roman"/>
          <w:sz w:val="24"/>
          <w:szCs w:val="24"/>
        </w:rPr>
        <w:t>f</w:t>
      </w:r>
      <w:r w:rsidR="006A6D9C" w:rsidRPr="00F02F04">
        <w:rPr>
          <w:rFonts w:ascii="Times New Roman" w:hAnsi="Times New Roman" w:cs="Times New Roman"/>
          <w:sz w:val="24"/>
          <w:szCs w:val="24"/>
        </w:rPr>
        <w:t>our</w:t>
      </w:r>
      <w:r w:rsidR="004B530E" w:rsidRPr="00F02F04">
        <w:rPr>
          <w:rFonts w:ascii="Times New Roman" w:hAnsi="Times New Roman" w:cs="Times New Roman"/>
          <w:sz w:val="24"/>
          <w:szCs w:val="24"/>
        </w:rPr>
        <w:t xml:space="preserve"> </w:t>
      </w:r>
      <w:r w:rsidRPr="00F02F04">
        <w:rPr>
          <w:rFonts w:ascii="Times New Roman" w:hAnsi="Times New Roman" w:cs="Times New Roman"/>
          <w:sz w:val="24"/>
          <w:szCs w:val="24"/>
        </w:rPr>
        <w:t>grounds</w:t>
      </w:r>
      <w:r w:rsidR="00AF4B4F" w:rsidRPr="00F02F04">
        <w:rPr>
          <w:rFonts w:ascii="Times New Roman" w:hAnsi="Times New Roman" w:cs="Times New Roman"/>
          <w:sz w:val="24"/>
          <w:szCs w:val="24"/>
        </w:rPr>
        <w:t>,</w:t>
      </w:r>
      <w:r w:rsidR="00C87657" w:rsidRPr="00F02F04">
        <w:rPr>
          <w:rFonts w:ascii="Times New Roman" w:hAnsi="Times New Roman" w:cs="Times New Roman"/>
          <w:sz w:val="24"/>
          <w:szCs w:val="24"/>
        </w:rPr>
        <w:t xml:space="preserve"> </w:t>
      </w:r>
      <w:r w:rsidR="006A6D9C" w:rsidRPr="00F02F04">
        <w:rPr>
          <w:rFonts w:ascii="Times New Roman" w:hAnsi="Times New Roman" w:cs="Times New Roman"/>
          <w:sz w:val="24"/>
          <w:szCs w:val="24"/>
        </w:rPr>
        <w:t>namely</w:t>
      </w:r>
      <w:r w:rsidR="004B530E" w:rsidRPr="00F02F04">
        <w:rPr>
          <w:rFonts w:ascii="Times New Roman" w:hAnsi="Times New Roman" w:cs="Times New Roman"/>
          <w:sz w:val="24"/>
          <w:szCs w:val="24"/>
        </w:rPr>
        <w:t>;</w:t>
      </w:r>
    </w:p>
    <w:p w:rsidR="00C87657" w:rsidRPr="00F02F04" w:rsidRDefault="00C87657" w:rsidP="00F02F04">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F02F04">
        <w:rPr>
          <w:rFonts w:ascii="Times New Roman" w:hAnsi="Times New Roman" w:cs="Times New Roman"/>
          <w:sz w:val="24"/>
          <w:szCs w:val="24"/>
        </w:rPr>
        <w:t xml:space="preserve">The learned </w:t>
      </w:r>
      <w:r w:rsidR="006A6D9C" w:rsidRPr="00F02F04">
        <w:rPr>
          <w:rFonts w:ascii="Times New Roman" w:hAnsi="Times New Roman" w:cs="Times New Roman"/>
          <w:sz w:val="24"/>
          <w:szCs w:val="24"/>
        </w:rPr>
        <w:t>Chief</w:t>
      </w:r>
      <w:r w:rsidRPr="00F02F04">
        <w:rPr>
          <w:rFonts w:ascii="Times New Roman" w:hAnsi="Times New Roman" w:cs="Times New Roman"/>
          <w:sz w:val="24"/>
          <w:szCs w:val="24"/>
        </w:rPr>
        <w:t xml:space="preserve"> magistrate </w:t>
      </w:r>
      <w:r w:rsidR="00A30D63" w:rsidRPr="00F02F04">
        <w:rPr>
          <w:rFonts w:ascii="Times New Roman" w:hAnsi="Times New Roman" w:cs="Times New Roman"/>
          <w:sz w:val="24"/>
          <w:szCs w:val="24"/>
        </w:rPr>
        <w:t xml:space="preserve">erred in law and fact </w:t>
      </w:r>
      <w:r w:rsidR="006A6D9C" w:rsidRPr="00F02F04">
        <w:rPr>
          <w:rFonts w:ascii="Times New Roman" w:hAnsi="Times New Roman" w:cs="Times New Roman"/>
          <w:sz w:val="24"/>
          <w:szCs w:val="24"/>
        </w:rPr>
        <w:t>in dismissing the application on the basis that there must be an end to litigation</w:t>
      </w:r>
      <w:r w:rsidR="004B530E" w:rsidRPr="00F02F04">
        <w:rPr>
          <w:rFonts w:ascii="Times New Roman" w:hAnsi="Times New Roman" w:cs="Times New Roman"/>
          <w:sz w:val="24"/>
          <w:szCs w:val="24"/>
        </w:rPr>
        <w:t>.</w:t>
      </w:r>
    </w:p>
    <w:p w:rsidR="00C87657" w:rsidRPr="00F02F04" w:rsidRDefault="00257508" w:rsidP="00F02F04">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F02F04">
        <w:rPr>
          <w:rFonts w:ascii="Times New Roman" w:hAnsi="Times New Roman" w:cs="Times New Roman"/>
          <w:sz w:val="24"/>
          <w:szCs w:val="24"/>
        </w:rPr>
        <w:t>The learned Chief magistrate erred in law and fact in dismissing the application without properly evaluating the evidence thereby coming to a wrong conclusion</w:t>
      </w:r>
      <w:r w:rsidR="008F0051" w:rsidRPr="00F02F04">
        <w:rPr>
          <w:rFonts w:ascii="Times New Roman" w:hAnsi="Times New Roman" w:cs="Times New Roman"/>
          <w:sz w:val="24"/>
          <w:szCs w:val="24"/>
        </w:rPr>
        <w:t>.</w:t>
      </w:r>
    </w:p>
    <w:p w:rsidR="008F0051" w:rsidRPr="00F02F04" w:rsidRDefault="00257508" w:rsidP="00F02F04">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F02F04">
        <w:rPr>
          <w:rFonts w:ascii="Times New Roman" w:hAnsi="Times New Roman" w:cs="Times New Roman"/>
          <w:sz w:val="24"/>
          <w:szCs w:val="24"/>
        </w:rPr>
        <w:t>The learned Chief magistrate erred in law and fact in dismissing the application without considering the binding authorities placed before him</w:t>
      </w:r>
      <w:r w:rsidR="008F0051" w:rsidRPr="00F02F04">
        <w:rPr>
          <w:rFonts w:ascii="Times New Roman" w:hAnsi="Times New Roman" w:cs="Times New Roman"/>
          <w:sz w:val="24"/>
          <w:szCs w:val="24"/>
        </w:rPr>
        <w:t>.</w:t>
      </w:r>
    </w:p>
    <w:p w:rsidR="00DE2FC0" w:rsidRPr="00F02F04" w:rsidRDefault="00257508" w:rsidP="00F02F04">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F02F04">
        <w:rPr>
          <w:rFonts w:ascii="Times New Roman" w:hAnsi="Times New Roman" w:cs="Times New Roman"/>
          <w:sz w:val="24"/>
          <w:szCs w:val="24"/>
        </w:rPr>
        <w:t xml:space="preserve">The learned Chief magistrate erred in law and fact when he exercised his jurisdiction without due regard to the justice of the case thereby reaching a wrong </w:t>
      </w:r>
      <w:r w:rsidR="00143924" w:rsidRPr="00F02F04">
        <w:rPr>
          <w:rFonts w:ascii="Times New Roman" w:hAnsi="Times New Roman" w:cs="Times New Roman"/>
          <w:sz w:val="24"/>
          <w:szCs w:val="24"/>
        </w:rPr>
        <w:t>conclusion</w:t>
      </w:r>
      <w:r w:rsidR="00DE2FC0" w:rsidRPr="00F02F04">
        <w:rPr>
          <w:rFonts w:ascii="Times New Roman" w:hAnsi="Times New Roman" w:cs="Times New Roman"/>
          <w:sz w:val="24"/>
          <w:szCs w:val="24"/>
        </w:rPr>
        <w:t>.</w:t>
      </w:r>
    </w:p>
    <w:p w:rsidR="008F0051" w:rsidRPr="00F02F04" w:rsidRDefault="008F0051" w:rsidP="00F02F04">
      <w:pPr>
        <w:autoSpaceDE w:val="0"/>
        <w:autoSpaceDN w:val="0"/>
        <w:adjustRightInd w:val="0"/>
        <w:spacing w:after="0" w:line="360" w:lineRule="auto"/>
        <w:jc w:val="both"/>
        <w:rPr>
          <w:rFonts w:ascii="Times New Roman" w:hAnsi="Times New Roman" w:cs="Times New Roman"/>
          <w:sz w:val="24"/>
          <w:szCs w:val="24"/>
        </w:rPr>
      </w:pPr>
    </w:p>
    <w:p w:rsidR="00861EFE" w:rsidRPr="00F02F04" w:rsidRDefault="008F0051" w:rsidP="00F02F04">
      <w:pPr>
        <w:autoSpaceDE w:val="0"/>
        <w:autoSpaceDN w:val="0"/>
        <w:adjustRightInd w:val="0"/>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Submitting in support of </w:t>
      </w:r>
      <w:r w:rsidR="00143924" w:rsidRPr="00F02F04">
        <w:rPr>
          <w:rFonts w:ascii="Times New Roman" w:hAnsi="Times New Roman" w:cs="Times New Roman"/>
          <w:sz w:val="24"/>
          <w:szCs w:val="24"/>
        </w:rPr>
        <w:t xml:space="preserve">and in opposition of </w:t>
      </w:r>
      <w:r w:rsidRPr="00F02F04">
        <w:rPr>
          <w:rFonts w:ascii="Times New Roman" w:hAnsi="Times New Roman" w:cs="Times New Roman"/>
          <w:sz w:val="24"/>
          <w:szCs w:val="24"/>
        </w:rPr>
        <w:t xml:space="preserve">the appeal, </w:t>
      </w:r>
      <w:r w:rsidR="00143924" w:rsidRPr="00F02F04">
        <w:rPr>
          <w:rFonts w:ascii="Times New Roman" w:hAnsi="Times New Roman" w:cs="Times New Roman"/>
          <w:sz w:val="24"/>
          <w:szCs w:val="24"/>
        </w:rPr>
        <w:t xml:space="preserve">both counsel </w:t>
      </w:r>
      <w:r w:rsidR="005B71BA" w:rsidRPr="00F02F04">
        <w:rPr>
          <w:rFonts w:ascii="Times New Roman" w:hAnsi="Times New Roman" w:cs="Times New Roman"/>
          <w:sz w:val="24"/>
          <w:szCs w:val="24"/>
        </w:rPr>
        <w:t>reiterated more or less the submissions the made before the court below and therefore there is no need to repeat them here</w:t>
      </w:r>
      <w:r w:rsidR="00723F89" w:rsidRPr="00F02F04">
        <w:rPr>
          <w:rFonts w:ascii="Times New Roman" w:hAnsi="Times New Roman" w:cs="Times New Roman"/>
          <w:sz w:val="24"/>
          <w:szCs w:val="24"/>
        </w:rPr>
        <w:t>.</w:t>
      </w:r>
      <w:r w:rsidR="005B71BA" w:rsidRPr="00F02F04">
        <w:rPr>
          <w:rFonts w:ascii="Times New Roman" w:hAnsi="Times New Roman" w:cs="Times New Roman"/>
          <w:sz w:val="24"/>
          <w:szCs w:val="24"/>
        </w:rPr>
        <w:t xml:space="preserve"> </w:t>
      </w:r>
      <w:r w:rsidR="00827C99" w:rsidRPr="00F02F04">
        <w:rPr>
          <w:rFonts w:ascii="Times New Roman" w:hAnsi="Times New Roman" w:cs="Times New Roman"/>
          <w:sz w:val="24"/>
          <w:szCs w:val="24"/>
        </w:rPr>
        <w:t xml:space="preserve">I observe that in the instant appeal, two binding precedents regarding what now is more or less settled law in respect of the impact of mistakes of counsel on the direction of their client’s litigation were cited to the court below but were not followed. </w:t>
      </w:r>
    </w:p>
    <w:p w:rsidR="00CA041D" w:rsidRPr="00F02F04" w:rsidRDefault="00CA041D" w:rsidP="00F02F04">
      <w:pPr>
        <w:spacing w:after="0" w:line="360" w:lineRule="auto"/>
        <w:jc w:val="both"/>
        <w:rPr>
          <w:rFonts w:ascii="Times New Roman" w:hAnsi="Times New Roman" w:cs="Times New Roman"/>
          <w:sz w:val="24"/>
          <w:szCs w:val="24"/>
        </w:rPr>
      </w:pPr>
    </w:p>
    <w:p w:rsidR="00311B54" w:rsidRPr="00F02F04" w:rsidRDefault="005B71BA"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The doctrine of binding precedent requires that the rule in a relevant previous decision must be followed ''because it is a previous decision and for no other reason</w:t>
      </w:r>
      <w:r w:rsidR="00311B54" w:rsidRPr="00F02F04">
        <w:rPr>
          <w:rFonts w:ascii="Times New Roman" w:hAnsi="Times New Roman" w:cs="Times New Roman"/>
          <w:sz w:val="24"/>
          <w:szCs w:val="24"/>
        </w:rPr>
        <w:t>...</w:t>
      </w:r>
      <w:r w:rsidRPr="00F02F04">
        <w:rPr>
          <w:rFonts w:ascii="Times New Roman" w:hAnsi="Times New Roman" w:cs="Times New Roman"/>
          <w:sz w:val="24"/>
          <w:szCs w:val="24"/>
        </w:rPr>
        <w:t xml:space="preserve">." </w:t>
      </w:r>
      <w:proofErr w:type="gramStart"/>
      <w:r w:rsidRPr="00F02F04">
        <w:rPr>
          <w:rFonts w:ascii="Times New Roman" w:hAnsi="Times New Roman" w:cs="Times New Roman"/>
          <w:sz w:val="24"/>
          <w:szCs w:val="24"/>
        </w:rPr>
        <w:t xml:space="preserve">(See M. </w:t>
      </w:r>
      <w:proofErr w:type="spellStart"/>
      <w:r w:rsidRPr="00F02F04">
        <w:rPr>
          <w:rFonts w:ascii="Times New Roman" w:hAnsi="Times New Roman" w:cs="Times New Roman"/>
          <w:sz w:val="24"/>
          <w:szCs w:val="24"/>
        </w:rPr>
        <w:t>Radin</w:t>
      </w:r>
      <w:proofErr w:type="spellEnd"/>
      <w:r w:rsidRPr="00F02F04">
        <w:rPr>
          <w:rFonts w:ascii="Times New Roman" w:hAnsi="Times New Roman" w:cs="Times New Roman"/>
          <w:sz w:val="24"/>
          <w:szCs w:val="24"/>
        </w:rPr>
        <w:t xml:space="preserve">, </w:t>
      </w:r>
      <w:r w:rsidRPr="00F02F04">
        <w:rPr>
          <w:rFonts w:ascii="Times New Roman" w:hAnsi="Times New Roman" w:cs="Times New Roman"/>
          <w:i/>
          <w:sz w:val="24"/>
          <w:szCs w:val="24"/>
        </w:rPr>
        <w:t xml:space="preserve">"Case Law and Stare </w:t>
      </w:r>
      <w:proofErr w:type="spellStart"/>
      <w:r w:rsidRPr="00F02F04">
        <w:rPr>
          <w:rFonts w:ascii="Times New Roman" w:hAnsi="Times New Roman" w:cs="Times New Roman"/>
          <w:i/>
          <w:sz w:val="24"/>
          <w:szCs w:val="24"/>
        </w:rPr>
        <w:t>Decisis</w:t>
      </w:r>
      <w:proofErr w:type="spellEnd"/>
      <w:r w:rsidRPr="00F02F04">
        <w:rPr>
          <w:rFonts w:ascii="Times New Roman" w:hAnsi="Times New Roman" w:cs="Times New Roman"/>
          <w:i/>
          <w:sz w:val="24"/>
          <w:szCs w:val="24"/>
        </w:rPr>
        <w:t xml:space="preserve">: Concerning </w:t>
      </w:r>
      <w:proofErr w:type="spellStart"/>
      <w:r w:rsidRPr="00F02F04">
        <w:rPr>
          <w:rFonts w:ascii="Times New Roman" w:hAnsi="Times New Roman" w:cs="Times New Roman"/>
          <w:i/>
          <w:sz w:val="24"/>
          <w:szCs w:val="24"/>
        </w:rPr>
        <w:t>Priijudizienrecht</w:t>
      </w:r>
      <w:proofErr w:type="spellEnd"/>
      <w:r w:rsidRPr="00F02F04">
        <w:rPr>
          <w:rFonts w:ascii="Times New Roman" w:hAnsi="Times New Roman" w:cs="Times New Roman"/>
          <w:i/>
          <w:sz w:val="24"/>
          <w:szCs w:val="24"/>
        </w:rPr>
        <w:t xml:space="preserve"> in </w:t>
      </w:r>
      <w:proofErr w:type="spellStart"/>
      <w:r w:rsidRPr="00F02F04">
        <w:rPr>
          <w:rFonts w:ascii="Times New Roman" w:hAnsi="Times New Roman" w:cs="Times New Roman"/>
          <w:i/>
          <w:sz w:val="24"/>
          <w:szCs w:val="24"/>
        </w:rPr>
        <w:t>Amerika</w:t>
      </w:r>
      <w:proofErr w:type="spellEnd"/>
      <w:r w:rsidRPr="00F02F04">
        <w:rPr>
          <w:rFonts w:ascii="Times New Roman" w:hAnsi="Times New Roman" w:cs="Times New Roman"/>
          <w:i/>
          <w:sz w:val="24"/>
          <w:szCs w:val="24"/>
        </w:rPr>
        <w:t>"</w:t>
      </w:r>
      <w:r w:rsidRPr="00F02F04">
        <w:rPr>
          <w:rFonts w:ascii="Times New Roman" w:hAnsi="Times New Roman" w:cs="Times New Roman"/>
          <w:sz w:val="24"/>
          <w:szCs w:val="24"/>
        </w:rPr>
        <w:t xml:space="preserve">, (1933) 33 Columbia Law Review </w:t>
      </w:r>
      <w:r w:rsidR="00311B54" w:rsidRPr="00F02F04">
        <w:rPr>
          <w:rFonts w:ascii="Times New Roman" w:hAnsi="Times New Roman" w:cs="Times New Roman"/>
          <w:sz w:val="24"/>
          <w:szCs w:val="24"/>
        </w:rPr>
        <w:t>200-201)</w:t>
      </w:r>
      <w:r w:rsidR="005B0078" w:rsidRPr="00F02F04">
        <w:rPr>
          <w:rFonts w:ascii="Times New Roman" w:hAnsi="Times New Roman" w:cs="Times New Roman"/>
          <w:sz w:val="24"/>
          <w:szCs w:val="24"/>
        </w:rPr>
        <w:t>.</w:t>
      </w:r>
      <w:proofErr w:type="gramEnd"/>
      <w:r w:rsidR="005B0078" w:rsidRPr="00F02F04">
        <w:rPr>
          <w:rFonts w:ascii="Times New Roman" w:hAnsi="Times New Roman" w:cs="Times New Roman"/>
          <w:sz w:val="24"/>
          <w:szCs w:val="24"/>
        </w:rPr>
        <w:t xml:space="preserve"> </w:t>
      </w:r>
      <w:r w:rsidR="00311B54" w:rsidRPr="00F02F04">
        <w:rPr>
          <w:rFonts w:ascii="Times New Roman" w:hAnsi="Times New Roman" w:cs="Times New Roman"/>
          <w:sz w:val="24"/>
          <w:szCs w:val="24"/>
        </w:rPr>
        <w:t>Through the acquisition of "the accumulated experience of the past" and by binding later courts, precedents provide for uniformity to a large extent, which is one of the most basic demands of justice.</w:t>
      </w:r>
      <w:r w:rsidR="009D0D89" w:rsidRPr="00F02F04">
        <w:rPr>
          <w:rFonts w:ascii="Times New Roman" w:hAnsi="Times New Roman" w:cs="Times New Roman"/>
          <w:sz w:val="24"/>
          <w:szCs w:val="24"/>
        </w:rPr>
        <w:t xml:space="preserve"> It is for that reason that in </w:t>
      </w:r>
      <w:r w:rsidR="009D0D89" w:rsidRPr="00F02F04">
        <w:rPr>
          <w:rFonts w:ascii="Times New Roman" w:hAnsi="Times New Roman" w:cs="Times New Roman"/>
          <w:i/>
          <w:sz w:val="24"/>
          <w:szCs w:val="24"/>
        </w:rPr>
        <w:t xml:space="preserve">Smith v </w:t>
      </w:r>
      <w:proofErr w:type="spellStart"/>
      <w:r w:rsidR="009D0D89" w:rsidRPr="00F02F04">
        <w:rPr>
          <w:rFonts w:ascii="Times New Roman" w:hAnsi="Times New Roman" w:cs="Times New Roman"/>
          <w:i/>
          <w:sz w:val="24"/>
          <w:szCs w:val="24"/>
        </w:rPr>
        <w:t>Allwright</w:t>
      </w:r>
      <w:proofErr w:type="spellEnd"/>
      <w:r w:rsidR="009D0D89" w:rsidRPr="00F02F04">
        <w:rPr>
          <w:rFonts w:ascii="Times New Roman" w:hAnsi="Times New Roman" w:cs="Times New Roman"/>
          <w:i/>
          <w:sz w:val="24"/>
          <w:szCs w:val="24"/>
        </w:rPr>
        <w:t xml:space="preserve"> (1944) 321 US 644, at 669</w:t>
      </w:r>
      <w:r w:rsidR="009D0D89" w:rsidRPr="00F02F04">
        <w:rPr>
          <w:rFonts w:ascii="Times New Roman" w:hAnsi="Times New Roman" w:cs="Times New Roman"/>
          <w:sz w:val="24"/>
          <w:szCs w:val="24"/>
        </w:rPr>
        <w:t>, Roberts J. commented; it of paramount importance that judicial decisions should not be like "a restricted railroad ticket, good for this day and train only.”</w:t>
      </w:r>
      <w:r w:rsidR="00385F9C" w:rsidRPr="00F02F04">
        <w:rPr>
          <w:rFonts w:ascii="Times New Roman" w:hAnsi="Times New Roman" w:cs="Times New Roman"/>
          <w:sz w:val="24"/>
          <w:szCs w:val="24"/>
        </w:rPr>
        <w:t xml:space="preserve"> Failure to follow binding precedent </w:t>
      </w:r>
      <w:r w:rsidR="00DF6BC6" w:rsidRPr="00F02F04">
        <w:rPr>
          <w:rFonts w:ascii="Times New Roman" w:hAnsi="Times New Roman" w:cs="Times New Roman"/>
          <w:sz w:val="24"/>
          <w:szCs w:val="24"/>
        </w:rPr>
        <w:t>creates “</w:t>
      </w:r>
      <w:r w:rsidR="00385F9C" w:rsidRPr="00F02F04">
        <w:rPr>
          <w:rFonts w:ascii="Times New Roman" w:hAnsi="Times New Roman" w:cs="Times New Roman"/>
          <w:sz w:val="24"/>
          <w:szCs w:val="24"/>
        </w:rPr>
        <w:t>the inconvenience of having each question subject to being re-argued and the dealings of mankind rendered doubtful by reason of different decisions, so that in truth and in fact there would be no real final court of appea</w:t>
      </w:r>
      <w:r w:rsidR="00DF6BC6" w:rsidRPr="00F02F04">
        <w:rPr>
          <w:rFonts w:ascii="Times New Roman" w:hAnsi="Times New Roman" w:cs="Times New Roman"/>
          <w:sz w:val="24"/>
          <w:szCs w:val="24"/>
        </w:rPr>
        <w:t xml:space="preserve">l,” (see </w:t>
      </w:r>
      <w:r w:rsidR="00DF6BC6" w:rsidRPr="00F02F04">
        <w:rPr>
          <w:rFonts w:ascii="Times New Roman" w:hAnsi="Times New Roman" w:cs="Times New Roman"/>
          <w:i/>
          <w:sz w:val="24"/>
          <w:szCs w:val="24"/>
        </w:rPr>
        <w:t>London Tramways v. London County Council [1898] AC 375</w:t>
      </w:r>
      <w:r w:rsidR="009E6D9A" w:rsidRPr="00F02F04">
        <w:rPr>
          <w:rFonts w:ascii="Times New Roman" w:hAnsi="Times New Roman" w:cs="Times New Roman"/>
          <w:i/>
          <w:sz w:val="24"/>
          <w:szCs w:val="24"/>
        </w:rPr>
        <w:t xml:space="preserve">at Per Lord </w:t>
      </w:r>
      <w:proofErr w:type="spellStart"/>
      <w:r w:rsidR="009E6D9A" w:rsidRPr="00F02F04">
        <w:rPr>
          <w:rFonts w:ascii="Times New Roman" w:hAnsi="Times New Roman" w:cs="Times New Roman"/>
          <w:i/>
          <w:sz w:val="24"/>
          <w:szCs w:val="24"/>
        </w:rPr>
        <w:t>Halsbury</w:t>
      </w:r>
      <w:proofErr w:type="spellEnd"/>
      <w:r w:rsidR="009E6D9A" w:rsidRPr="00F02F04">
        <w:rPr>
          <w:rFonts w:ascii="Times New Roman" w:hAnsi="Times New Roman" w:cs="Times New Roman"/>
          <w:i/>
          <w:sz w:val="24"/>
          <w:szCs w:val="24"/>
        </w:rPr>
        <w:t xml:space="preserve"> at p 380</w:t>
      </w:r>
      <w:r w:rsidR="00DF6BC6" w:rsidRPr="00F02F04">
        <w:rPr>
          <w:rFonts w:ascii="Times New Roman" w:hAnsi="Times New Roman" w:cs="Times New Roman"/>
          <w:sz w:val="24"/>
          <w:szCs w:val="24"/>
        </w:rPr>
        <w:t>).</w:t>
      </w:r>
    </w:p>
    <w:p w:rsidR="00893D1D" w:rsidRPr="00F02F04" w:rsidRDefault="00893D1D" w:rsidP="00F02F04">
      <w:pPr>
        <w:spacing w:after="0" w:line="360" w:lineRule="auto"/>
        <w:jc w:val="both"/>
        <w:rPr>
          <w:rFonts w:ascii="Times New Roman" w:hAnsi="Times New Roman" w:cs="Times New Roman"/>
          <w:sz w:val="24"/>
          <w:szCs w:val="24"/>
        </w:rPr>
      </w:pPr>
    </w:p>
    <w:p w:rsidR="00893D1D" w:rsidRPr="00F02F04" w:rsidRDefault="00893D1D"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By virtue of that doctrine, the Court of Appeal "has a duty to apply (that is, is bound to follow) any decision of the House of Lords which ... actually settles or covers the particular dispute before the Court" (see C. </w:t>
      </w:r>
      <w:proofErr w:type="spellStart"/>
      <w:r w:rsidRPr="00F02F04">
        <w:rPr>
          <w:rFonts w:ascii="Times New Roman" w:hAnsi="Times New Roman" w:cs="Times New Roman"/>
          <w:sz w:val="24"/>
          <w:szCs w:val="24"/>
        </w:rPr>
        <w:t>Rickett</w:t>
      </w:r>
      <w:proofErr w:type="spellEnd"/>
      <w:r w:rsidRPr="00F02F04">
        <w:rPr>
          <w:rFonts w:ascii="Times New Roman" w:hAnsi="Times New Roman" w:cs="Times New Roman"/>
          <w:sz w:val="24"/>
          <w:szCs w:val="24"/>
        </w:rPr>
        <w:t xml:space="preserve">, </w:t>
      </w:r>
      <w:r w:rsidRPr="00F02F04">
        <w:rPr>
          <w:rFonts w:ascii="Times New Roman" w:hAnsi="Times New Roman" w:cs="Times New Roman"/>
          <w:i/>
          <w:sz w:val="24"/>
          <w:szCs w:val="24"/>
        </w:rPr>
        <w:t>"Precedent in the Court of Appeal"</w:t>
      </w:r>
      <w:r w:rsidRPr="00F02F04">
        <w:rPr>
          <w:rFonts w:ascii="Times New Roman" w:hAnsi="Times New Roman" w:cs="Times New Roman"/>
          <w:sz w:val="24"/>
          <w:szCs w:val="24"/>
        </w:rPr>
        <w:t xml:space="preserve">, [1980] 43 Modern Law Review 136, at 137). </w:t>
      </w:r>
      <w:r w:rsidR="006D359E" w:rsidRPr="00F02F04">
        <w:rPr>
          <w:rFonts w:ascii="Times New Roman" w:hAnsi="Times New Roman" w:cs="Times New Roman"/>
          <w:sz w:val="24"/>
          <w:szCs w:val="24"/>
        </w:rPr>
        <w:t xml:space="preserve">In the hierarchical system of courts which exists in this country, “it is necessary for each lower tier ..... </w:t>
      </w:r>
      <w:proofErr w:type="gramStart"/>
      <w:r w:rsidR="006D359E" w:rsidRPr="00F02F04">
        <w:rPr>
          <w:rFonts w:ascii="Times New Roman" w:hAnsi="Times New Roman" w:cs="Times New Roman"/>
          <w:sz w:val="24"/>
          <w:szCs w:val="24"/>
        </w:rPr>
        <w:t>to</w:t>
      </w:r>
      <w:proofErr w:type="gramEnd"/>
      <w:r w:rsidR="006D359E" w:rsidRPr="00F02F04">
        <w:rPr>
          <w:rFonts w:ascii="Times New Roman" w:hAnsi="Times New Roman" w:cs="Times New Roman"/>
          <w:sz w:val="24"/>
          <w:szCs w:val="24"/>
        </w:rPr>
        <w:t xml:space="preserve"> accept loyally the decisions of the higher tiers" (see </w:t>
      </w:r>
      <w:proofErr w:type="spellStart"/>
      <w:r w:rsidR="006D359E" w:rsidRPr="00F02F04">
        <w:rPr>
          <w:rFonts w:ascii="Times New Roman" w:hAnsi="Times New Roman" w:cs="Times New Roman"/>
          <w:i/>
          <w:sz w:val="24"/>
          <w:szCs w:val="24"/>
        </w:rPr>
        <w:t>Cassell</w:t>
      </w:r>
      <w:proofErr w:type="spellEnd"/>
      <w:r w:rsidR="006D359E" w:rsidRPr="00F02F04">
        <w:rPr>
          <w:rFonts w:ascii="Times New Roman" w:hAnsi="Times New Roman" w:cs="Times New Roman"/>
          <w:i/>
          <w:sz w:val="24"/>
          <w:szCs w:val="24"/>
        </w:rPr>
        <w:t xml:space="preserve"> v.  </w:t>
      </w:r>
      <w:proofErr w:type="gramStart"/>
      <w:r w:rsidR="006D359E" w:rsidRPr="00F02F04">
        <w:rPr>
          <w:rFonts w:ascii="Times New Roman" w:hAnsi="Times New Roman" w:cs="Times New Roman"/>
          <w:i/>
          <w:sz w:val="24"/>
          <w:szCs w:val="24"/>
        </w:rPr>
        <w:t>Broome [1972] AC 1027 at 1054</w:t>
      </w:r>
      <w:r w:rsidR="006D359E" w:rsidRPr="00F02F04">
        <w:rPr>
          <w:rFonts w:ascii="Times New Roman" w:hAnsi="Times New Roman" w:cs="Times New Roman"/>
          <w:sz w:val="24"/>
          <w:szCs w:val="24"/>
        </w:rPr>
        <w:t>).</w:t>
      </w:r>
      <w:proofErr w:type="gramEnd"/>
    </w:p>
    <w:p w:rsidR="00311B54" w:rsidRPr="00F02F04" w:rsidRDefault="00311B54" w:rsidP="00F02F04">
      <w:pPr>
        <w:spacing w:after="0" w:line="360" w:lineRule="auto"/>
        <w:jc w:val="both"/>
        <w:rPr>
          <w:rFonts w:ascii="Times New Roman" w:hAnsi="Times New Roman" w:cs="Times New Roman"/>
          <w:sz w:val="24"/>
          <w:szCs w:val="24"/>
        </w:rPr>
      </w:pPr>
    </w:p>
    <w:p w:rsidR="009E6D9A" w:rsidRPr="00F02F04" w:rsidRDefault="009E6D9A"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For that reason, due regard is to be paid to the essential role of binding precedent, which in </w:t>
      </w:r>
      <w:r w:rsidRPr="00F02F04">
        <w:rPr>
          <w:rFonts w:ascii="Times New Roman" w:hAnsi="Times New Roman" w:cs="Times New Roman"/>
          <w:i/>
          <w:sz w:val="24"/>
          <w:szCs w:val="24"/>
        </w:rPr>
        <w:t>Practice Statement (Judicial Precedent) [1966] 1 WLR 1234</w:t>
      </w:r>
      <w:r w:rsidRPr="00F02F04">
        <w:rPr>
          <w:rFonts w:ascii="Times New Roman" w:hAnsi="Times New Roman" w:cs="Times New Roman"/>
          <w:sz w:val="24"/>
          <w:szCs w:val="24"/>
        </w:rPr>
        <w:t xml:space="preserve"> was explained thus;</w:t>
      </w:r>
    </w:p>
    <w:p w:rsidR="009E6D9A" w:rsidRPr="00F02F04" w:rsidRDefault="009E6D9A" w:rsidP="00F02F04">
      <w:pPr>
        <w:spacing w:after="0" w:line="360" w:lineRule="auto"/>
        <w:ind w:left="576" w:right="576"/>
        <w:jc w:val="both"/>
        <w:rPr>
          <w:rFonts w:ascii="Times New Roman" w:hAnsi="Times New Roman" w:cs="Times New Roman"/>
          <w:sz w:val="24"/>
          <w:szCs w:val="24"/>
        </w:rPr>
      </w:pPr>
      <w:r w:rsidRPr="00F02F04">
        <w:rPr>
          <w:rFonts w:ascii="Times New Roman" w:hAnsi="Times New Roman" w:cs="Times New Roman"/>
          <w:sz w:val="24"/>
          <w:szCs w:val="24"/>
        </w:rPr>
        <w:t xml:space="preserve">Their Lordships regard the use of precedent as an indispensable foundation upon which to decide what </w:t>
      </w:r>
      <w:proofErr w:type="gramStart"/>
      <w:r w:rsidRPr="00F02F04">
        <w:rPr>
          <w:rFonts w:ascii="Times New Roman" w:hAnsi="Times New Roman" w:cs="Times New Roman"/>
          <w:sz w:val="24"/>
          <w:szCs w:val="24"/>
        </w:rPr>
        <w:t>is</w:t>
      </w:r>
      <w:proofErr w:type="gramEnd"/>
      <w:r w:rsidRPr="00F02F04">
        <w:rPr>
          <w:rFonts w:ascii="Times New Roman" w:hAnsi="Times New Roman" w:cs="Times New Roman"/>
          <w:sz w:val="24"/>
          <w:szCs w:val="24"/>
        </w:rPr>
        <w:t xml:space="preserve"> the law and its application to individual cases. It provides at least some degree of certainty upon which individuals can rely in the conduct of their affairs, as well as a basis for orderly development of legal rules. Their Lordships nevertheless recognise that too rigid adherence to precedent may lead to injustice in a particular case and also unduly restrict the proper development of the law. They propose therefore to modify their present practice and, while treating former decisions of this House as normally binding, to depart from a previous decision when it appears right to do so.</w:t>
      </w:r>
    </w:p>
    <w:p w:rsidR="00311B54" w:rsidRPr="00F02F04" w:rsidRDefault="00311B54" w:rsidP="00F02F04">
      <w:pPr>
        <w:spacing w:after="0" w:line="360" w:lineRule="auto"/>
        <w:jc w:val="both"/>
        <w:rPr>
          <w:rFonts w:ascii="Times New Roman" w:hAnsi="Times New Roman" w:cs="Times New Roman"/>
          <w:sz w:val="24"/>
          <w:szCs w:val="24"/>
        </w:rPr>
      </w:pPr>
    </w:p>
    <w:p w:rsidR="00A0413E" w:rsidRPr="00F02F04" w:rsidRDefault="00A0413E"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Whereas the highest court in the hierarchy has the liberty to depart from its earlier decisions </w:t>
      </w:r>
      <w:r w:rsidR="001534A3" w:rsidRPr="00F02F04">
        <w:rPr>
          <w:rFonts w:ascii="Times New Roman" w:hAnsi="Times New Roman" w:cs="Times New Roman"/>
          <w:sz w:val="24"/>
          <w:szCs w:val="24"/>
        </w:rPr>
        <w:t xml:space="preserve">or to overrule its own decisions, </w:t>
      </w:r>
      <w:r w:rsidRPr="00F02F04">
        <w:rPr>
          <w:rFonts w:ascii="Times New Roman" w:hAnsi="Times New Roman" w:cs="Times New Roman"/>
          <w:sz w:val="24"/>
          <w:szCs w:val="24"/>
        </w:rPr>
        <w:t xml:space="preserve">where such decisions are likely to occasion an injustice in a particular case, </w:t>
      </w:r>
      <w:r w:rsidR="001534A3" w:rsidRPr="00F02F04">
        <w:rPr>
          <w:rFonts w:ascii="Times New Roman" w:hAnsi="Times New Roman" w:cs="Times New Roman"/>
          <w:sz w:val="24"/>
          <w:szCs w:val="24"/>
        </w:rPr>
        <w:t xml:space="preserve">or </w:t>
      </w:r>
      <w:r w:rsidR="00C12E80" w:rsidRPr="00F02F04">
        <w:rPr>
          <w:rFonts w:ascii="Times New Roman" w:hAnsi="Times New Roman" w:cs="Times New Roman"/>
          <w:sz w:val="24"/>
          <w:szCs w:val="24"/>
        </w:rPr>
        <w:t xml:space="preserve">where it appears right to do so, and to modify the previous pronouncements when they cease to conform with the social philosophy of the day, </w:t>
      </w:r>
      <w:r w:rsidRPr="00F02F04">
        <w:rPr>
          <w:rFonts w:ascii="Times New Roman" w:hAnsi="Times New Roman" w:cs="Times New Roman"/>
          <w:sz w:val="24"/>
          <w:szCs w:val="24"/>
        </w:rPr>
        <w:t xml:space="preserve">the courts below do not have such a liberty. They are bound to follow </w:t>
      </w:r>
      <w:r w:rsidR="001534A3" w:rsidRPr="00F02F04">
        <w:rPr>
          <w:rFonts w:ascii="Times New Roman" w:hAnsi="Times New Roman" w:cs="Times New Roman"/>
          <w:sz w:val="24"/>
          <w:szCs w:val="24"/>
        </w:rPr>
        <w:t>such</w:t>
      </w:r>
      <w:r w:rsidRPr="00F02F04">
        <w:rPr>
          <w:rFonts w:ascii="Times New Roman" w:hAnsi="Times New Roman" w:cs="Times New Roman"/>
          <w:sz w:val="24"/>
          <w:szCs w:val="24"/>
        </w:rPr>
        <w:t xml:space="preserve"> decision unless </w:t>
      </w:r>
      <w:r w:rsidR="001534A3" w:rsidRPr="00F02F04">
        <w:rPr>
          <w:rFonts w:ascii="Times New Roman" w:hAnsi="Times New Roman" w:cs="Times New Roman"/>
          <w:sz w:val="24"/>
          <w:szCs w:val="24"/>
        </w:rPr>
        <w:t>they</w:t>
      </w:r>
      <w:r w:rsidRPr="00F02F04">
        <w:rPr>
          <w:rFonts w:ascii="Times New Roman" w:hAnsi="Times New Roman" w:cs="Times New Roman"/>
          <w:sz w:val="24"/>
          <w:szCs w:val="24"/>
        </w:rPr>
        <w:t xml:space="preserve"> can be distinguished</w:t>
      </w:r>
      <w:r w:rsidR="00B830B8" w:rsidRPr="00F02F04">
        <w:rPr>
          <w:rFonts w:ascii="Times New Roman" w:hAnsi="Times New Roman" w:cs="Times New Roman"/>
          <w:sz w:val="24"/>
          <w:szCs w:val="24"/>
        </w:rPr>
        <w:t xml:space="preserve">. The rule is so strict that even for the highest court, mere discovery that an earlier decision was wrong does not of itself justify a departure from it (see </w:t>
      </w:r>
      <w:r w:rsidR="00B830B8" w:rsidRPr="00F02F04">
        <w:rPr>
          <w:rFonts w:ascii="Times New Roman" w:hAnsi="Times New Roman" w:cs="Times New Roman"/>
          <w:i/>
          <w:sz w:val="24"/>
          <w:szCs w:val="24"/>
        </w:rPr>
        <w:t>Jones v. Secretary of State for Social Services [1972] 1AC 944</w:t>
      </w:r>
      <w:r w:rsidR="00B830B8" w:rsidRPr="00F02F04">
        <w:rPr>
          <w:rFonts w:ascii="Times New Roman" w:hAnsi="Times New Roman" w:cs="Times New Roman"/>
          <w:sz w:val="24"/>
          <w:szCs w:val="24"/>
        </w:rPr>
        <w:t xml:space="preserve">). </w:t>
      </w:r>
    </w:p>
    <w:p w:rsidR="004172E7" w:rsidRPr="00F02F04" w:rsidRDefault="004172E7" w:rsidP="00F02F04">
      <w:pPr>
        <w:spacing w:after="0" w:line="360" w:lineRule="auto"/>
        <w:jc w:val="both"/>
        <w:rPr>
          <w:rFonts w:ascii="Times New Roman" w:hAnsi="Times New Roman" w:cs="Times New Roman"/>
          <w:sz w:val="24"/>
          <w:szCs w:val="24"/>
        </w:rPr>
      </w:pPr>
    </w:p>
    <w:p w:rsidR="004172E7" w:rsidRPr="00F02F04" w:rsidRDefault="004172E7"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To avoid an inconvenient </w:t>
      </w:r>
      <w:r w:rsidR="00893D1D" w:rsidRPr="00F02F04">
        <w:rPr>
          <w:rFonts w:ascii="Times New Roman" w:hAnsi="Times New Roman" w:cs="Times New Roman"/>
          <w:sz w:val="24"/>
          <w:szCs w:val="24"/>
        </w:rPr>
        <w:t xml:space="preserve">but otherwise binding </w:t>
      </w:r>
      <w:r w:rsidRPr="00F02F04">
        <w:rPr>
          <w:rFonts w:ascii="Times New Roman" w:hAnsi="Times New Roman" w:cs="Times New Roman"/>
          <w:sz w:val="24"/>
          <w:szCs w:val="24"/>
        </w:rPr>
        <w:t>precedent, a court below</w:t>
      </w:r>
      <w:r w:rsidR="003C0D41" w:rsidRPr="00F02F04">
        <w:rPr>
          <w:rFonts w:ascii="Times New Roman" w:hAnsi="Times New Roman" w:cs="Times New Roman"/>
          <w:sz w:val="24"/>
          <w:szCs w:val="24"/>
        </w:rPr>
        <w:t xml:space="preserve"> has several options available to it; -</w:t>
      </w:r>
      <w:r w:rsidRPr="00F02F04">
        <w:rPr>
          <w:rFonts w:ascii="Times New Roman" w:hAnsi="Times New Roman" w:cs="Times New Roman"/>
          <w:sz w:val="24"/>
          <w:szCs w:val="24"/>
        </w:rPr>
        <w:t xml:space="preserve"> </w:t>
      </w:r>
      <w:r w:rsidR="003C0D41" w:rsidRPr="00F02F04">
        <w:rPr>
          <w:rFonts w:ascii="Times New Roman" w:hAnsi="Times New Roman" w:cs="Times New Roman"/>
          <w:sz w:val="24"/>
          <w:szCs w:val="24"/>
        </w:rPr>
        <w:t>to</w:t>
      </w:r>
      <w:r w:rsidRPr="00F02F04">
        <w:rPr>
          <w:rFonts w:ascii="Times New Roman" w:hAnsi="Times New Roman" w:cs="Times New Roman"/>
          <w:sz w:val="24"/>
          <w:szCs w:val="24"/>
        </w:rPr>
        <w:t xml:space="preserve"> distinguish it by </w:t>
      </w:r>
      <w:r w:rsidR="00E24A19" w:rsidRPr="00F02F04">
        <w:rPr>
          <w:rFonts w:ascii="Times New Roman" w:hAnsi="Times New Roman" w:cs="Times New Roman"/>
          <w:sz w:val="24"/>
          <w:szCs w:val="24"/>
        </w:rPr>
        <w:t xml:space="preserve">confining it to its narrow facts, thereby limiting the scope of </w:t>
      </w:r>
      <w:r w:rsidR="00E24A19" w:rsidRPr="00F02F04">
        <w:rPr>
          <w:rFonts w:ascii="Times New Roman" w:hAnsi="Times New Roman" w:cs="Times New Roman"/>
          <w:sz w:val="24"/>
          <w:szCs w:val="24"/>
        </w:rPr>
        <w:lastRenderedPageBreak/>
        <w:t>its authority</w:t>
      </w:r>
      <w:r w:rsidR="003C0D41" w:rsidRPr="00F02F04">
        <w:rPr>
          <w:rFonts w:ascii="Times New Roman" w:hAnsi="Times New Roman" w:cs="Times New Roman"/>
          <w:sz w:val="24"/>
          <w:szCs w:val="24"/>
        </w:rPr>
        <w:t>;</w:t>
      </w:r>
      <w:r w:rsidR="00893D1D" w:rsidRPr="00F02F04">
        <w:rPr>
          <w:rFonts w:ascii="Times New Roman" w:hAnsi="Times New Roman" w:cs="Times New Roman"/>
          <w:sz w:val="24"/>
          <w:szCs w:val="24"/>
        </w:rPr>
        <w:t xml:space="preserve"> </w:t>
      </w:r>
      <w:r w:rsidR="003C0D41" w:rsidRPr="00F02F04">
        <w:rPr>
          <w:rFonts w:ascii="Times New Roman" w:hAnsi="Times New Roman" w:cs="Times New Roman"/>
          <w:sz w:val="24"/>
          <w:szCs w:val="24"/>
        </w:rPr>
        <w:t>to find that</w:t>
      </w:r>
      <w:r w:rsidR="00893D1D" w:rsidRPr="00F02F04">
        <w:rPr>
          <w:rFonts w:ascii="Times New Roman" w:hAnsi="Times New Roman" w:cs="Times New Roman"/>
          <w:sz w:val="24"/>
          <w:szCs w:val="24"/>
        </w:rPr>
        <w:t xml:space="preserve"> it was </w:t>
      </w:r>
      <w:r w:rsidR="00893D1D" w:rsidRPr="00F02F04">
        <w:rPr>
          <w:rFonts w:ascii="Times New Roman" w:hAnsi="Times New Roman" w:cs="Times New Roman"/>
          <w:i/>
          <w:sz w:val="24"/>
          <w:szCs w:val="24"/>
        </w:rPr>
        <w:t xml:space="preserve">per </w:t>
      </w:r>
      <w:proofErr w:type="spellStart"/>
      <w:r w:rsidR="00893D1D" w:rsidRPr="00F02F04">
        <w:rPr>
          <w:rFonts w:ascii="Times New Roman" w:hAnsi="Times New Roman" w:cs="Times New Roman"/>
          <w:i/>
          <w:sz w:val="24"/>
          <w:szCs w:val="24"/>
        </w:rPr>
        <w:t>incuriam</w:t>
      </w:r>
      <w:proofErr w:type="spellEnd"/>
      <w:r w:rsidR="00893D1D" w:rsidRPr="00F02F04">
        <w:rPr>
          <w:rFonts w:ascii="Times New Roman" w:hAnsi="Times New Roman" w:cs="Times New Roman"/>
          <w:sz w:val="24"/>
          <w:szCs w:val="24"/>
        </w:rPr>
        <w:t>, that is, the Court had overlooked an existing decision or statute relevant to the decision</w:t>
      </w:r>
      <w:r w:rsidR="003C0D41" w:rsidRPr="00F02F04">
        <w:rPr>
          <w:rFonts w:ascii="Times New Roman" w:hAnsi="Times New Roman" w:cs="Times New Roman"/>
          <w:sz w:val="24"/>
          <w:szCs w:val="24"/>
        </w:rPr>
        <w:t>;</w:t>
      </w:r>
      <w:r w:rsidR="00893D1D" w:rsidRPr="00F02F04">
        <w:rPr>
          <w:rFonts w:ascii="Times New Roman" w:hAnsi="Times New Roman" w:cs="Times New Roman"/>
          <w:sz w:val="24"/>
          <w:szCs w:val="24"/>
        </w:rPr>
        <w:t xml:space="preserve"> </w:t>
      </w:r>
      <w:r w:rsidR="00B72A25" w:rsidRPr="00F02F04">
        <w:rPr>
          <w:rFonts w:ascii="Times New Roman" w:hAnsi="Times New Roman" w:cs="Times New Roman"/>
          <w:sz w:val="24"/>
          <w:szCs w:val="24"/>
        </w:rPr>
        <w:t>where the reasons for the rule have ceased to exist</w:t>
      </w:r>
      <w:r w:rsidR="003C0D41" w:rsidRPr="00F02F04">
        <w:rPr>
          <w:rFonts w:ascii="Times New Roman" w:hAnsi="Times New Roman" w:cs="Times New Roman"/>
          <w:sz w:val="24"/>
          <w:szCs w:val="24"/>
        </w:rPr>
        <w:t xml:space="preserve"> (</w:t>
      </w:r>
      <w:proofErr w:type="spellStart"/>
      <w:r w:rsidR="003C0D41" w:rsidRPr="00F02F04">
        <w:rPr>
          <w:rFonts w:ascii="Times New Roman" w:hAnsi="Times New Roman" w:cs="Times New Roman"/>
          <w:i/>
          <w:sz w:val="24"/>
          <w:szCs w:val="24"/>
        </w:rPr>
        <w:t>Cessante</w:t>
      </w:r>
      <w:proofErr w:type="spellEnd"/>
      <w:r w:rsidR="003C0D41" w:rsidRPr="00F02F04">
        <w:rPr>
          <w:rFonts w:ascii="Times New Roman" w:hAnsi="Times New Roman" w:cs="Times New Roman"/>
          <w:i/>
          <w:sz w:val="24"/>
          <w:szCs w:val="24"/>
        </w:rPr>
        <w:t xml:space="preserve"> </w:t>
      </w:r>
      <w:proofErr w:type="spellStart"/>
      <w:r w:rsidR="003C0D41" w:rsidRPr="00F02F04">
        <w:rPr>
          <w:rFonts w:ascii="Times New Roman" w:hAnsi="Times New Roman" w:cs="Times New Roman"/>
          <w:i/>
          <w:sz w:val="24"/>
          <w:szCs w:val="24"/>
        </w:rPr>
        <w:t>ratione</w:t>
      </w:r>
      <w:proofErr w:type="spellEnd"/>
      <w:r w:rsidR="003C0D41" w:rsidRPr="00F02F04">
        <w:rPr>
          <w:rFonts w:ascii="Times New Roman" w:hAnsi="Times New Roman" w:cs="Times New Roman"/>
          <w:i/>
          <w:sz w:val="24"/>
          <w:szCs w:val="24"/>
        </w:rPr>
        <w:t xml:space="preserve"> </w:t>
      </w:r>
      <w:proofErr w:type="spellStart"/>
      <w:r w:rsidR="003C0D41" w:rsidRPr="00F02F04">
        <w:rPr>
          <w:rFonts w:ascii="Times New Roman" w:hAnsi="Times New Roman" w:cs="Times New Roman"/>
          <w:i/>
          <w:sz w:val="24"/>
          <w:szCs w:val="24"/>
        </w:rPr>
        <w:t>legis</w:t>
      </w:r>
      <w:proofErr w:type="spellEnd"/>
      <w:r w:rsidR="003C0D41" w:rsidRPr="00F02F04">
        <w:rPr>
          <w:rFonts w:ascii="Times New Roman" w:hAnsi="Times New Roman" w:cs="Times New Roman"/>
          <w:i/>
          <w:sz w:val="24"/>
          <w:szCs w:val="24"/>
        </w:rPr>
        <w:t xml:space="preserve"> </w:t>
      </w:r>
      <w:proofErr w:type="spellStart"/>
      <w:r w:rsidR="003C0D41" w:rsidRPr="00F02F04">
        <w:rPr>
          <w:rFonts w:ascii="Times New Roman" w:hAnsi="Times New Roman" w:cs="Times New Roman"/>
          <w:i/>
          <w:sz w:val="24"/>
          <w:szCs w:val="24"/>
        </w:rPr>
        <w:t>cessat</w:t>
      </w:r>
      <w:proofErr w:type="spellEnd"/>
      <w:r w:rsidR="003C0D41" w:rsidRPr="00F02F04">
        <w:rPr>
          <w:rFonts w:ascii="Times New Roman" w:hAnsi="Times New Roman" w:cs="Times New Roman"/>
          <w:i/>
          <w:sz w:val="24"/>
          <w:szCs w:val="24"/>
        </w:rPr>
        <w:t xml:space="preserve"> </w:t>
      </w:r>
      <w:proofErr w:type="spellStart"/>
      <w:r w:rsidR="003C0D41" w:rsidRPr="00F02F04">
        <w:rPr>
          <w:rFonts w:ascii="Times New Roman" w:hAnsi="Times New Roman" w:cs="Times New Roman"/>
          <w:i/>
          <w:sz w:val="24"/>
          <w:szCs w:val="24"/>
        </w:rPr>
        <w:t>ipsa</w:t>
      </w:r>
      <w:proofErr w:type="spellEnd"/>
      <w:r w:rsidR="003C0D41" w:rsidRPr="00F02F04">
        <w:rPr>
          <w:rFonts w:ascii="Times New Roman" w:hAnsi="Times New Roman" w:cs="Times New Roman"/>
          <w:i/>
          <w:sz w:val="24"/>
          <w:szCs w:val="24"/>
        </w:rPr>
        <w:t xml:space="preserve"> </w:t>
      </w:r>
      <w:proofErr w:type="spellStart"/>
      <w:r w:rsidR="003C0D41" w:rsidRPr="00F02F04">
        <w:rPr>
          <w:rFonts w:ascii="Times New Roman" w:hAnsi="Times New Roman" w:cs="Times New Roman"/>
          <w:i/>
          <w:sz w:val="24"/>
          <w:szCs w:val="24"/>
        </w:rPr>
        <w:t>lex</w:t>
      </w:r>
      <w:proofErr w:type="spellEnd"/>
      <w:r w:rsidR="003C0D41" w:rsidRPr="00F02F04">
        <w:rPr>
          <w:rFonts w:ascii="Times New Roman" w:hAnsi="Times New Roman" w:cs="Times New Roman"/>
          <w:sz w:val="24"/>
          <w:szCs w:val="24"/>
        </w:rPr>
        <w:t>);</w:t>
      </w:r>
      <w:r w:rsidR="00B72A25" w:rsidRPr="00F02F04">
        <w:rPr>
          <w:rFonts w:ascii="Times New Roman" w:hAnsi="Times New Roman" w:cs="Times New Roman"/>
          <w:sz w:val="24"/>
          <w:szCs w:val="24"/>
        </w:rPr>
        <w:t xml:space="preserve"> </w:t>
      </w:r>
      <w:r w:rsidR="003C0D41" w:rsidRPr="00F02F04">
        <w:rPr>
          <w:rFonts w:ascii="Times New Roman" w:hAnsi="Times New Roman" w:cs="Times New Roman"/>
          <w:sz w:val="24"/>
          <w:szCs w:val="24"/>
        </w:rPr>
        <w:t>refuse to follow any statement in the decision which is not the ratio; freely choose which of two clearly inconsistent binding decisions to follow</w:t>
      </w:r>
      <w:r w:rsidR="00893D1D" w:rsidRPr="00F02F04">
        <w:rPr>
          <w:rFonts w:ascii="Times New Roman" w:hAnsi="Times New Roman" w:cs="Times New Roman"/>
          <w:sz w:val="24"/>
          <w:szCs w:val="24"/>
        </w:rPr>
        <w:t xml:space="preserve">. A court is otherwise not justified to dismiss a binding precedent simply because it does not agree with </w:t>
      </w:r>
      <w:r w:rsidR="00893D1D" w:rsidRPr="00F02F04">
        <w:rPr>
          <w:rFonts w:ascii="Times New Roman" w:hAnsi="Times New Roman" w:cs="Times New Roman"/>
          <w:i/>
          <w:sz w:val="24"/>
          <w:szCs w:val="24"/>
        </w:rPr>
        <w:t xml:space="preserve">ratio </w:t>
      </w:r>
      <w:proofErr w:type="spellStart"/>
      <w:r w:rsidR="00893D1D" w:rsidRPr="00F02F04">
        <w:rPr>
          <w:rFonts w:ascii="Times New Roman" w:hAnsi="Times New Roman" w:cs="Times New Roman"/>
          <w:i/>
          <w:sz w:val="24"/>
          <w:szCs w:val="24"/>
        </w:rPr>
        <w:t>discdendi</w:t>
      </w:r>
      <w:proofErr w:type="spellEnd"/>
      <w:r w:rsidR="00893D1D" w:rsidRPr="00F02F04">
        <w:rPr>
          <w:rFonts w:ascii="Times New Roman" w:hAnsi="Times New Roman" w:cs="Times New Roman"/>
          <w:sz w:val="24"/>
          <w:szCs w:val="24"/>
        </w:rPr>
        <w:t xml:space="preserve">. </w:t>
      </w:r>
    </w:p>
    <w:p w:rsidR="00311B54" w:rsidRPr="00F02F04" w:rsidRDefault="00311B54" w:rsidP="00F02F04">
      <w:pPr>
        <w:spacing w:after="0" w:line="360" w:lineRule="auto"/>
        <w:jc w:val="both"/>
        <w:rPr>
          <w:rFonts w:ascii="Times New Roman" w:hAnsi="Times New Roman" w:cs="Times New Roman"/>
          <w:sz w:val="24"/>
          <w:szCs w:val="24"/>
        </w:rPr>
      </w:pPr>
    </w:p>
    <w:p w:rsidR="00827C99" w:rsidRPr="00F02F04" w:rsidRDefault="00827C99"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In this appeal, the reasons given by the Chief Magistrate to depart from what was otherwise binding precedent were most unsatisfactory. In his view, “the case law that supports the “negligence” of advocates in such matters will bring double burden on the other party i.e. to serve the advocate as well as the party whom the advocate represents.” The learned Chief Magistrate was unable to distinguish the authorities cited to him on acceptable grounds but instead chose to effectively “overrule” decisions of the Supreme Court. One legitimate way he could have avoided following those precedents was if he had found that counsel for the applicant was not negligent or that the applicant was complicit in that negligence. The moment he found negligence on the part of counsel, in which the applicant was not complicit, he was bound to follow the precedents since they were binding on him.</w:t>
      </w:r>
      <w:r w:rsidR="00242468" w:rsidRPr="00F02F04">
        <w:rPr>
          <w:rFonts w:ascii="Times New Roman" w:hAnsi="Times New Roman" w:cs="Times New Roman"/>
          <w:sz w:val="24"/>
          <w:szCs w:val="24"/>
        </w:rPr>
        <w:t xml:space="preserve"> He erred in not doing so.</w:t>
      </w:r>
    </w:p>
    <w:p w:rsidR="00827C99" w:rsidRPr="00F02F04" w:rsidRDefault="00827C99" w:rsidP="00F02F04">
      <w:pPr>
        <w:spacing w:after="0" w:line="360" w:lineRule="auto"/>
        <w:jc w:val="both"/>
        <w:rPr>
          <w:rFonts w:ascii="Times New Roman" w:hAnsi="Times New Roman" w:cs="Times New Roman"/>
          <w:sz w:val="24"/>
          <w:szCs w:val="24"/>
        </w:rPr>
      </w:pPr>
    </w:p>
    <w:p w:rsidR="004E303B" w:rsidRPr="00F02F04" w:rsidRDefault="00242468"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The ground relied on for seeking to set aside the ex-parte judgment and decree is essentially mistake of counsel. </w:t>
      </w:r>
      <w:r w:rsidR="004E303B" w:rsidRPr="00F02F04">
        <w:rPr>
          <w:rFonts w:ascii="Times New Roman" w:hAnsi="Times New Roman" w:cs="Times New Roman"/>
          <w:sz w:val="24"/>
          <w:szCs w:val="24"/>
        </w:rPr>
        <w:t xml:space="preserve">A mistake of counsel </w:t>
      </w:r>
      <w:r w:rsidRPr="00F02F04">
        <w:rPr>
          <w:rFonts w:ascii="Times New Roman" w:hAnsi="Times New Roman" w:cs="Times New Roman"/>
          <w:sz w:val="24"/>
          <w:szCs w:val="24"/>
        </w:rPr>
        <w:t>occurs</w:t>
      </w:r>
      <w:r w:rsidR="004E303B" w:rsidRPr="00F02F04">
        <w:rPr>
          <w:rFonts w:ascii="Times New Roman" w:hAnsi="Times New Roman" w:cs="Times New Roman"/>
          <w:sz w:val="24"/>
          <w:szCs w:val="24"/>
        </w:rPr>
        <w:t xml:space="preserve"> where due to some inadvertent act or omission, the advocate duly instructed by a litigant does or omits to do something that prejudices the litigant’s interest </w:t>
      </w:r>
      <w:r w:rsidRPr="00F02F04">
        <w:rPr>
          <w:rFonts w:ascii="Times New Roman" w:hAnsi="Times New Roman" w:cs="Times New Roman"/>
          <w:sz w:val="24"/>
          <w:szCs w:val="24"/>
        </w:rPr>
        <w:t>in circumstances where the litigant is not a</w:t>
      </w:r>
      <w:r w:rsidR="004E303B" w:rsidRPr="00F02F04">
        <w:rPr>
          <w:rFonts w:ascii="Times New Roman" w:hAnsi="Times New Roman" w:cs="Times New Roman"/>
          <w:sz w:val="24"/>
          <w:szCs w:val="24"/>
        </w:rPr>
        <w:t xml:space="preserve"> party to or </w:t>
      </w:r>
      <w:r w:rsidRPr="00F02F04">
        <w:rPr>
          <w:rFonts w:ascii="Times New Roman" w:hAnsi="Times New Roman" w:cs="Times New Roman"/>
          <w:sz w:val="24"/>
          <w:szCs w:val="24"/>
        </w:rPr>
        <w:t>aware</w:t>
      </w:r>
      <w:r w:rsidR="004E303B" w:rsidRPr="00F02F04">
        <w:rPr>
          <w:rFonts w:ascii="Times New Roman" w:hAnsi="Times New Roman" w:cs="Times New Roman"/>
          <w:sz w:val="24"/>
          <w:szCs w:val="24"/>
        </w:rPr>
        <w:t xml:space="preserve"> of the act or omission </w:t>
      </w:r>
      <w:r w:rsidRPr="00F02F04">
        <w:rPr>
          <w:rFonts w:ascii="Times New Roman" w:hAnsi="Times New Roman" w:cs="Times New Roman"/>
          <w:sz w:val="24"/>
          <w:szCs w:val="24"/>
        </w:rPr>
        <w:t xml:space="preserve">until the detriment is suffered </w:t>
      </w:r>
      <w:r w:rsidR="004E303B" w:rsidRPr="00F02F04">
        <w:rPr>
          <w:rFonts w:ascii="Times New Roman" w:hAnsi="Times New Roman" w:cs="Times New Roman"/>
          <w:sz w:val="24"/>
          <w:szCs w:val="24"/>
        </w:rPr>
        <w:t xml:space="preserve">(see </w:t>
      </w:r>
      <w:proofErr w:type="spellStart"/>
      <w:r w:rsidR="004E303B" w:rsidRPr="00F02F04">
        <w:rPr>
          <w:rFonts w:ascii="Times New Roman" w:hAnsi="Times New Roman" w:cs="Times New Roman"/>
          <w:i/>
          <w:sz w:val="24"/>
          <w:szCs w:val="24"/>
        </w:rPr>
        <w:t>Byansi</w:t>
      </w:r>
      <w:proofErr w:type="spellEnd"/>
      <w:r w:rsidR="004E303B" w:rsidRPr="00F02F04">
        <w:rPr>
          <w:rFonts w:ascii="Times New Roman" w:hAnsi="Times New Roman" w:cs="Times New Roman"/>
          <w:i/>
          <w:sz w:val="24"/>
          <w:szCs w:val="24"/>
        </w:rPr>
        <w:t xml:space="preserve"> Elias and anther v. </w:t>
      </w:r>
      <w:proofErr w:type="spellStart"/>
      <w:r w:rsidR="004E303B" w:rsidRPr="00F02F04">
        <w:rPr>
          <w:rFonts w:ascii="Times New Roman" w:hAnsi="Times New Roman" w:cs="Times New Roman"/>
          <w:i/>
          <w:sz w:val="24"/>
          <w:szCs w:val="24"/>
        </w:rPr>
        <w:t>Kiryomujungu</w:t>
      </w:r>
      <w:proofErr w:type="spellEnd"/>
      <w:r w:rsidR="004E303B" w:rsidRPr="00F02F04">
        <w:rPr>
          <w:rFonts w:ascii="Times New Roman" w:hAnsi="Times New Roman" w:cs="Times New Roman"/>
          <w:i/>
          <w:sz w:val="24"/>
          <w:szCs w:val="24"/>
        </w:rPr>
        <w:t xml:space="preserve"> </w:t>
      </w:r>
      <w:proofErr w:type="spellStart"/>
      <w:r w:rsidR="004E303B" w:rsidRPr="00F02F04">
        <w:rPr>
          <w:rFonts w:ascii="Times New Roman" w:hAnsi="Times New Roman" w:cs="Times New Roman"/>
          <w:i/>
          <w:sz w:val="24"/>
          <w:szCs w:val="24"/>
        </w:rPr>
        <w:t>Tofasi</w:t>
      </w:r>
      <w:proofErr w:type="spellEnd"/>
      <w:r w:rsidR="004E303B" w:rsidRPr="00F02F04">
        <w:rPr>
          <w:rFonts w:ascii="Times New Roman" w:hAnsi="Times New Roman" w:cs="Times New Roman"/>
          <w:i/>
          <w:sz w:val="24"/>
          <w:szCs w:val="24"/>
        </w:rPr>
        <w:t>, H.C. Misc. Application No. 29 of 2010</w:t>
      </w:r>
      <w:r w:rsidR="004E303B" w:rsidRPr="00F02F04">
        <w:rPr>
          <w:rFonts w:ascii="Times New Roman" w:hAnsi="Times New Roman" w:cs="Times New Roman"/>
          <w:sz w:val="24"/>
          <w:szCs w:val="24"/>
        </w:rPr>
        <w:t xml:space="preserve">). The act or omission must be solely attributable to the professional negligence and </w:t>
      </w:r>
      <w:r w:rsidRPr="00F02F04">
        <w:rPr>
          <w:rFonts w:ascii="Times New Roman" w:hAnsi="Times New Roman" w:cs="Times New Roman"/>
          <w:sz w:val="24"/>
          <w:szCs w:val="24"/>
        </w:rPr>
        <w:t xml:space="preserve">/ </w:t>
      </w:r>
      <w:r w:rsidR="004E303B" w:rsidRPr="00F02F04">
        <w:rPr>
          <w:rFonts w:ascii="Times New Roman" w:hAnsi="Times New Roman" w:cs="Times New Roman"/>
          <w:sz w:val="24"/>
          <w:szCs w:val="24"/>
        </w:rPr>
        <w:t>or conduct of the advocate.</w:t>
      </w:r>
    </w:p>
    <w:p w:rsidR="004E303B" w:rsidRPr="00F02F04" w:rsidRDefault="004E303B" w:rsidP="00F02F04">
      <w:pPr>
        <w:spacing w:after="0" w:line="360" w:lineRule="auto"/>
        <w:jc w:val="both"/>
        <w:rPr>
          <w:rFonts w:ascii="Times New Roman" w:hAnsi="Times New Roman" w:cs="Times New Roman"/>
          <w:sz w:val="24"/>
          <w:szCs w:val="24"/>
        </w:rPr>
      </w:pPr>
    </w:p>
    <w:p w:rsidR="00C26661" w:rsidRPr="00F02F04" w:rsidRDefault="004E303B"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I have reviewed the pleadings and submissions by both parties. </w:t>
      </w:r>
      <w:r w:rsidR="00827C99" w:rsidRPr="00F02F04">
        <w:rPr>
          <w:rFonts w:ascii="Times New Roman" w:hAnsi="Times New Roman" w:cs="Times New Roman"/>
          <w:sz w:val="24"/>
          <w:szCs w:val="24"/>
        </w:rPr>
        <w:t xml:space="preserve">I </w:t>
      </w:r>
      <w:r w:rsidR="00730347" w:rsidRPr="00F02F04">
        <w:rPr>
          <w:rFonts w:ascii="Times New Roman" w:hAnsi="Times New Roman" w:cs="Times New Roman"/>
          <w:sz w:val="24"/>
          <w:szCs w:val="24"/>
        </w:rPr>
        <w:t>am</w:t>
      </w:r>
      <w:r w:rsidR="00827C99" w:rsidRPr="00F02F04">
        <w:rPr>
          <w:rFonts w:ascii="Times New Roman" w:hAnsi="Times New Roman" w:cs="Times New Roman"/>
          <w:sz w:val="24"/>
          <w:szCs w:val="24"/>
        </w:rPr>
        <w:t xml:space="preserve"> unable to attribute any negligence to the </w:t>
      </w:r>
      <w:r w:rsidR="00730347" w:rsidRPr="00F02F04">
        <w:rPr>
          <w:rFonts w:ascii="Times New Roman" w:hAnsi="Times New Roman" w:cs="Times New Roman"/>
          <w:sz w:val="24"/>
          <w:szCs w:val="24"/>
        </w:rPr>
        <w:t>appellant</w:t>
      </w:r>
      <w:r w:rsidR="00827C99" w:rsidRPr="00F02F04">
        <w:rPr>
          <w:rFonts w:ascii="Times New Roman" w:hAnsi="Times New Roman" w:cs="Times New Roman"/>
          <w:sz w:val="24"/>
          <w:szCs w:val="24"/>
        </w:rPr>
        <w:t xml:space="preserve"> in his failure to attend court on the material</w:t>
      </w:r>
      <w:r w:rsidR="00730347" w:rsidRPr="00F02F04">
        <w:rPr>
          <w:rFonts w:ascii="Times New Roman" w:hAnsi="Times New Roman" w:cs="Times New Roman"/>
          <w:sz w:val="24"/>
          <w:szCs w:val="24"/>
        </w:rPr>
        <w:t xml:space="preserve"> day. I instead find that the failure is attributable to the negligence of his advocate, who failed to transmit that information to him. </w:t>
      </w:r>
      <w:r w:rsidR="00777976" w:rsidRPr="00F02F04">
        <w:rPr>
          <w:rFonts w:ascii="Times New Roman" w:hAnsi="Times New Roman" w:cs="Times New Roman"/>
          <w:sz w:val="24"/>
          <w:szCs w:val="24"/>
        </w:rPr>
        <w:t xml:space="preserve">Without such information, there is no way the appellant would have been able to attend court as required. </w:t>
      </w:r>
      <w:r w:rsidR="00C26661" w:rsidRPr="00F02F04">
        <w:rPr>
          <w:rFonts w:ascii="Times New Roman" w:hAnsi="Times New Roman" w:cs="Times New Roman"/>
          <w:sz w:val="24"/>
          <w:szCs w:val="24"/>
        </w:rPr>
        <w:t xml:space="preserve">Counsel for the respondent argued that the appellant had not </w:t>
      </w:r>
      <w:r w:rsidR="00C26661" w:rsidRPr="00F02F04">
        <w:rPr>
          <w:rFonts w:ascii="Times New Roman" w:hAnsi="Times New Roman" w:cs="Times New Roman"/>
          <w:sz w:val="24"/>
          <w:szCs w:val="24"/>
        </w:rPr>
        <w:lastRenderedPageBreak/>
        <w:t xml:space="preserve">furnished any evidence of lack of notification. </w:t>
      </w:r>
      <w:proofErr w:type="gramStart"/>
      <w:r w:rsidR="00C26661" w:rsidRPr="00F02F04">
        <w:rPr>
          <w:rFonts w:ascii="Times New Roman" w:hAnsi="Times New Roman" w:cs="Times New Roman"/>
          <w:sz w:val="24"/>
          <w:szCs w:val="24"/>
        </w:rPr>
        <w:t xml:space="preserve">However, </w:t>
      </w:r>
      <w:r w:rsidR="00C26661" w:rsidRPr="00F02F04">
        <w:rPr>
          <w:rFonts w:ascii="Times New Roman" w:hAnsi="Times New Roman" w:cs="Times New Roman"/>
          <w:iCs/>
          <w:sz w:val="24"/>
          <w:szCs w:val="24"/>
        </w:rPr>
        <w:t xml:space="preserve">in </w:t>
      </w:r>
      <w:proofErr w:type="spellStart"/>
      <w:r w:rsidR="00C26661" w:rsidRPr="00F02F04">
        <w:rPr>
          <w:rFonts w:ascii="Times New Roman" w:hAnsi="Times New Roman" w:cs="Times New Roman"/>
          <w:i/>
          <w:iCs/>
          <w:sz w:val="24"/>
          <w:szCs w:val="24"/>
        </w:rPr>
        <w:t>J</w:t>
      </w:r>
      <w:r w:rsidR="00C26661" w:rsidRPr="00F02F04">
        <w:rPr>
          <w:rFonts w:ascii="Times New Roman" w:hAnsi="Times New Roman" w:cs="Times New Roman"/>
          <w:i/>
          <w:sz w:val="24"/>
          <w:szCs w:val="24"/>
        </w:rPr>
        <w:t>ovelyn</w:t>
      </w:r>
      <w:proofErr w:type="spellEnd"/>
      <w:r w:rsidR="00C26661" w:rsidRPr="00F02F04">
        <w:rPr>
          <w:rFonts w:ascii="Times New Roman" w:hAnsi="Times New Roman" w:cs="Times New Roman"/>
          <w:i/>
          <w:sz w:val="24"/>
          <w:szCs w:val="24"/>
        </w:rPr>
        <w:t xml:space="preserve"> </w:t>
      </w:r>
      <w:proofErr w:type="spellStart"/>
      <w:r w:rsidR="00C26661" w:rsidRPr="00F02F04">
        <w:rPr>
          <w:rFonts w:ascii="Times New Roman" w:hAnsi="Times New Roman" w:cs="Times New Roman"/>
          <w:i/>
          <w:sz w:val="24"/>
          <w:szCs w:val="24"/>
        </w:rPr>
        <w:t>Bamgahare</w:t>
      </w:r>
      <w:proofErr w:type="spellEnd"/>
      <w:r w:rsidR="00C26661" w:rsidRPr="00F02F04">
        <w:rPr>
          <w:rFonts w:ascii="Times New Roman" w:hAnsi="Times New Roman" w:cs="Times New Roman"/>
          <w:i/>
          <w:sz w:val="24"/>
          <w:szCs w:val="24"/>
        </w:rPr>
        <w:t xml:space="preserve"> v. Attorney General S.C. C.A.</w:t>
      </w:r>
      <w:proofErr w:type="gramEnd"/>
      <w:r w:rsidR="00C26661" w:rsidRPr="00F02F04">
        <w:rPr>
          <w:rFonts w:ascii="Times New Roman" w:hAnsi="Times New Roman" w:cs="Times New Roman"/>
          <w:i/>
          <w:sz w:val="24"/>
          <w:szCs w:val="24"/>
        </w:rPr>
        <w:t>  No 28 of 1993</w:t>
      </w:r>
      <w:r w:rsidR="00C26661" w:rsidRPr="00F02F04">
        <w:rPr>
          <w:rFonts w:ascii="Times New Roman" w:hAnsi="Times New Roman" w:cs="Times New Roman"/>
          <w:sz w:val="24"/>
          <w:szCs w:val="24"/>
        </w:rPr>
        <w:t>, it was decided that he who asserts must affirm.</w:t>
      </w:r>
      <w:r w:rsidR="00C26661" w:rsidRPr="00F02F04">
        <w:rPr>
          <w:rFonts w:ascii="Times New Roman" w:hAnsi="Times New Roman" w:cs="Times New Roman"/>
          <w:iCs/>
          <w:sz w:val="24"/>
          <w:szCs w:val="24"/>
        </w:rPr>
        <w:t xml:space="preserve"> The onus is on a party to prove a positive assertion and not a negative assertion. It therefore means that, the burden of proof lies upon him who asserts the affirmative of an issue, and not upon him who denies, since from the nature of things he who denies a fact can hardly produce any proof. The burden on this issue lay on the respondent to adduce such evidence as would satisfy court that the appellant’s then advocate, had notified it of the hearing date. The respondent did not discharge that burden.</w:t>
      </w:r>
    </w:p>
    <w:p w:rsidR="00C26661" w:rsidRPr="00F02F04" w:rsidRDefault="00C26661" w:rsidP="00F02F04">
      <w:pPr>
        <w:spacing w:after="0" w:line="360" w:lineRule="auto"/>
        <w:jc w:val="both"/>
        <w:rPr>
          <w:rFonts w:ascii="Times New Roman" w:hAnsi="Times New Roman" w:cs="Times New Roman"/>
          <w:sz w:val="24"/>
          <w:szCs w:val="24"/>
        </w:rPr>
      </w:pPr>
    </w:p>
    <w:p w:rsidR="00396A73" w:rsidRPr="00F02F04" w:rsidRDefault="00730347"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On basis of that finding, I am bound to </w:t>
      </w:r>
      <w:r w:rsidR="006D359E" w:rsidRPr="00F02F04">
        <w:rPr>
          <w:rFonts w:ascii="Times New Roman" w:hAnsi="Times New Roman" w:cs="Times New Roman"/>
          <w:sz w:val="24"/>
          <w:szCs w:val="24"/>
        </w:rPr>
        <w:t xml:space="preserve">follow the decisions in </w:t>
      </w:r>
      <w:proofErr w:type="spellStart"/>
      <w:r w:rsidR="00777976" w:rsidRPr="00F02F04">
        <w:rPr>
          <w:rFonts w:ascii="Times New Roman" w:hAnsi="Times New Roman" w:cs="Times New Roman"/>
          <w:i/>
          <w:sz w:val="24"/>
          <w:szCs w:val="24"/>
        </w:rPr>
        <w:t>Sepiria</w:t>
      </w:r>
      <w:proofErr w:type="spellEnd"/>
      <w:r w:rsidR="00777976" w:rsidRPr="00F02F04">
        <w:rPr>
          <w:rFonts w:ascii="Times New Roman" w:hAnsi="Times New Roman" w:cs="Times New Roman"/>
          <w:i/>
          <w:sz w:val="24"/>
          <w:szCs w:val="24"/>
        </w:rPr>
        <w:t xml:space="preserve"> </w:t>
      </w:r>
      <w:proofErr w:type="spellStart"/>
      <w:r w:rsidR="00777976" w:rsidRPr="00F02F04">
        <w:rPr>
          <w:rFonts w:ascii="Times New Roman" w:hAnsi="Times New Roman" w:cs="Times New Roman"/>
          <w:i/>
          <w:sz w:val="24"/>
          <w:szCs w:val="24"/>
        </w:rPr>
        <w:t>Kyamulasire</w:t>
      </w:r>
      <w:proofErr w:type="spellEnd"/>
      <w:r w:rsidR="00777976" w:rsidRPr="00F02F04">
        <w:rPr>
          <w:rFonts w:ascii="Times New Roman" w:hAnsi="Times New Roman" w:cs="Times New Roman"/>
          <w:i/>
          <w:sz w:val="24"/>
          <w:szCs w:val="24"/>
        </w:rPr>
        <w:t xml:space="preserve"> v. Justine </w:t>
      </w:r>
      <w:proofErr w:type="spellStart"/>
      <w:r w:rsidR="00777976" w:rsidRPr="00F02F04">
        <w:rPr>
          <w:rFonts w:ascii="Times New Roman" w:hAnsi="Times New Roman" w:cs="Times New Roman"/>
          <w:i/>
          <w:sz w:val="24"/>
          <w:szCs w:val="24"/>
        </w:rPr>
        <w:t>Bikanchunka</w:t>
      </w:r>
      <w:proofErr w:type="spellEnd"/>
      <w:r w:rsidR="00777976" w:rsidRPr="00F02F04">
        <w:rPr>
          <w:rFonts w:ascii="Times New Roman" w:hAnsi="Times New Roman" w:cs="Times New Roman"/>
          <w:i/>
          <w:sz w:val="24"/>
          <w:szCs w:val="24"/>
        </w:rPr>
        <w:t xml:space="preserve"> </w:t>
      </w:r>
      <w:proofErr w:type="spellStart"/>
      <w:r w:rsidR="00777976" w:rsidRPr="00F02F04">
        <w:rPr>
          <w:rFonts w:ascii="Times New Roman" w:hAnsi="Times New Roman" w:cs="Times New Roman"/>
          <w:i/>
          <w:sz w:val="24"/>
          <w:szCs w:val="24"/>
        </w:rPr>
        <w:t>Bagambe</w:t>
      </w:r>
      <w:proofErr w:type="spellEnd"/>
      <w:r w:rsidR="00777976" w:rsidRPr="00F02F04">
        <w:rPr>
          <w:rFonts w:ascii="Times New Roman" w:hAnsi="Times New Roman" w:cs="Times New Roman"/>
          <w:i/>
          <w:sz w:val="24"/>
          <w:szCs w:val="24"/>
        </w:rPr>
        <w:t xml:space="preserve"> S.C. Civil Appeal No. 20 of 1995</w:t>
      </w:r>
      <w:r w:rsidR="00777976" w:rsidRPr="00F02F04">
        <w:rPr>
          <w:rFonts w:ascii="Times New Roman" w:hAnsi="Times New Roman" w:cs="Times New Roman"/>
          <w:sz w:val="24"/>
          <w:szCs w:val="24"/>
        </w:rPr>
        <w:t xml:space="preserve">, </w:t>
      </w:r>
      <w:proofErr w:type="spellStart"/>
      <w:r w:rsidR="006D359E" w:rsidRPr="00F02F04">
        <w:rPr>
          <w:rFonts w:ascii="Times New Roman" w:hAnsi="Times New Roman" w:cs="Times New Roman"/>
          <w:i/>
          <w:sz w:val="24"/>
          <w:szCs w:val="24"/>
        </w:rPr>
        <w:t>Kasaala</w:t>
      </w:r>
      <w:proofErr w:type="spellEnd"/>
      <w:r w:rsidR="006D359E" w:rsidRPr="00F02F04">
        <w:rPr>
          <w:rFonts w:ascii="Times New Roman" w:hAnsi="Times New Roman" w:cs="Times New Roman"/>
          <w:i/>
          <w:sz w:val="24"/>
          <w:szCs w:val="24"/>
        </w:rPr>
        <w:t xml:space="preserve"> Growers v. </w:t>
      </w:r>
      <w:proofErr w:type="spellStart"/>
      <w:r w:rsidR="006D359E" w:rsidRPr="00F02F04">
        <w:rPr>
          <w:rFonts w:ascii="Times New Roman" w:hAnsi="Times New Roman" w:cs="Times New Roman"/>
          <w:i/>
          <w:sz w:val="24"/>
          <w:szCs w:val="24"/>
        </w:rPr>
        <w:t>Kakooza</w:t>
      </w:r>
      <w:proofErr w:type="spellEnd"/>
      <w:r w:rsidR="006D359E" w:rsidRPr="00F02F04">
        <w:rPr>
          <w:rFonts w:ascii="Times New Roman" w:hAnsi="Times New Roman" w:cs="Times New Roman"/>
          <w:i/>
          <w:sz w:val="24"/>
          <w:szCs w:val="24"/>
        </w:rPr>
        <w:t xml:space="preserve"> and another [2001] 1 HCB 44</w:t>
      </w:r>
      <w:r w:rsidR="006D359E" w:rsidRPr="00F02F04">
        <w:rPr>
          <w:rFonts w:ascii="Times New Roman" w:hAnsi="Times New Roman" w:cs="Times New Roman"/>
          <w:sz w:val="24"/>
          <w:szCs w:val="24"/>
        </w:rPr>
        <w:t xml:space="preserve">, </w:t>
      </w:r>
      <w:r w:rsidR="00396A73" w:rsidRPr="00F02F04">
        <w:rPr>
          <w:rFonts w:ascii="Times New Roman" w:hAnsi="Times New Roman" w:cs="Times New Roman"/>
          <w:sz w:val="24"/>
          <w:szCs w:val="24"/>
        </w:rPr>
        <w:t>and Dong</w:t>
      </w:r>
      <w:r w:rsidR="006D359E" w:rsidRPr="00F02F04">
        <w:rPr>
          <w:rFonts w:ascii="Times New Roman" w:hAnsi="Times New Roman" w:cs="Times New Roman"/>
          <w:i/>
          <w:sz w:val="24"/>
          <w:szCs w:val="24"/>
        </w:rPr>
        <w:t xml:space="preserve"> Yun Kim v. Uganda [2008] HCB 15</w:t>
      </w:r>
      <w:r w:rsidR="006D359E" w:rsidRPr="00F02F04">
        <w:rPr>
          <w:rFonts w:ascii="Times New Roman" w:hAnsi="Times New Roman" w:cs="Times New Roman"/>
          <w:sz w:val="24"/>
          <w:szCs w:val="24"/>
        </w:rPr>
        <w:t xml:space="preserve">, where it was held, inter alia, that </w:t>
      </w:r>
      <w:r w:rsidR="0019437E" w:rsidRPr="00F02F04">
        <w:rPr>
          <w:rFonts w:ascii="Times New Roman" w:hAnsi="Times New Roman" w:cs="Times New Roman"/>
          <w:sz w:val="24"/>
          <w:szCs w:val="24"/>
        </w:rPr>
        <w:t xml:space="preserve">the </w:t>
      </w:r>
      <w:r w:rsidR="006D359E" w:rsidRPr="00F02F04">
        <w:rPr>
          <w:rFonts w:ascii="Times New Roman" w:hAnsi="Times New Roman" w:cs="Times New Roman"/>
          <w:sz w:val="24"/>
          <w:szCs w:val="24"/>
        </w:rPr>
        <w:t>mistake or negligence of Counsel should not be visited by the court on his client.</w:t>
      </w:r>
      <w:r w:rsidR="00396A73" w:rsidRPr="00F02F04">
        <w:rPr>
          <w:rFonts w:ascii="Times New Roman" w:hAnsi="Times New Roman" w:cs="Times New Roman"/>
          <w:sz w:val="24"/>
          <w:szCs w:val="24"/>
        </w:rPr>
        <w:t xml:space="preserve"> </w:t>
      </w:r>
      <w:r w:rsidR="005B0078" w:rsidRPr="00F02F04">
        <w:rPr>
          <w:rFonts w:ascii="Times New Roman" w:hAnsi="Times New Roman" w:cs="Times New Roman"/>
          <w:sz w:val="24"/>
          <w:szCs w:val="24"/>
        </w:rPr>
        <w:t>For th</w:t>
      </w:r>
      <w:r w:rsidR="00352DF9" w:rsidRPr="00F02F04">
        <w:rPr>
          <w:rFonts w:ascii="Times New Roman" w:hAnsi="Times New Roman" w:cs="Times New Roman"/>
          <w:sz w:val="24"/>
          <w:szCs w:val="24"/>
        </w:rPr>
        <w:t>ose</w:t>
      </w:r>
      <w:r w:rsidR="005B0078" w:rsidRPr="00F02F04">
        <w:rPr>
          <w:rFonts w:ascii="Times New Roman" w:hAnsi="Times New Roman" w:cs="Times New Roman"/>
          <w:sz w:val="24"/>
          <w:szCs w:val="24"/>
        </w:rPr>
        <w:t xml:space="preserve"> reason</w:t>
      </w:r>
      <w:r w:rsidR="00352DF9" w:rsidRPr="00F02F04">
        <w:rPr>
          <w:rFonts w:ascii="Times New Roman" w:hAnsi="Times New Roman" w:cs="Times New Roman"/>
          <w:sz w:val="24"/>
          <w:szCs w:val="24"/>
        </w:rPr>
        <w:t>s</w:t>
      </w:r>
      <w:r w:rsidR="005B0078" w:rsidRPr="00F02F04">
        <w:rPr>
          <w:rFonts w:ascii="Times New Roman" w:hAnsi="Times New Roman" w:cs="Times New Roman"/>
          <w:sz w:val="24"/>
          <w:szCs w:val="24"/>
        </w:rPr>
        <w:t xml:space="preserve">, the appeal succeeds and the judgment and decree of the court below are hereby set aside with orders that the </w:t>
      </w:r>
      <w:r w:rsidR="00396A73" w:rsidRPr="00F02F04">
        <w:rPr>
          <w:rFonts w:ascii="Times New Roman" w:hAnsi="Times New Roman" w:cs="Times New Roman"/>
          <w:sz w:val="24"/>
          <w:szCs w:val="24"/>
        </w:rPr>
        <w:t xml:space="preserve">suit should be heard </w:t>
      </w:r>
      <w:r w:rsidR="00396A73" w:rsidRPr="00F02F04">
        <w:rPr>
          <w:rFonts w:ascii="Times New Roman" w:hAnsi="Times New Roman" w:cs="Times New Roman"/>
          <w:i/>
          <w:sz w:val="24"/>
          <w:szCs w:val="24"/>
        </w:rPr>
        <w:t>inter parties</w:t>
      </w:r>
      <w:r w:rsidR="00431441" w:rsidRPr="00F02F04">
        <w:rPr>
          <w:rFonts w:ascii="Times New Roman" w:hAnsi="Times New Roman" w:cs="Times New Roman"/>
          <w:sz w:val="24"/>
          <w:szCs w:val="24"/>
        </w:rPr>
        <w:t>.</w:t>
      </w:r>
      <w:r w:rsidR="002E01C2" w:rsidRPr="00F02F04">
        <w:rPr>
          <w:rFonts w:ascii="Times New Roman" w:hAnsi="Times New Roman" w:cs="Times New Roman"/>
          <w:sz w:val="24"/>
          <w:szCs w:val="24"/>
        </w:rPr>
        <w:t xml:space="preserve"> </w:t>
      </w:r>
      <w:r w:rsidR="0006439A" w:rsidRPr="00F02F04">
        <w:rPr>
          <w:rFonts w:ascii="Times New Roman" w:hAnsi="Times New Roman" w:cs="Times New Roman"/>
          <w:sz w:val="24"/>
          <w:szCs w:val="24"/>
        </w:rPr>
        <w:t>The goods attached in execution of the decree that has now been set aside, should be released to the appellant forthwith.</w:t>
      </w:r>
    </w:p>
    <w:p w:rsidR="00396A73" w:rsidRPr="00F02F04" w:rsidRDefault="00396A73" w:rsidP="00F02F04">
      <w:pPr>
        <w:spacing w:after="0" w:line="360" w:lineRule="auto"/>
        <w:jc w:val="both"/>
        <w:rPr>
          <w:rFonts w:ascii="Times New Roman" w:hAnsi="Times New Roman" w:cs="Times New Roman"/>
          <w:sz w:val="24"/>
          <w:szCs w:val="24"/>
        </w:rPr>
      </w:pPr>
    </w:p>
    <w:p w:rsidR="001563F3" w:rsidRPr="00F02F04" w:rsidRDefault="00396A73"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Considering that this order is made nearly four years after the respondent had commenced execution of the ex-parte decree, </w:t>
      </w:r>
      <w:r w:rsidR="0006439A" w:rsidRPr="00F02F04">
        <w:rPr>
          <w:rFonts w:ascii="Times New Roman" w:hAnsi="Times New Roman" w:cs="Times New Roman"/>
          <w:sz w:val="24"/>
          <w:szCs w:val="24"/>
        </w:rPr>
        <w:t xml:space="preserve">and that the appellant contests only part of the respondent’s claim, </w:t>
      </w:r>
      <w:r w:rsidRPr="00F02F04">
        <w:rPr>
          <w:rFonts w:ascii="Times New Roman" w:hAnsi="Times New Roman" w:cs="Times New Roman"/>
          <w:sz w:val="24"/>
          <w:szCs w:val="24"/>
        </w:rPr>
        <w:t xml:space="preserve">the appellant should deposit in the trial court a sum of </w:t>
      </w:r>
      <w:proofErr w:type="spellStart"/>
      <w:r w:rsidRPr="00F02F04">
        <w:rPr>
          <w:rFonts w:ascii="Times New Roman" w:hAnsi="Times New Roman" w:cs="Times New Roman"/>
          <w:sz w:val="24"/>
          <w:szCs w:val="24"/>
        </w:rPr>
        <w:t>shs</w:t>
      </w:r>
      <w:proofErr w:type="spellEnd"/>
      <w:r w:rsidRPr="00F02F04">
        <w:rPr>
          <w:rFonts w:ascii="Times New Roman" w:hAnsi="Times New Roman" w:cs="Times New Roman"/>
          <w:sz w:val="24"/>
          <w:szCs w:val="24"/>
        </w:rPr>
        <w:t>. 15,000,000/= on top of and in addition to the sum already deposited in court (</w:t>
      </w:r>
      <w:r w:rsidR="006A4095" w:rsidRPr="00F02F04">
        <w:rPr>
          <w:rFonts w:ascii="Times New Roman" w:hAnsi="Times New Roman" w:cs="Times New Roman"/>
          <w:sz w:val="24"/>
          <w:szCs w:val="24"/>
        </w:rPr>
        <w:t>which sum represents</w:t>
      </w:r>
      <w:r w:rsidRPr="00F02F04">
        <w:rPr>
          <w:rFonts w:ascii="Times New Roman" w:hAnsi="Times New Roman" w:cs="Times New Roman"/>
          <w:sz w:val="24"/>
          <w:szCs w:val="24"/>
        </w:rPr>
        <w:t xml:space="preserve"> more than half of the </w:t>
      </w:r>
      <w:r w:rsidR="006A4095" w:rsidRPr="00F02F04">
        <w:rPr>
          <w:rFonts w:ascii="Times New Roman" w:hAnsi="Times New Roman" w:cs="Times New Roman"/>
          <w:sz w:val="24"/>
          <w:szCs w:val="24"/>
        </w:rPr>
        <w:t>amount</w:t>
      </w:r>
      <w:r w:rsidR="0006439A" w:rsidRPr="00F02F04">
        <w:rPr>
          <w:rFonts w:ascii="Times New Roman" w:hAnsi="Times New Roman" w:cs="Times New Roman"/>
          <w:sz w:val="24"/>
          <w:szCs w:val="24"/>
        </w:rPr>
        <w:t xml:space="preserve"> claimed) within thirty days from today. </w:t>
      </w:r>
      <w:r w:rsidRPr="00F02F04">
        <w:rPr>
          <w:rFonts w:ascii="Times New Roman" w:hAnsi="Times New Roman" w:cs="Times New Roman"/>
          <w:sz w:val="24"/>
          <w:szCs w:val="24"/>
        </w:rPr>
        <w:t xml:space="preserve">The costs of this appeal shall abide the result of suit upon the trial </w:t>
      </w:r>
      <w:r w:rsidRPr="00F02F04">
        <w:rPr>
          <w:rFonts w:ascii="Times New Roman" w:hAnsi="Times New Roman" w:cs="Times New Roman"/>
          <w:i/>
          <w:sz w:val="24"/>
          <w:szCs w:val="24"/>
        </w:rPr>
        <w:t>inter parties</w:t>
      </w:r>
      <w:r w:rsidRPr="00F02F04">
        <w:rPr>
          <w:rFonts w:ascii="Times New Roman" w:hAnsi="Times New Roman" w:cs="Times New Roman"/>
          <w:sz w:val="24"/>
          <w:szCs w:val="24"/>
        </w:rPr>
        <w:t xml:space="preserve"> that has been ordered.</w:t>
      </w:r>
    </w:p>
    <w:p w:rsidR="00D36ECB" w:rsidRPr="00F02F04" w:rsidRDefault="00D36ECB" w:rsidP="00F02F04">
      <w:pPr>
        <w:spacing w:after="0" w:line="360" w:lineRule="auto"/>
        <w:jc w:val="both"/>
        <w:rPr>
          <w:rFonts w:ascii="Times New Roman" w:hAnsi="Times New Roman" w:cs="Times New Roman"/>
          <w:sz w:val="24"/>
          <w:szCs w:val="24"/>
        </w:rPr>
      </w:pPr>
    </w:p>
    <w:p w:rsidR="00284815" w:rsidRPr="00F02F04" w:rsidRDefault="003035CF"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 xml:space="preserve">Dated at </w:t>
      </w:r>
      <w:proofErr w:type="spellStart"/>
      <w:r w:rsidRPr="00F02F04">
        <w:rPr>
          <w:rFonts w:ascii="Times New Roman" w:hAnsi="Times New Roman" w:cs="Times New Roman"/>
          <w:sz w:val="24"/>
          <w:szCs w:val="24"/>
        </w:rPr>
        <w:t>Arua</w:t>
      </w:r>
      <w:proofErr w:type="spellEnd"/>
      <w:r w:rsidRPr="00F02F04">
        <w:rPr>
          <w:rFonts w:ascii="Times New Roman" w:hAnsi="Times New Roman" w:cs="Times New Roman"/>
          <w:sz w:val="24"/>
          <w:szCs w:val="24"/>
        </w:rPr>
        <w:t xml:space="preserve"> this </w:t>
      </w:r>
      <w:r w:rsidR="004B06B7" w:rsidRPr="00F02F04">
        <w:rPr>
          <w:rFonts w:ascii="Times New Roman" w:hAnsi="Times New Roman" w:cs="Times New Roman"/>
          <w:sz w:val="24"/>
          <w:szCs w:val="24"/>
        </w:rPr>
        <w:t>1</w:t>
      </w:r>
      <w:r w:rsidR="00D36ECB" w:rsidRPr="00F02F04">
        <w:rPr>
          <w:rFonts w:ascii="Times New Roman" w:hAnsi="Times New Roman" w:cs="Times New Roman"/>
          <w:sz w:val="24"/>
          <w:szCs w:val="24"/>
          <w:vertAlign w:val="superscript"/>
        </w:rPr>
        <w:t>st</w:t>
      </w:r>
      <w:r w:rsidRPr="00F02F04">
        <w:rPr>
          <w:rFonts w:ascii="Times New Roman" w:hAnsi="Times New Roman" w:cs="Times New Roman"/>
          <w:sz w:val="24"/>
          <w:szCs w:val="24"/>
        </w:rPr>
        <w:t xml:space="preserve"> day of </w:t>
      </w:r>
      <w:r w:rsidR="00D36ECB" w:rsidRPr="00F02F04">
        <w:rPr>
          <w:rFonts w:ascii="Times New Roman" w:hAnsi="Times New Roman" w:cs="Times New Roman"/>
          <w:sz w:val="24"/>
          <w:szCs w:val="24"/>
        </w:rPr>
        <w:t>December</w:t>
      </w:r>
      <w:r w:rsidRPr="00F02F04">
        <w:rPr>
          <w:rFonts w:ascii="Times New Roman" w:hAnsi="Times New Roman" w:cs="Times New Roman"/>
          <w:sz w:val="24"/>
          <w:szCs w:val="24"/>
        </w:rPr>
        <w:t xml:space="preserve"> 2016.</w:t>
      </w:r>
      <w:r w:rsidR="00284815" w:rsidRPr="00F02F04">
        <w:rPr>
          <w:rFonts w:ascii="Times New Roman" w:hAnsi="Times New Roman" w:cs="Times New Roman"/>
          <w:sz w:val="24"/>
          <w:szCs w:val="24"/>
        </w:rPr>
        <w:tab/>
      </w:r>
      <w:r w:rsidR="00284815" w:rsidRPr="00F02F04">
        <w:rPr>
          <w:rFonts w:ascii="Times New Roman" w:hAnsi="Times New Roman" w:cs="Times New Roman"/>
          <w:sz w:val="24"/>
          <w:szCs w:val="24"/>
        </w:rPr>
        <w:tab/>
      </w:r>
      <w:r w:rsidR="002F330E" w:rsidRPr="00F02F04">
        <w:rPr>
          <w:rFonts w:ascii="Times New Roman" w:hAnsi="Times New Roman" w:cs="Times New Roman"/>
          <w:sz w:val="24"/>
          <w:szCs w:val="24"/>
        </w:rPr>
        <w:tab/>
      </w:r>
      <w:r w:rsidR="00284815" w:rsidRPr="00F02F04">
        <w:rPr>
          <w:rFonts w:ascii="Times New Roman" w:hAnsi="Times New Roman" w:cs="Times New Roman"/>
          <w:sz w:val="24"/>
          <w:szCs w:val="24"/>
        </w:rPr>
        <w:t>………………………………</w:t>
      </w:r>
    </w:p>
    <w:p w:rsidR="003035CF" w:rsidRPr="00F02F04" w:rsidRDefault="003035CF" w:rsidP="00F02F04">
      <w:pPr>
        <w:spacing w:after="0" w:line="360" w:lineRule="auto"/>
        <w:ind w:left="5760" w:firstLine="720"/>
        <w:jc w:val="both"/>
        <w:rPr>
          <w:rFonts w:ascii="Times New Roman" w:hAnsi="Times New Roman" w:cs="Times New Roman"/>
          <w:sz w:val="24"/>
          <w:szCs w:val="24"/>
        </w:rPr>
      </w:pPr>
      <w:r w:rsidRPr="00F02F04">
        <w:rPr>
          <w:rFonts w:ascii="Times New Roman" w:hAnsi="Times New Roman" w:cs="Times New Roman"/>
          <w:sz w:val="24"/>
          <w:szCs w:val="24"/>
        </w:rPr>
        <w:t xml:space="preserve">Stephen </w:t>
      </w:r>
      <w:proofErr w:type="spellStart"/>
      <w:r w:rsidRPr="00F02F04">
        <w:rPr>
          <w:rFonts w:ascii="Times New Roman" w:hAnsi="Times New Roman" w:cs="Times New Roman"/>
          <w:sz w:val="24"/>
          <w:szCs w:val="24"/>
        </w:rPr>
        <w:t>Mubiru</w:t>
      </w:r>
      <w:proofErr w:type="spellEnd"/>
    </w:p>
    <w:p w:rsidR="003035CF" w:rsidRPr="00F02F04" w:rsidRDefault="00284815" w:rsidP="00F02F04">
      <w:pPr>
        <w:spacing w:after="0" w:line="360" w:lineRule="auto"/>
        <w:jc w:val="both"/>
        <w:rPr>
          <w:rFonts w:ascii="Times New Roman" w:hAnsi="Times New Roman" w:cs="Times New Roman"/>
          <w:sz w:val="24"/>
          <w:szCs w:val="24"/>
        </w:rPr>
      </w:pP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Pr="00F02F04">
        <w:rPr>
          <w:rFonts w:ascii="Times New Roman" w:hAnsi="Times New Roman" w:cs="Times New Roman"/>
          <w:sz w:val="24"/>
          <w:szCs w:val="24"/>
        </w:rPr>
        <w:tab/>
      </w:r>
      <w:r w:rsidR="002F330E" w:rsidRPr="00F02F04">
        <w:rPr>
          <w:rFonts w:ascii="Times New Roman" w:hAnsi="Times New Roman" w:cs="Times New Roman"/>
          <w:sz w:val="24"/>
          <w:szCs w:val="24"/>
        </w:rPr>
        <w:tab/>
      </w:r>
      <w:r w:rsidR="003035CF" w:rsidRPr="00F02F04">
        <w:rPr>
          <w:rFonts w:ascii="Times New Roman" w:hAnsi="Times New Roman" w:cs="Times New Roman"/>
          <w:sz w:val="24"/>
          <w:szCs w:val="24"/>
        </w:rPr>
        <w:t>Judge</w:t>
      </w:r>
    </w:p>
    <w:sectPr w:rsidR="003035CF" w:rsidRPr="00F02F04"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88" w:rsidRDefault="00EF1588" w:rsidP="00975B47">
      <w:pPr>
        <w:spacing w:after="0" w:line="240" w:lineRule="auto"/>
      </w:pPr>
      <w:r>
        <w:separator/>
      </w:r>
    </w:p>
  </w:endnote>
  <w:endnote w:type="continuationSeparator" w:id="0">
    <w:p w:rsidR="00EF1588" w:rsidRDefault="00EF1588"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73" w:rsidRDefault="0039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396A73" w:rsidRDefault="00EF1588">
        <w:pPr>
          <w:pStyle w:val="Footer"/>
          <w:jc w:val="center"/>
        </w:pPr>
        <w:r>
          <w:fldChar w:fldCharType="begin"/>
        </w:r>
        <w:r>
          <w:instrText xml:space="preserve"> PAGE   \* MERGEFORMAT </w:instrText>
        </w:r>
        <w:r>
          <w:fldChar w:fldCharType="separate"/>
        </w:r>
        <w:r w:rsidR="00F02F04">
          <w:rPr>
            <w:noProof/>
          </w:rPr>
          <w:t>1</w:t>
        </w:r>
        <w:r>
          <w:rPr>
            <w:noProof/>
          </w:rPr>
          <w:fldChar w:fldCharType="end"/>
        </w:r>
      </w:p>
    </w:sdtContent>
  </w:sdt>
  <w:p w:rsidR="00396A73" w:rsidRDefault="00396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73" w:rsidRDefault="00396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88" w:rsidRDefault="00EF1588" w:rsidP="00975B47">
      <w:pPr>
        <w:spacing w:after="0" w:line="240" w:lineRule="auto"/>
      </w:pPr>
      <w:r>
        <w:separator/>
      </w:r>
    </w:p>
  </w:footnote>
  <w:footnote w:type="continuationSeparator" w:id="0">
    <w:p w:rsidR="00EF1588" w:rsidRDefault="00EF1588"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73" w:rsidRDefault="00396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73" w:rsidRDefault="00396A7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A73" w:rsidRDefault="0039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7BEA"/>
    <w:rsid w:val="00013FD1"/>
    <w:rsid w:val="0001585C"/>
    <w:rsid w:val="00016977"/>
    <w:rsid w:val="00016B2E"/>
    <w:rsid w:val="0002085B"/>
    <w:rsid w:val="00022CF8"/>
    <w:rsid w:val="00025399"/>
    <w:rsid w:val="00025547"/>
    <w:rsid w:val="000257F5"/>
    <w:rsid w:val="00026CEA"/>
    <w:rsid w:val="00027E37"/>
    <w:rsid w:val="0003269C"/>
    <w:rsid w:val="0003499A"/>
    <w:rsid w:val="000363B7"/>
    <w:rsid w:val="00043643"/>
    <w:rsid w:val="00043F87"/>
    <w:rsid w:val="00051190"/>
    <w:rsid w:val="0005209D"/>
    <w:rsid w:val="0006000D"/>
    <w:rsid w:val="00060B39"/>
    <w:rsid w:val="00060EEC"/>
    <w:rsid w:val="00062B50"/>
    <w:rsid w:val="0006439A"/>
    <w:rsid w:val="00064EFD"/>
    <w:rsid w:val="0007209F"/>
    <w:rsid w:val="00076217"/>
    <w:rsid w:val="000766A6"/>
    <w:rsid w:val="00076D63"/>
    <w:rsid w:val="000773E4"/>
    <w:rsid w:val="00077607"/>
    <w:rsid w:val="00084B2E"/>
    <w:rsid w:val="000862BB"/>
    <w:rsid w:val="00087D63"/>
    <w:rsid w:val="000937BF"/>
    <w:rsid w:val="00095B29"/>
    <w:rsid w:val="000968E1"/>
    <w:rsid w:val="00097ACE"/>
    <w:rsid w:val="000A12F9"/>
    <w:rsid w:val="000A21BE"/>
    <w:rsid w:val="000A2FC5"/>
    <w:rsid w:val="000A32E3"/>
    <w:rsid w:val="000A4498"/>
    <w:rsid w:val="000A4D3E"/>
    <w:rsid w:val="000B0AC4"/>
    <w:rsid w:val="000B3074"/>
    <w:rsid w:val="000C1DA6"/>
    <w:rsid w:val="000C6231"/>
    <w:rsid w:val="000C6E6B"/>
    <w:rsid w:val="000C7378"/>
    <w:rsid w:val="000D01AE"/>
    <w:rsid w:val="000D07EE"/>
    <w:rsid w:val="000D2883"/>
    <w:rsid w:val="000D2B25"/>
    <w:rsid w:val="000D5823"/>
    <w:rsid w:val="000E037C"/>
    <w:rsid w:val="000E0D0D"/>
    <w:rsid w:val="000E65FD"/>
    <w:rsid w:val="000E7D8F"/>
    <w:rsid w:val="000F19DC"/>
    <w:rsid w:val="000F2A49"/>
    <w:rsid w:val="00100C69"/>
    <w:rsid w:val="00101076"/>
    <w:rsid w:val="0010385F"/>
    <w:rsid w:val="00106C1A"/>
    <w:rsid w:val="0010706F"/>
    <w:rsid w:val="001120DB"/>
    <w:rsid w:val="00113B35"/>
    <w:rsid w:val="00114984"/>
    <w:rsid w:val="00120A27"/>
    <w:rsid w:val="00124C7C"/>
    <w:rsid w:val="001253B5"/>
    <w:rsid w:val="001328A0"/>
    <w:rsid w:val="001407A8"/>
    <w:rsid w:val="00140A2E"/>
    <w:rsid w:val="00140C82"/>
    <w:rsid w:val="0014136F"/>
    <w:rsid w:val="00141DE0"/>
    <w:rsid w:val="00142BB3"/>
    <w:rsid w:val="00143924"/>
    <w:rsid w:val="0014455E"/>
    <w:rsid w:val="0014717F"/>
    <w:rsid w:val="0015067B"/>
    <w:rsid w:val="0015075F"/>
    <w:rsid w:val="00150B95"/>
    <w:rsid w:val="0015280F"/>
    <w:rsid w:val="001534A3"/>
    <w:rsid w:val="00153B34"/>
    <w:rsid w:val="001553AF"/>
    <w:rsid w:val="001563F3"/>
    <w:rsid w:val="00157DAF"/>
    <w:rsid w:val="00164045"/>
    <w:rsid w:val="001753A8"/>
    <w:rsid w:val="00175AC9"/>
    <w:rsid w:val="001829C8"/>
    <w:rsid w:val="001837E4"/>
    <w:rsid w:val="001840F4"/>
    <w:rsid w:val="00184A19"/>
    <w:rsid w:val="00186B60"/>
    <w:rsid w:val="001900BF"/>
    <w:rsid w:val="001938BF"/>
    <w:rsid w:val="00193F86"/>
    <w:rsid w:val="0019437E"/>
    <w:rsid w:val="00195726"/>
    <w:rsid w:val="00196993"/>
    <w:rsid w:val="001A0E86"/>
    <w:rsid w:val="001A17B6"/>
    <w:rsid w:val="001A28A8"/>
    <w:rsid w:val="001A30E3"/>
    <w:rsid w:val="001A4B1A"/>
    <w:rsid w:val="001A4F49"/>
    <w:rsid w:val="001A5E4B"/>
    <w:rsid w:val="001A5FDC"/>
    <w:rsid w:val="001A7CD2"/>
    <w:rsid w:val="001B5F67"/>
    <w:rsid w:val="001B7483"/>
    <w:rsid w:val="001C412E"/>
    <w:rsid w:val="001C62A8"/>
    <w:rsid w:val="001C6F29"/>
    <w:rsid w:val="001D0C83"/>
    <w:rsid w:val="001D3F89"/>
    <w:rsid w:val="001E6142"/>
    <w:rsid w:val="001F3415"/>
    <w:rsid w:val="001F4E1D"/>
    <w:rsid w:val="001F6335"/>
    <w:rsid w:val="002008D2"/>
    <w:rsid w:val="002020BA"/>
    <w:rsid w:val="0020390B"/>
    <w:rsid w:val="002039E9"/>
    <w:rsid w:val="00204DD7"/>
    <w:rsid w:val="002062AE"/>
    <w:rsid w:val="0020668C"/>
    <w:rsid w:val="0021193A"/>
    <w:rsid w:val="00211EEF"/>
    <w:rsid w:val="00213458"/>
    <w:rsid w:val="0021797D"/>
    <w:rsid w:val="00217D29"/>
    <w:rsid w:val="002200F4"/>
    <w:rsid w:val="00220A34"/>
    <w:rsid w:val="00221D6A"/>
    <w:rsid w:val="002228A3"/>
    <w:rsid w:val="002246B1"/>
    <w:rsid w:val="00224DD9"/>
    <w:rsid w:val="00226185"/>
    <w:rsid w:val="00226B6E"/>
    <w:rsid w:val="00231B09"/>
    <w:rsid w:val="0023220F"/>
    <w:rsid w:val="0023279E"/>
    <w:rsid w:val="00233C6B"/>
    <w:rsid w:val="0023423B"/>
    <w:rsid w:val="00241616"/>
    <w:rsid w:val="0024165B"/>
    <w:rsid w:val="00242468"/>
    <w:rsid w:val="00244DF9"/>
    <w:rsid w:val="00251715"/>
    <w:rsid w:val="00257508"/>
    <w:rsid w:val="0026018F"/>
    <w:rsid w:val="00271A54"/>
    <w:rsid w:val="002724E3"/>
    <w:rsid w:val="00276108"/>
    <w:rsid w:val="00276DDE"/>
    <w:rsid w:val="0027729D"/>
    <w:rsid w:val="0027767C"/>
    <w:rsid w:val="0028219D"/>
    <w:rsid w:val="00284815"/>
    <w:rsid w:val="00297141"/>
    <w:rsid w:val="002A1EBB"/>
    <w:rsid w:val="002A2ED5"/>
    <w:rsid w:val="002A45AE"/>
    <w:rsid w:val="002A66DA"/>
    <w:rsid w:val="002A6ADF"/>
    <w:rsid w:val="002A7EB7"/>
    <w:rsid w:val="002B0C48"/>
    <w:rsid w:val="002B101B"/>
    <w:rsid w:val="002B1251"/>
    <w:rsid w:val="002B1EDE"/>
    <w:rsid w:val="002B33A5"/>
    <w:rsid w:val="002C275A"/>
    <w:rsid w:val="002C311C"/>
    <w:rsid w:val="002C387B"/>
    <w:rsid w:val="002C3903"/>
    <w:rsid w:val="002C4F9E"/>
    <w:rsid w:val="002D03FE"/>
    <w:rsid w:val="002D1585"/>
    <w:rsid w:val="002D25A2"/>
    <w:rsid w:val="002D2E91"/>
    <w:rsid w:val="002D4E23"/>
    <w:rsid w:val="002D5843"/>
    <w:rsid w:val="002D5903"/>
    <w:rsid w:val="002D5FE3"/>
    <w:rsid w:val="002D712D"/>
    <w:rsid w:val="002D7C7C"/>
    <w:rsid w:val="002E01C2"/>
    <w:rsid w:val="002E21DF"/>
    <w:rsid w:val="002E2457"/>
    <w:rsid w:val="002E4B86"/>
    <w:rsid w:val="002E678B"/>
    <w:rsid w:val="002E72BD"/>
    <w:rsid w:val="002F330E"/>
    <w:rsid w:val="002F386F"/>
    <w:rsid w:val="002F55A2"/>
    <w:rsid w:val="002F786C"/>
    <w:rsid w:val="00302BB5"/>
    <w:rsid w:val="003035CF"/>
    <w:rsid w:val="00305BD6"/>
    <w:rsid w:val="00311B54"/>
    <w:rsid w:val="00313E79"/>
    <w:rsid w:val="0031463C"/>
    <w:rsid w:val="00322623"/>
    <w:rsid w:val="00332516"/>
    <w:rsid w:val="00335439"/>
    <w:rsid w:val="00344A47"/>
    <w:rsid w:val="00346CC5"/>
    <w:rsid w:val="00347E25"/>
    <w:rsid w:val="00352DF9"/>
    <w:rsid w:val="0035395C"/>
    <w:rsid w:val="00354280"/>
    <w:rsid w:val="00355844"/>
    <w:rsid w:val="00355ADE"/>
    <w:rsid w:val="00357CAE"/>
    <w:rsid w:val="0036104B"/>
    <w:rsid w:val="00361A81"/>
    <w:rsid w:val="00361E7A"/>
    <w:rsid w:val="00362E7B"/>
    <w:rsid w:val="00370F58"/>
    <w:rsid w:val="00371AD9"/>
    <w:rsid w:val="0037490D"/>
    <w:rsid w:val="00381028"/>
    <w:rsid w:val="003818FF"/>
    <w:rsid w:val="00382424"/>
    <w:rsid w:val="00385F9C"/>
    <w:rsid w:val="0039141D"/>
    <w:rsid w:val="00392898"/>
    <w:rsid w:val="003935E4"/>
    <w:rsid w:val="0039468E"/>
    <w:rsid w:val="00396A73"/>
    <w:rsid w:val="00397006"/>
    <w:rsid w:val="003973F7"/>
    <w:rsid w:val="00397CF1"/>
    <w:rsid w:val="003A0223"/>
    <w:rsid w:val="003A02A5"/>
    <w:rsid w:val="003A07A9"/>
    <w:rsid w:val="003A65C6"/>
    <w:rsid w:val="003A6876"/>
    <w:rsid w:val="003B2596"/>
    <w:rsid w:val="003C0D41"/>
    <w:rsid w:val="003C2A8B"/>
    <w:rsid w:val="003C2B00"/>
    <w:rsid w:val="003C6E8F"/>
    <w:rsid w:val="003D0432"/>
    <w:rsid w:val="003D15CA"/>
    <w:rsid w:val="003D1F34"/>
    <w:rsid w:val="003D39DB"/>
    <w:rsid w:val="003D76AA"/>
    <w:rsid w:val="003E0D31"/>
    <w:rsid w:val="003E16A1"/>
    <w:rsid w:val="003E2256"/>
    <w:rsid w:val="003E29CC"/>
    <w:rsid w:val="003E2DB5"/>
    <w:rsid w:val="003E5681"/>
    <w:rsid w:val="003F4309"/>
    <w:rsid w:val="003F4C09"/>
    <w:rsid w:val="003F6625"/>
    <w:rsid w:val="00401C50"/>
    <w:rsid w:val="004056CE"/>
    <w:rsid w:val="0041013E"/>
    <w:rsid w:val="00412AD4"/>
    <w:rsid w:val="00412C7B"/>
    <w:rsid w:val="00413793"/>
    <w:rsid w:val="0041605B"/>
    <w:rsid w:val="004172E7"/>
    <w:rsid w:val="00423BAB"/>
    <w:rsid w:val="00427718"/>
    <w:rsid w:val="004302FE"/>
    <w:rsid w:val="00431441"/>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34D6"/>
    <w:rsid w:val="004538B7"/>
    <w:rsid w:val="00453B59"/>
    <w:rsid w:val="00453E53"/>
    <w:rsid w:val="0046237D"/>
    <w:rsid w:val="004638F6"/>
    <w:rsid w:val="00466250"/>
    <w:rsid w:val="00467BB7"/>
    <w:rsid w:val="0047110A"/>
    <w:rsid w:val="00471DFB"/>
    <w:rsid w:val="00475301"/>
    <w:rsid w:val="00475C81"/>
    <w:rsid w:val="004770D2"/>
    <w:rsid w:val="004849A0"/>
    <w:rsid w:val="004852DF"/>
    <w:rsid w:val="0048704A"/>
    <w:rsid w:val="00491292"/>
    <w:rsid w:val="004A1EE0"/>
    <w:rsid w:val="004A3327"/>
    <w:rsid w:val="004A575C"/>
    <w:rsid w:val="004A60C1"/>
    <w:rsid w:val="004A713F"/>
    <w:rsid w:val="004A74C9"/>
    <w:rsid w:val="004B06B7"/>
    <w:rsid w:val="004B48B0"/>
    <w:rsid w:val="004B4E8D"/>
    <w:rsid w:val="004B4EDF"/>
    <w:rsid w:val="004B530E"/>
    <w:rsid w:val="004C498B"/>
    <w:rsid w:val="004C5709"/>
    <w:rsid w:val="004D0075"/>
    <w:rsid w:val="004D102C"/>
    <w:rsid w:val="004D1A16"/>
    <w:rsid w:val="004D2E62"/>
    <w:rsid w:val="004D2F76"/>
    <w:rsid w:val="004D7BCB"/>
    <w:rsid w:val="004E0B2A"/>
    <w:rsid w:val="004E2621"/>
    <w:rsid w:val="004E303B"/>
    <w:rsid w:val="004E67B2"/>
    <w:rsid w:val="004E74D1"/>
    <w:rsid w:val="004F2387"/>
    <w:rsid w:val="004F3D01"/>
    <w:rsid w:val="004F5141"/>
    <w:rsid w:val="004F6064"/>
    <w:rsid w:val="004F77D2"/>
    <w:rsid w:val="004F78D2"/>
    <w:rsid w:val="00501397"/>
    <w:rsid w:val="00505657"/>
    <w:rsid w:val="00510167"/>
    <w:rsid w:val="00510278"/>
    <w:rsid w:val="00510A6A"/>
    <w:rsid w:val="0051138B"/>
    <w:rsid w:val="00512F8E"/>
    <w:rsid w:val="00514716"/>
    <w:rsid w:val="005155CC"/>
    <w:rsid w:val="00515FC6"/>
    <w:rsid w:val="00517FEE"/>
    <w:rsid w:val="00520E42"/>
    <w:rsid w:val="0052329E"/>
    <w:rsid w:val="00531CE9"/>
    <w:rsid w:val="00543961"/>
    <w:rsid w:val="00543A1E"/>
    <w:rsid w:val="00544CF3"/>
    <w:rsid w:val="005460FE"/>
    <w:rsid w:val="00546E2E"/>
    <w:rsid w:val="0055062E"/>
    <w:rsid w:val="00550D51"/>
    <w:rsid w:val="005524EF"/>
    <w:rsid w:val="005544D3"/>
    <w:rsid w:val="005608BB"/>
    <w:rsid w:val="0056383D"/>
    <w:rsid w:val="00567E14"/>
    <w:rsid w:val="0057018C"/>
    <w:rsid w:val="0057024F"/>
    <w:rsid w:val="0057144F"/>
    <w:rsid w:val="0057250C"/>
    <w:rsid w:val="00577139"/>
    <w:rsid w:val="0058284D"/>
    <w:rsid w:val="00582BF9"/>
    <w:rsid w:val="00583E8D"/>
    <w:rsid w:val="00585E7E"/>
    <w:rsid w:val="00587639"/>
    <w:rsid w:val="00592006"/>
    <w:rsid w:val="0059645A"/>
    <w:rsid w:val="00596B7B"/>
    <w:rsid w:val="005A13A3"/>
    <w:rsid w:val="005A23B6"/>
    <w:rsid w:val="005A2A32"/>
    <w:rsid w:val="005A2C27"/>
    <w:rsid w:val="005A4833"/>
    <w:rsid w:val="005B0078"/>
    <w:rsid w:val="005B2835"/>
    <w:rsid w:val="005B4791"/>
    <w:rsid w:val="005B71BA"/>
    <w:rsid w:val="005C22DD"/>
    <w:rsid w:val="005C2E9D"/>
    <w:rsid w:val="005C543F"/>
    <w:rsid w:val="005C7306"/>
    <w:rsid w:val="005C7D39"/>
    <w:rsid w:val="005D02EE"/>
    <w:rsid w:val="005D3B7A"/>
    <w:rsid w:val="005D6B7E"/>
    <w:rsid w:val="005E4F74"/>
    <w:rsid w:val="005F0929"/>
    <w:rsid w:val="005F1690"/>
    <w:rsid w:val="005F1780"/>
    <w:rsid w:val="005F18C4"/>
    <w:rsid w:val="005F267F"/>
    <w:rsid w:val="005F2D4C"/>
    <w:rsid w:val="005F3BC2"/>
    <w:rsid w:val="00600F3E"/>
    <w:rsid w:val="00601B1A"/>
    <w:rsid w:val="00602C05"/>
    <w:rsid w:val="006102ED"/>
    <w:rsid w:val="00613875"/>
    <w:rsid w:val="00613C2E"/>
    <w:rsid w:val="006142A2"/>
    <w:rsid w:val="0061592F"/>
    <w:rsid w:val="00615B69"/>
    <w:rsid w:val="0062123B"/>
    <w:rsid w:val="00623259"/>
    <w:rsid w:val="00623856"/>
    <w:rsid w:val="00627E42"/>
    <w:rsid w:val="0063368B"/>
    <w:rsid w:val="00635B46"/>
    <w:rsid w:val="00637719"/>
    <w:rsid w:val="0063777E"/>
    <w:rsid w:val="00641645"/>
    <w:rsid w:val="00641715"/>
    <w:rsid w:val="00646113"/>
    <w:rsid w:val="00646D0B"/>
    <w:rsid w:val="00651B36"/>
    <w:rsid w:val="00652D5F"/>
    <w:rsid w:val="006600F6"/>
    <w:rsid w:val="00663AB2"/>
    <w:rsid w:val="0066544C"/>
    <w:rsid w:val="00667E54"/>
    <w:rsid w:val="00671591"/>
    <w:rsid w:val="006719C5"/>
    <w:rsid w:val="00672FC0"/>
    <w:rsid w:val="006738CC"/>
    <w:rsid w:val="00674953"/>
    <w:rsid w:val="00677A5D"/>
    <w:rsid w:val="00681130"/>
    <w:rsid w:val="0068583A"/>
    <w:rsid w:val="00686739"/>
    <w:rsid w:val="00687C88"/>
    <w:rsid w:val="0069008E"/>
    <w:rsid w:val="00693648"/>
    <w:rsid w:val="006941E4"/>
    <w:rsid w:val="00695C23"/>
    <w:rsid w:val="00696A4F"/>
    <w:rsid w:val="006977DD"/>
    <w:rsid w:val="006A0022"/>
    <w:rsid w:val="006A0B31"/>
    <w:rsid w:val="006A0F8F"/>
    <w:rsid w:val="006A19D5"/>
    <w:rsid w:val="006A23E1"/>
    <w:rsid w:val="006A2444"/>
    <w:rsid w:val="006A3F0C"/>
    <w:rsid w:val="006A4095"/>
    <w:rsid w:val="006A6D9C"/>
    <w:rsid w:val="006B00AF"/>
    <w:rsid w:val="006B1133"/>
    <w:rsid w:val="006B3011"/>
    <w:rsid w:val="006B3FAF"/>
    <w:rsid w:val="006B6036"/>
    <w:rsid w:val="006B6294"/>
    <w:rsid w:val="006B719D"/>
    <w:rsid w:val="006C053B"/>
    <w:rsid w:val="006C4B48"/>
    <w:rsid w:val="006C5644"/>
    <w:rsid w:val="006D094F"/>
    <w:rsid w:val="006D359E"/>
    <w:rsid w:val="006D4BAB"/>
    <w:rsid w:val="006D57F1"/>
    <w:rsid w:val="006E3877"/>
    <w:rsid w:val="006E3C43"/>
    <w:rsid w:val="006F255F"/>
    <w:rsid w:val="006F2C62"/>
    <w:rsid w:val="006F4CF2"/>
    <w:rsid w:val="00701ABE"/>
    <w:rsid w:val="00702F34"/>
    <w:rsid w:val="00703CA3"/>
    <w:rsid w:val="007142E4"/>
    <w:rsid w:val="0071667F"/>
    <w:rsid w:val="00717EC8"/>
    <w:rsid w:val="007214FD"/>
    <w:rsid w:val="007220A3"/>
    <w:rsid w:val="007224CB"/>
    <w:rsid w:val="00722A6B"/>
    <w:rsid w:val="00723F89"/>
    <w:rsid w:val="00730347"/>
    <w:rsid w:val="00730968"/>
    <w:rsid w:val="00736460"/>
    <w:rsid w:val="007403FA"/>
    <w:rsid w:val="00744609"/>
    <w:rsid w:val="0075083D"/>
    <w:rsid w:val="00750FA5"/>
    <w:rsid w:val="00752B2A"/>
    <w:rsid w:val="00753073"/>
    <w:rsid w:val="00754DFA"/>
    <w:rsid w:val="00756E9D"/>
    <w:rsid w:val="007652B5"/>
    <w:rsid w:val="007654F4"/>
    <w:rsid w:val="00772564"/>
    <w:rsid w:val="00772F73"/>
    <w:rsid w:val="00774854"/>
    <w:rsid w:val="00775307"/>
    <w:rsid w:val="007755AA"/>
    <w:rsid w:val="00777976"/>
    <w:rsid w:val="00792DBB"/>
    <w:rsid w:val="007955AD"/>
    <w:rsid w:val="007978AE"/>
    <w:rsid w:val="007A0BA4"/>
    <w:rsid w:val="007A18F0"/>
    <w:rsid w:val="007A4808"/>
    <w:rsid w:val="007A6817"/>
    <w:rsid w:val="007A7F14"/>
    <w:rsid w:val="007B01BF"/>
    <w:rsid w:val="007B0881"/>
    <w:rsid w:val="007B124F"/>
    <w:rsid w:val="007B1952"/>
    <w:rsid w:val="007B1964"/>
    <w:rsid w:val="007B46BB"/>
    <w:rsid w:val="007B5B25"/>
    <w:rsid w:val="007C2973"/>
    <w:rsid w:val="007D012C"/>
    <w:rsid w:val="007D0C99"/>
    <w:rsid w:val="007D0FBB"/>
    <w:rsid w:val="007D1523"/>
    <w:rsid w:val="007D2939"/>
    <w:rsid w:val="007D2B48"/>
    <w:rsid w:val="007D3ED4"/>
    <w:rsid w:val="007E0923"/>
    <w:rsid w:val="007E0D62"/>
    <w:rsid w:val="007E2335"/>
    <w:rsid w:val="007E3828"/>
    <w:rsid w:val="007F0200"/>
    <w:rsid w:val="007F6400"/>
    <w:rsid w:val="007F7E62"/>
    <w:rsid w:val="00800231"/>
    <w:rsid w:val="00800CB0"/>
    <w:rsid w:val="00801603"/>
    <w:rsid w:val="0080567D"/>
    <w:rsid w:val="00806012"/>
    <w:rsid w:val="00812462"/>
    <w:rsid w:val="00813E70"/>
    <w:rsid w:val="00814FB2"/>
    <w:rsid w:val="00816CA0"/>
    <w:rsid w:val="008255D4"/>
    <w:rsid w:val="0082768F"/>
    <w:rsid w:val="00827C99"/>
    <w:rsid w:val="0083563A"/>
    <w:rsid w:val="00835ED1"/>
    <w:rsid w:val="00836E9E"/>
    <w:rsid w:val="00840698"/>
    <w:rsid w:val="00844DB8"/>
    <w:rsid w:val="008507EF"/>
    <w:rsid w:val="008515A2"/>
    <w:rsid w:val="00851DC9"/>
    <w:rsid w:val="008520F2"/>
    <w:rsid w:val="00852A76"/>
    <w:rsid w:val="00852BB7"/>
    <w:rsid w:val="00854B55"/>
    <w:rsid w:val="00854B9D"/>
    <w:rsid w:val="00855C41"/>
    <w:rsid w:val="00856A36"/>
    <w:rsid w:val="008578D4"/>
    <w:rsid w:val="00861EFE"/>
    <w:rsid w:val="008634F6"/>
    <w:rsid w:val="008641B0"/>
    <w:rsid w:val="0086460B"/>
    <w:rsid w:val="008649B1"/>
    <w:rsid w:val="00866E42"/>
    <w:rsid w:val="0087245D"/>
    <w:rsid w:val="00881B89"/>
    <w:rsid w:val="008834BB"/>
    <w:rsid w:val="00884824"/>
    <w:rsid w:val="00885EC2"/>
    <w:rsid w:val="00885FC5"/>
    <w:rsid w:val="00886052"/>
    <w:rsid w:val="008915D1"/>
    <w:rsid w:val="00893D1D"/>
    <w:rsid w:val="00896D86"/>
    <w:rsid w:val="008A2A5B"/>
    <w:rsid w:val="008A43F3"/>
    <w:rsid w:val="008A477B"/>
    <w:rsid w:val="008B3794"/>
    <w:rsid w:val="008B6805"/>
    <w:rsid w:val="008C0252"/>
    <w:rsid w:val="008C0E75"/>
    <w:rsid w:val="008C3A9E"/>
    <w:rsid w:val="008C5FB2"/>
    <w:rsid w:val="008D0437"/>
    <w:rsid w:val="008D2A81"/>
    <w:rsid w:val="008D4416"/>
    <w:rsid w:val="008D511B"/>
    <w:rsid w:val="008D55BE"/>
    <w:rsid w:val="008D6627"/>
    <w:rsid w:val="008D7203"/>
    <w:rsid w:val="008E1991"/>
    <w:rsid w:val="008E637E"/>
    <w:rsid w:val="008F0051"/>
    <w:rsid w:val="008F38BE"/>
    <w:rsid w:val="008F43B6"/>
    <w:rsid w:val="008F5709"/>
    <w:rsid w:val="008F6F7B"/>
    <w:rsid w:val="00900295"/>
    <w:rsid w:val="00901040"/>
    <w:rsid w:val="00905CE0"/>
    <w:rsid w:val="0090760B"/>
    <w:rsid w:val="00912B25"/>
    <w:rsid w:val="00912F0C"/>
    <w:rsid w:val="009141D8"/>
    <w:rsid w:val="009141DF"/>
    <w:rsid w:val="00917800"/>
    <w:rsid w:val="009206DB"/>
    <w:rsid w:val="00920DC4"/>
    <w:rsid w:val="00926E9F"/>
    <w:rsid w:val="00927AEB"/>
    <w:rsid w:val="00927F7F"/>
    <w:rsid w:val="00932DBC"/>
    <w:rsid w:val="00935A53"/>
    <w:rsid w:val="00946B02"/>
    <w:rsid w:val="00946B49"/>
    <w:rsid w:val="00952D8C"/>
    <w:rsid w:val="00956444"/>
    <w:rsid w:val="00956FE0"/>
    <w:rsid w:val="0095785A"/>
    <w:rsid w:val="00957927"/>
    <w:rsid w:val="00961285"/>
    <w:rsid w:val="00962577"/>
    <w:rsid w:val="0096636D"/>
    <w:rsid w:val="0097097C"/>
    <w:rsid w:val="00972125"/>
    <w:rsid w:val="009727FA"/>
    <w:rsid w:val="00975B47"/>
    <w:rsid w:val="00977C4C"/>
    <w:rsid w:val="00980F22"/>
    <w:rsid w:val="0098219A"/>
    <w:rsid w:val="009836F5"/>
    <w:rsid w:val="009843F9"/>
    <w:rsid w:val="00985727"/>
    <w:rsid w:val="009864DE"/>
    <w:rsid w:val="0099147A"/>
    <w:rsid w:val="00994F43"/>
    <w:rsid w:val="009A1246"/>
    <w:rsid w:val="009A2A9D"/>
    <w:rsid w:val="009A4040"/>
    <w:rsid w:val="009A4AD7"/>
    <w:rsid w:val="009A587E"/>
    <w:rsid w:val="009B0049"/>
    <w:rsid w:val="009B0C1D"/>
    <w:rsid w:val="009B1232"/>
    <w:rsid w:val="009B138B"/>
    <w:rsid w:val="009B3952"/>
    <w:rsid w:val="009B678A"/>
    <w:rsid w:val="009C08E3"/>
    <w:rsid w:val="009C0992"/>
    <w:rsid w:val="009C1705"/>
    <w:rsid w:val="009C27A9"/>
    <w:rsid w:val="009C2F44"/>
    <w:rsid w:val="009C4854"/>
    <w:rsid w:val="009C6027"/>
    <w:rsid w:val="009C7EFA"/>
    <w:rsid w:val="009D0AFA"/>
    <w:rsid w:val="009D0D89"/>
    <w:rsid w:val="009E0497"/>
    <w:rsid w:val="009E10EB"/>
    <w:rsid w:val="009E6D9A"/>
    <w:rsid w:val="00A0404F"/>
    <w:rsid w:val="00A0413E"/>
    <w:rsid w:val="00A049F2"/>
    <w:rsid w:val="00A10904"/>
    <w:rsid w:val="00A10A9A"/>
    <w:rsid w:val="00A1198B"/>
    <w:rsid w:val="00A13273"/>
    <w:rsid w:val="00A14102"/>
    <w:rsid w:val="00A15764"/>
    <w:rsid w:val="00A21C8D"/>
    <w:rsid w:val="00A22733"/>
    <w:rsid w:val="00A23504"/>
    <w:rsid w:val="00A2425A"/>
    <w:rsid w:val="00A260D1"/>
    <w:rsid w:val="00A263B8"/>
    <w:rsid w:val="00A275FC"/>
    <w:rsid w:val="00A3090C"/>
    <w:rsid w:val="00A30D63"/>
    <w:rsid w:val="00A31CD4"/>
    <w:rsid w:val="00A334BE"/>
    <w:rsid w:val="00A354B3"/>
    <w:rsid w:val="00A41646"/>
    <w:rsid w:val="00A43D35"/>
    <w:rsid w:val="00A5315F"/>
    <w:rsid w:val="00A548CA"/>
    <w:rsid w:val="00A65BA5"/>
    <w:rsid w:val="00A66F88"/>
    <w:rsid w:val="00A7097F"/>
    <w:rsid w:val="00A72A3A"/>
    <w:rsid w:val="00A76359"/>
    <w:rsid w:val="00A766AC"/>
    <w:rsid w:val="00A779ED"/>
    <w:rsid w:val="00A82699"/>
    <w:rsid w:val="00A82AEB"/>
    <w:rsid w:val="00A83A23"/>
    <w:rsid w:val="00A83A53"/>
    <w:rsid w:val="00A84DA3"/>
    <w:rsid w:val="00A853CC"/>
    <w:rsid w:val="00A8594F"/>
    <w:rsid w:val="00A864B9"/>
    <w:rsid w:val="00A90A47"/>
    <w:rsid w:val="00A915DE"/>
    <w:rsid w:val="00A93868"/>
    <w:rsid w:val="00A93CD2"/>
    <w:rsid w:val="00AA1D9F"/>
    <w:rsid w:val="00AA277F"/>
    <w:rsid w:val="00AA3373"/>
    <w:rsid w:val="00AA4A93"/>
    <w:rsid w:val="00AA58BC"/>
    <w:rsid w:val="00AA692B"/>
    <w:rsid w:val="00AA727E"/>
    <w:rsid w:val="00AB21C5"/>
    <w:rsid w:val="00AB32E5"/>
    <w:rsid w:val="00AC161D"/>
    <w:rsid w:val="00AC2942"/>
    <w:rsid w:val="00AC2A64"/>
    <w:rsid w:val="00AC2C6F"/>
    <w:rsid w:val="00AC2F62"/>
    <w:rsid w:val="00AC60D4"/>
    <w:rsid w:val="00AC6F15"/>
    <w:rsid w:val="00AC7D1D"/>
    <w:rsid w:val="00AC7D65"/>
    <w:rsid w:val="00AD080F"/>
    <w:rsid w:val="00AD46A1"/>
    <w:rsid w:val="00AD4E9E"/>
    <w:rsid w:val="00AD7DFA"/>
    <w:rsid w:val="00AE2F56"/>
    <w:rsid w:val="00AE380B"/>
    <w:rsid w:val="00AE55A4"/>
    <w:rsid w:val="00AE6A92"/>
    <w:rsid w:val="00AF00C8"/>
    <w:rsid w:val="00AF3B05"/>
    <w:rsid w:val="00AF4B4F"/>
    <w:rsid w:val="00B00F7C"/>
    <w:rsid w:val="00B103E9"/>
    <w:rsid w:val="00B10FC1"/>
    <w:rsid w:val="00B133AF"/>
    <w:rsid w:val="00B13D62"/>
    <w:rsid w:val="00B1693E"/>
    <w:rsid w:val="00B17AFD"/>
    <w:rsid w:val="00B33524"/>
    <w:rsid w:val="00B35078"/>
    <w:rsid w:val="00B41CD6"/>
    <w:rsid w:val="00B42274"/>
    <w:rsid w:val="00B42364"/>
    <w:rsid w:val="00B42990"/>
    <w:rsid w:val="00B45486"/>
    <w:rsid w:val="00B458B2"/>
    <w:rsid w:val="00B45E61"/>
    <w:rsid w:val="00B46B33"/>
    <w:rsid w:val="00B552B9"/>
    <w:rsid w:val="00B57DEE"/>
    <w:rsid w:val="00B618D0"/>
    <w:rsid w:val="00B665BF"/>
    <w:rsid w:val="00B67A04"/>
    <w:rsid w:val="00B72A25"/>
    <w:rsid w:val="00B739D5"/>
    <w:rsid w:val="00B74F68"/>
    <w:rsid w:val="00B757F8"/>
    <w:rsid w:val="00B76014"/>
    <w:rsid w:val="00B77056"/>
    <w:rsid w:val="00B80919"/>
    <w:rsid w:val="00B830B8"/>
    <w:rsid w:val="00B870DD"/>
    <w:rsid w:val="00B9111E"/>
    <w:rsid w:val="00B93102"/>
    <w:rsid w:val="00B94ED0"/>
    <w:rsid w:val="00B97861"/>
    <w:rsid w:val="00B97B56"/>
    <w:rsid w:val="00B97D9D"/>
    <w:rsid w:val="00BA49FB"/>
    <w:rsid w:val="00BA627D"/>
    <w:rsid w:val="00BA6E0F"/>
    <w:rsid w:val="00BB1C6D"/>
    <w:rsid w:val="00BB21AA"/>
    <w:rsid w:val="00BB5645"/>
    <w:rsid w:val="00BC023B"/>
    <w:rsid w:val="00BC1155"/>
    <w:rsid w:val="00BC16D1"/>
    <w:rsid w:val="00BC198F"/>
    <w:rsid w:val="00BC1F3C"/>
    <w:rsid w:val="00BC42FF"/>
    <w:rsid w:val="00BC5C59"/>
    <w:rsid w:val="00BC731A"/>
    <w:rsid w:val="00BC776F"/>
    <w:rsid w:val="00BD2520"/>
    <w:rsid w:val="00BD51A5"/>
    <w:rsid w:val="00BD5E81"/>
    <w:rsid w:val="00BE2416"/>
    <w:rsid w:val="00BE4031"/>
    <w:rsid w:val="00BE5F42"/>
    <w:rsid w:val="00BE630C"/>
    <w:rsid w:val="00BE73F4"/>
    <w:rsid w:val="00BE7D5B"/>
    <w:rsid w:val="00BF2B29"/>
    <w:rsid w:val="00BF3B34"/>
    <w:rsid w:val="00BF3BD1"/>
    <w:rsid w:val="00BF4464"/>
    <w:rsid w:val="00BF49A9"/>
    <w:rsid w:val="00BF541F"/>
    <w:rsid w:val="00BF7D34"/>
    <w:rsid w:val="00C000BD"/>
    <w:rsid w:val="00C00F41"/>
    <w:rsid w:val="00C02E67"/>
    <w:rsid w:val="00C04245"/>
    <w:rsid w:val="00C04309"/>
    <w:rsid w:val="00C04A0B"/>
    <w:rsid w:val="00C04A46"/>
    <w:rsid w:val="00C06029"/>
    <w:rsid w:val="00C1023A"/>
    <w:rsid w:val="00C10E85"/>
    <w:rsid w:val="00C12E80"/>
    <w:rsid w:val="00C13EFA"/>
    <w:rsid w:val="00C154EB"/>
    <w:rsid w:val="00C20728"/>
    <w:rsid w:val="00C23715"/>
    <w:rsid w:val="00C26661"/>
    <w:rsid w:val="00C31AF7"/>
    <w:rsid w:val="00C329D7"/>
    <w:rsid w:val="00C33F0A"/>
    <w:rsid w:val="00C3598C"/>
    <w:rsid w:val="00C36C2D"/>
    <w:rsid w:val="00C36F16"/>
    <w:rsid w:val="00C40079"/>
    <w:rsid w:val="00C42CA7"/>
    <w:rsid w:val="00C47D7F"/>
    <w:rsid w:val="00C50B38"/>
    <w:rsid w:val="00C526F7"/>
    <w:rsid w:val="00C533B1"/>
    <w:rsid w:val="00C53984"/>
    <w:rsid w:val="00C53DD4"/>
    <w:rsid w:val="00C542BF"/>
    <w:rsid w:val="00C56817"/>
    <w:rsid w:val="00C56B25"/>
    <w:rsid w:val="00C60501"/>
    <w:rsid w:val="00C646FF"/>
    <w:rsid w:val="00C676D8"/>
    <w:rsid w:val="00C724DE"/>
    <w:rsid w:val="00C74A70"/>
    <w:rsid w:val="00C74B34"/>
    <w:rsid w:val="00C765FB"/>
    <w:rsid w:val="00C7775D"/>
    <w:rsid w:val="00C842D1"/>
    <w:rsid w:val="00C84608"/>
    <w:rsid w:val="00C86476"/>
    <w:rsid w:val="00C86540"/>
    <w:rsid w:val="00C87657"/>
    <w:rsid w:val="00C87E55"/>
    <w:rsid w:val="00C92808"/>
    <w:rsid w:val="00C9509F"/>
    <w:rsid w:val="00CA041D"/>
    <w:rsid w:val="00CA59BC"/>
    <w:rsid w:val="00CA6135"/>
    <w:rsid w:val="00CA61BA"/>
    <w:rsid w:val="00CB1265"/>
    <w:rsid w:val="00CB273A"/>
    <w:rsid w:val="00CB6B28"/>
    <w:rsid w:val="00CC1534"/>
    <w:rsid w:val="00CC29AF"/>
    <w:rsid w:val="00CC2AF7"/>
    <w:rsid w:val="00CC5D82"/>
    <w:rsid w:val="00CC6E0C"/>
    <w:rsid w:val="00CC7310"/>
    <w:rsid w:val="00CD3CA0"/>
    <w:rsid w:val="00CD3CEA"/>
    <w:rsid w:val="00CD47F3"/>
    <w:rsid w:val="00CD4886"/>
    <w:rsid w:val="00CE62C0"/>
    <w:rsid w:val="00CE6F4C"/>
    <w:rsid w:val="00CE74C9"/>
    <w:rsid w:val="00CE7AF1"/>
    <w:rsid w:val="00CF2C13"/>
    <w:rsid w:val="00CF695C"/>
    <w:rsid w:val="00CF7513"/>
    <w:rsid w:val="00D001D6"/>
    <w:rsid w:val="00D01544"/>
    <w:rsid w:val="00D02AA9"/>
    <w:rsid w:val="00D2108B"/>
    <w:rsid w:val="00D222AE"/>
    <w:rsid w:val="00D22BBF"/>
    <w:rsid w:val="00D2465C"/>
    <w:rsid w:val="00D24686"/>
    <w:rsid w:val="00D26811"/>
    <w:rsid w:val="00D3059A"/>
    <w:rsid w:val="00D3171E"/>
    <w:rsid w:val="00D36ECB"/>
    <w:rsid w:val="00D42914"/>
    <w:rsid w:val="00D46766"/>
    <w:rsid w:val="00D47EB9"/>
    <w:rsid w:val="00D52539"/>
    <w:rsid w:val="00D5263E"/>
    <w:rsid w:val="00D57D7E"/>
    <w:rsid w:val="00D670A4"/>
    <w:rsid w:val="00D67553"/>
    <w:rsid w:val="00D73662"/>
    <w:rsid w:val="00D739ED"/>
    <w:rsid w:val="00D80214"/>
    <w:rsid w:val="00D842A3"/>
    <w:rsid w:val="00D851B6"/>
    <w:rsid w:val="00D855E6"/>
    <w:rsid w:val="00D86886"/>
    <w:rsid w:val="00D902E4"/>
    <w:rsid w:val="00D92115"/>
    <w:rsid w:val="00D97B20"/>
    <w:rsid w:val="00DA0024"/>
    <w:rsid w:val="00DA138B"/>
    <w:rsid w:val="00DA1614"/>
    <w:rsid w:val="00DA23A5"/>
    <w:rsid w:val="00DA3B4C"/>
    <w:rsid w:val="00DA46B4"/>
    <w:rsid w:val="00DA6E5D"/>
    <w:rsid w:val="00DA7938"/>
    <w:rsid w:val="00DB14D4"/>
    <w:rsid w:val="00DB5235"/>
    <w:rsid w:val="00DC1576"/>
    <w:rsid w:val="00DC4522"/>
    <w:rsid w:val="00DC515C"/>
    <w:rsid w:val="00DC61B5"/>
    <w:rsid w:val="00DC62FD"/>
    <w:rsid w:val="00DD1E67"/>
    <w:rsid w:val="00DD2958"/>
    <w:rsid w:val="00DD6118"/>
    <w:rsid w:val="00DE09A6"/>
    <w:rsid w:val="00DE29F1"/>
    <w:rsid w:val="00DE2FC0"/>
    <w:rsid w:val="00DE3EE4"/>
    <w:rsid w:val="00DE4F53"/>
    <w:rsid w:val="00DF1FC3"/>
    <w:rsid w:val="00DF469B"/>
    <w:rsid w:val="00DF6BC6"/>
    <w:rsid w:val="00DF7C19"/>
    <w:rsid w:val="00E07443"/>
    <w:rsid w:val="00E12566"/>
    <w:rsid w:val="00E13581"/>
    <w:rsid w:val="00E13F7A"/>
    <w:rsid w:val="00E14050"/>
    <w:rsid w:val="00E14EB6"/>
    <w:rsid w:val="00E21EBF"/>
    <w:rsid w:val="00E23492"/>
    <w:rsid w:val="00E24A19"/>
    <w:rsid w:val="00E25545"/>
    <w:rsid w:val="00E260A3"/>
    <w:rsid w:val="00E321AB"/>
    <w:rsid w:val="00E3310D"/>
    <w:rsid w:val="00E33F93"/>
    <w:rsid w:val="00E35960"/>
    <w:rsid w:val="00E362EC"/>
    <w:rsid w:val="00E3689F"/>
    <w:rsid w:val="00E37D8D"/>
    <w:rsid w:val="00E4035E"/>
    <w:rsid w:val="00E436DB"/>
    <w:rsid w:val="00E44219"/>
    <w:rsid w:val="00E556FE"/>
    <w:rsid w:val="00E5755B"/>
    <w:rsid w:val="00E57DF8"/>
    <w:rsid w:val="00E61CF7"/>
    <w:rsid w:val="00E65380"/>
    <w:rsid w:val="00E677D7"/>
    <w:rsid w:val="00E67AAD"/>
    <w:rsid w:val="00E74658"/>
    <w:rsid w:val="00E751E3"/>
    <w:rsid w:val="00E8321C"/>
    <w:rsid w:val="00E93676"/>
    <w:rsid w:val="00E95A82"/>
    <w:rsid w:val="00EA00BC"/>
    <w:rsid w:val="00EA01F9"/>
    <w:rsid w:val="00EA0DAE"/>
    <w:rsid w:val="00EA0ECF"/>
    <w:rsid w:val="00EA22D6"/>
    <w:rsid w:val="00EA39BE"/>
    <w:rsid w:val="00EA4E67"/>
    <w:rsid w:val="00EA52CF"/>
    <w:rsid w:val="00EA55AD"/>
    <w:rsid w:val="00EB1647"/>
    <w:rsid w:val="00EB189E"/>
    <w:rsid w:val="00EB1E30"/>
    <w:rsid w:val="00EB3C78"/>
    <w:rsid w:val="00EB4D93"/>
    <w:rsid w:val="00EC3B13"/>
    <w:rsid w:val="00ED11DF"/>
    <w:rsid w:val="00ED3B14"/>
    <w:rsid w:val="00ED53C1"/>
    <w:rsid w:val="00ED663D"/>
    <w:rsid w:val="00ED69D0"/>
    <w:rsid w:val="00ED7F2C"/>
    <w:rsid w:val="00EE2080"/>
    <w:rsid w:val="00EE6D8F"/>
    <w:rsid w:val="00EE6F53"/>
    <w:rsid w:val="00EF1588"/>
    <w:rsid w:val="00EF33BC"/>
    <w:rsid w:val="00EF3605"/>
    <w:rsid w:val="00F01627"/>
    <w:rsid w:val="00F01FBE"/>
    <w:rsid w:val="00F02F04"/>
    <w:rsid w:val="00F047F0"/>
    <w:rsid w:val="00F074E6"/>
    <w:rsid w:val="00F11388"/>
    <w:rsid w:val="00F11A53"/>
    <w:rsid w:val="00F13494"/>
    <w:rsid w:val="00F13ABB"/>
    <w:rsid w:val="00F14963"/>
    <w:rsid w:val="00F241A6"/>
    <w:rsid w:val="00F245D6"/>
    <w:rsid w:val="00F25124"/>
    <w:rsid w:val="00F30981"/>
    <w:rsid w:val="00F31120"/>
    <w:rsid w:val="00F334C1"/>
    <w:rsid w:val="00F336DD"/>
    <w:rsid w:val="00F354A9"/>
    <w:rsid w:val="00F36B28"/>
    <w:rsid w:val="00F37175"/>
    <w:rsid w:val="00F43728"/>
    <w:rsid w:val="00F532D2"/>
    <w:rsid w:val="00F549AC"/>
    <w:rsid w:val="00F55362"/>
    <w:rsid w:val="00F56D98"/>
    <w:rsid w:val="00F600F5"/>
    <w:rsid w:val="00F6209A"/>
    <w:rsid w:val="00F630B2"/>
    <w:rsid w:val="00F63A63"/>
    <w:rsid w:val="00F73998"/>
    <w:rsid w:val="00F74302"/>
    <w:rsid w:val="00F76C52"/>
    <w:rsid w:val="00F81173"/>
    <w:rsid w:val="00F85F39"/>
    <w:rsid w:val="00F86574"/>
    <w:rsid w:val="00F931D1"/>
    <w:rsid w:val="00F952B6"/>
    <w:rsid w:val="00F97A95"/>
    <w:rsid w:val="00F97D45"/>
    <w:rsid w:val="00FA067C"/>
    <w:rsid w:val="00FA0FE0"/>
    <w:rsid w:val="00FA1685"/>
    <w:rsid w:val="00FA2607"/>
    <w:rsid w:val="00FA4ED8"/>
    <w:rsid w:val="00FB1945"/>
    <w:rsid w:val="00FB2F33"/>
    <w:rsid w:val="00FB56B2"/>
    <w:rsid w:val="00FB71B0"/>
    <w:rsid w:val="00FB7D4A"/>
    <w:rsid w:val="00FC24D8"/>
    <w:rsid w:val="00FC2B3F"/>
    <w:rsid w:val="00FD1C81"/>
    <w:rsid w:val="00FD2AEB"/>
    <w:rsid w:val="00FD37BF"/>
    <w:rsid w:val="00FD3EC3"/>
    <w:rsid w:val="00FD4368"/>
    <w:rsid w:val="00FD7F05"/>
    <w:rsid w:val="00FE3FEF"/>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49B5-D4FE-4F2C-9B14-B3CAAED2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2016-12-27T07:41:00Z</dcterms:created>
  <dcterms:modified xsi:type="dcterms:W3CDTF">2016-12-27T07:41:00Z</dcterms:modified>
</cp:coreProperties>
</file>