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Pr="002106FB" w:rsidRDefault="002106FB" w:rsidP="00E672D2">
      <w:pPr>
        <w:spacing w:line="240" w:lineRule="auto"/>
        <w:jc w:val="center"/>
        <w:rPr>
          <w:rFonts w:ascii="Arial Black" w:eastAsia="Arial Unicode MS" w:hAnsi="Arial Black" w:cs="Arial Unicode MS"/>
          <w:sz w:val="28"/>
          <w:szCs w:val="28"/>
        </w:rPr>
      </w:pPr>
      <w:bookmarkStart w:id="0" w:name="_GoBack"/>
      <w:bookmarkEnd w:id="0"/>
      <w:r w:rsidRPr="002106FB">
        <w:rPr>
          <w:rFonts w:ascii="Arial Black" w:eastAsia="Arial Unicode MS" w:hAnsi="Arial Black" w:cs="Arial Unicode MS"/>
          <w:sz w:val="28"/>
          <w:szCs w:val="28"/>
        </w:rPr>
        <w:t>THE REPUBLIC OF UGANDA</w:t>
      </w:r>
    </w:p>
    <w:p w:rsidR="002106FB" w:rsidRPr="002106FB" w:rsidRDefault="002106FB" w:rsidP="00E672D2">
      <w:pPr>
        <w:spacing w:line="240" w:lineRule="auto"/>
        <w:jc w:val="center"/>
        <w:rPr>
          <w:rFonts w:ascii="Arial Black" w:eastAsia="Arial Unicode MS" w:hAnsi="Arial Black" w:cs="Arial Unicode MS"/>
          <w:sz w:val="28"/>
          <w:szCs w:val="28"/>
        </w:rPr>
      </w:pPr>
      <w:r w:rsidRPr="002106FB">
        <w:rPr>
          <w:rFonts w:ascii="Arial Black" w:eastAsia="Arial Unicode MS" w:hAnsi="Arial Black" w:cs="Arial Unicode MS"/>
          <w:sz w:val="28"/>
          <w:szCs w:val="28"/>
        </w:rPr>
        <w:t>IN THE HIGH COURT OF UGANDA AT JINJA</w:t>
      </w:r>
    </w:p>
    <w:p w:rsidR="002106FB" w:rsidRPr="002106FB" w:rsidRDefault="002106FB" w:rsidP="00E672D2">
      <w:pPr>
        <w:spacing w:line="240" w:lineRule="auto"/>
        <w:jc w:val="center"/>
        <w:rPr>
          <w:rFonts w:ascii="Arial Black" w:eastAsia="Arial Unicode MS" w:hAnsi="Arial Black" w:cs="Arial Unicode MS"/>
          <w:sz w:val="28"/>
          <w:szCs w:val="28"/>
        </w:rPr>
      </w:pPr>
    </w:p>
    <w:p w:rsidR="002106FB" w:rsidRPr="002106FB" w:rsidRDefault="002106FB" w:rsidP="00E672D2">
      <w:pPr>
        <w:spacing w:line="240" w:lineRule="auto"/>
        <w:jc w:val="center"/>
        <w:rPr>
          <w:rFonts w:ascii="Arial Black" w:eastAsia="Arial Unicode MS" w:hAnsi="Arial Black" w:cs="Arial Unicode MS"/>
          <w:sz w:val="28"/>
          <w:szCs w:val="28"/>
        </w:rPr>
      </w:pPr>
      <w:r w:rsidRPr="002106FB">
        <w:rPr>
          <w:rFonts w:ascii="Arial Black" w:eastAsia="Arial Unicode MS" w:hAnsi="Arial Black" w:cs="Arial Unicode MS"/>
          <w:sz w:val="28"/>
          <w:szCs w:val="28"/>
        </w:rPr>
        <w:t>MISC. APPLICATION NO. 159 OF 2014</w:t>
      </w:r>
    </w:p>
    <w:p w:rsidR="002106FB" w:rsidRPr="002106FB" w:rsidRDefault="002106FB" w:rsidP="00E672D2">
      <w:pPr>
        <w:spacing w:line="240" w:lineRule="auto"/>
        <w:jc w:val="center"/>
        <w:rPr>
          <w:rFonts w:ascii="Arial" w:eastAsia="Arial Unicode MS" w:hAnsi="Arial" w:cs="Arial"/>
        </w:rPr>
      </w:pPr>
      <w:r w:rsidRPr="002106FB">
        <w:rPr>
          <w:rFonts w:ascii="Arial" w:eastAsia="Arial Unicode MS" w:hAnsi="Arial" w:cs="Arial"/>
        </w:rPr>
        <w:t>(ARISING FROM CIVIL SUIT NO. 143 OF 2012)</w:t>
      </w:r>
    </w:p>
    <w:p w:rsidR="002106FB" w:rsidRPr="002106FB" w:rsidRDefault="002106FB" w:rsidP="00E672D2">
      <w:pPr>
        <w:spacing w:line="240" w:lineRule="auto"/>
        <w:rPr>
          <w:rFonts w:ascii="Arial Black" w:eastAsia="Arial Unicode MS" w:hAnsi="Arial Black" w:cs="Arial Unicode MS"/>
          <w:sz w:val="28"/>
          <w:szCs w:val="28"/>
        </w:rPr>
      </w:pPr>
    </w:p>
    <w:p w:rsidR="002106FB" w:rsidRPr="002D4AD1" w:rsidRDefault="002106FB" w:rsidP="002D4AD1">
      <w:pPr>
        <w:spacing w:line="240" w:lineRule="auto"/>
        <w:rPr>
          <w:rFonts w:ascii="Arial Black" w:eastAsia="Arial Unicode MS" w:hAnsi="Arial Black" w:cs="Arial Unicode MS"/>
          <w:sz w:val="28"/>
          <w:szCs w:val="28"/>
        </w:rPr>
      </w:pPr>
      <w:r w:rsidRPr="002D4AD1">
        <w:rPr>
          <w:rFonts w:ascii="Arial Black" w:eastAsia="Arial Unicode MS" w:hAnsi="Arial Black" w:cs="Arial Unicode MS"/>
          <w:sz w:val="28"/>
          <w:szCs w:val="28"/>
        </w:rPr>
        <w:t>BAKUSEKAMAJJA WOMEN’S</w:t>
      </w:r>
    </w:p>
    <w:p w:rsidR="002106FB" w:rsidRPr="002D4AD1" w:rsidRDefault="002106FB" w:rsidP="002D4AD1">
      <w:pPr>
        <w:spacing w:line="240" w:lineRule="auto"/>
        <w:rPr>
          <w:rFonts w:ascii="Arial Black" w:eastAsia="Arial Unicode MS" w:hAnsi="Arial Black" w:cs="Arial Unicode MS"/>
          <w:sz w:val="28"/>
          <w:szCs w:val="28"/>
        </w:rPr>
      </w:pPr>
      <w:r w:rsidRPr="002106FB">
        <w:rPr>
          <w:rFonts w:ascii="Arial Black" w:eastAsia="Arial Unicode MS" w:hAnsi="Arial Black" w:cs="Arial Unicode MS"/>
          <w:sz w:val="28"/>
          <w:szCs w:val="28"/>
        </w:rPr>
        <w:t>DEVELOPMENT ASSOCIATION</w:t>
      </w:r>
      <w:r>
        <w:rPr>
          <w:rFonts w:ascii="Arial Black" w:eastAsia="Arial Unicode MS" w:hAnsi="Arial Black" w:cs="Arial Unicode MS"/>
          <w:sz w:val="28"/>
          <w:szCs w:val="28"/>
        </w:rPr>
        <w:t xml:space="preserve"> </w:t>
      </w:r>
      <w:r w:rsidR="002D4AD1">
        <w:rPr>
          <w:rFonts w:ascii="Arial Black" w:eastAsia="Arial Unicode MS" w:hAnsi="Arial Black" w:cs="Arial Unicode MS"/>
          <w:sz w:val="28"/>
          <w:szCs w:val="28"/>
        </w:rPr>
        <w:t>:::::::::::::</w:t>
      </w:r>
      <w:r w:rsidRPr="002D4AD1">
        <w:rPr>
          <w:rFonts w:ascii="Arial Black" w:eastAsia="Arial Unicode MS" w:hAnsi="Arial Black" w:cs="Arial Unicode MS"/>
          <w:sz w:val="28"/>
          <w:szCs w:val="28"/>
        </w:rPr>
        <w:t>::::::</w:t>
      </w:r>
      <w:r w:rsidR="002D4AD1">
        <w:rPr>
          <w:rFonts w:ascii="Arial Black" w:eastAsia="Arial Unicode MS" w:hAnsi="Arial Black" w:cs="Arial Unicode MS"/>
          <w:sz w:val="28"/>
          <w:szCs w:val="28"/>
        </w:rPr>
        <w:t>::</w:t>
      </w:r>
      <w:r w:rsidRPr="002D4AD1">
        <w:rPr>
          <w:rFonts w:ascii="Arial Black" w:eastAsia="Arial Unicode MS" w:hAnsi="Arial Black" w:cs="Arial Unicode MS"/>
          <w:sz w:val="28"/>
          <w:szCs w:val="28"/>
        </w:rPr>
        <w:t>::APPLICANT</w:t>
      </w:r>
    </w:p>
    <w:p w:rsidR="002106FB" w:rsidRPr="002106FB" w:rsidRDefault="002106FB" w:rsidP="00E672D2">
      <w:pPr>
        <w:spacing w:line="240" w:lineRule="auto"/>
        <w:rPr>
          <w:rFonts w:ascii="Arial Black" w:eastAsia="Arial Unicode MS" w:hAnsi="Arial Black" w:cs="Arial Unicode MS"/>
          <w:sz w:val="28"/>
          <w:szCs w:val="28"/>
        </w:rPr>
      </w:pPr>
    </w:p>
    <w:p w:rsidR="002106FB" w:rsidRPr="002106FB" w:rsidRDefault="002106FB" w:rsidP="00E672D2">
      <w:pPr>
        <w:spacing w:line="240" w:lineRule="auto"/>
        <w:jc w:val="center"/>
        <w:rPr>
          <w:rFonts w:ascii="Arial Black" w:eastAsia="Arial Unicode MS" w:hAnsi="Arial Black" w:cs="Arial Unicode MS"/>
          <w:sz w:val="28"/>
          <w:szCs w:val="28"/>
        </w:rPr>
      </w:pPr>
      <w:r w:rsidRPr="002106FB">
        <w:rPr>
          <w:rFonts w:ascii="Arial Black" w:eastAsia="Arial Unicode MS" w:hAnsi="Arial Black" w:cs="Arial Unicode MS"/>
          <w:sz w:val="28"/>
          <w:szCs w:val="28"/>
        </w:rPr>
        <w:t>VERSUS</w:t>
      </w:r>
    </w:p>
    <w:p w:rsidR="002106FB" w:rsidRPr="002106FB" w:rsidRDefault="002106FB" w:rsidP="00E672D2">
      <w:pPr>
        <w:spacing w:line="240" w:lineRule="auto"/>
        <w:rPr>
          <w:rFonts w:ascii="Arial Black" w:eastAsia="Arial Unicode MS" w:hAnsi="Arial Black" w:cs="Arial Unicode MS"/>
          <w:sz w:val="28"/>
          <w:szCs w:val="28"/>
        </w:rPr>
      </w:pPr>
    </w:p>
    <w:p w:rsidR="002106FB" w:rsidRPr="002106FB" w:rsidRDefault="002106FB" w:rsidP="00E672D2">
      <w:pPr>
        <w:spacing w:line="240" w:lineRule="auto"/>
        <w:rPr>
          <w:rFonts w:ascii="Arial Black" w:eastAsia="Arial Unicode MS" w:hAnsi="Arial Black" w:cs="Arial Unicode MS"/>
          <w:sz w:val="28"/>
          <w:szCs w:val="28"/>
        </w:rPr>
      </w:pPr>
      <w:r w:rsidRPr="002106FB">
        <w:rPr>
          <w:rFonts w:ascii="Arial Black" w:eastAsia="Arial Unicode MS" w:hAnsi="Arial Black" w:cs="Arial Unicode MS"/>
          <w:sz w:val="28"/>
          <w:szCs w:val="28"/>
        </w:rPr>
        <w:t>KAZIBA JALALI JUMA:::::::::::::::::::::::::::</w:t>
      </w:r>
      <w:r>
        <w:rPr>
          <w:rFonts w:ascii="Arial Black" w:eastAsia="Arial Unicode MS" w:hAnsi="Arial Black" w:cs="Arial Unicode MS"/>
          <w:sz w:val="28"/>
          <w:szCs w:val="28"/>
        </w:rPr>
        <w:t>:</w:t>
      </w:r>
      <w:r w:rsidRPr="002106FB">
        <w:rPr>
          <w:rFonts w:ascii="Arial Black" w:eastAsia="Arial Unicode MS" w:hAnsi="Arial Black" w:cs="Arial Unicode MS"/>
          <w:sz w:val="28"/>
          <w:szCs w:val="28"/>
        </w:rPr>
        <w:t>:::::RESPONDENT</w:t>
      </w:r>
    </w:p>
    <w:p w:rsidR="002106FB" w:rsidRPr="002106FB" w:rsidRDefault="002106FB" w:rsidP="00E672D2">
      <w:pPr>
        <w:spacing w:line="240" w:lineRule="auto"/>
        <w:rPr>
          <w:rFonts w:ascii="Arial Black" w:eastAsia="Arial Unicode MS" w:hAnsi="Arial Black" w:cs="Arial Unicode MS"/>
          <w:sz w:val="28"/>
          <w:szCs w:val="28"/>
        </w:rPr>
      </w:pPr>
    </w:p>
    <w:p w:rsidR="002106FB" w:rsidRPr="002106FB" w:rsidRDefault="002106FB" w:rsidP="00E672D2">
      <w:pPr>
        <w:spacing w:line="240" w:lineRule="auto"/>
        <w:rPr>
          <w:rFonts w:ascii="Arial Black" w:eastAsia="Arial Unicode MS" w:hAnsi="Arial Black" w:cs="Arial Unicode MS"/>
          <w:sz w:val="28"/>
          <w:szCs w:val="28"/>
        </w:rPr>
      </w:pPr>
      <w:r w:rsidRPr="002106FB">
        <w:rPr>
          <w:rFonts w:ascii="Arial Black" w:eastAsia="Arial Unicode MS" w:hAnsi="Arial Black" w:cs="Arial Unicode MS"/>
          <w:sz w:val="28"/>
          <w:szCs w:val="28"/>
        </w:rPr>
        <w:t>BEFORE:   THE HON.  JUSTICE GODFREY NAMUNDI</w:t>
      </w:r>
    </w:p>
    <w:p w:rsidR="002106FB" w:rsidRPr="002106FB" w:rsidRDefault="002106FB" w:rsidP="00E672D2">
      <w:pPr>
        <w:spacing w:line="240" w:lineRule="auto"/>
        <w:rPr>
          <w:rFonts w:ascii="Arial Black" w:eastAsia="Arial Unicode MS" w:hAnsi="Arial Black" w:cs="Arial Unicode MS"/>
          <w:sz w:val="28"/>
          <w:szCs w:val="28"/>
        </w:rPr>
      </w:pPr>
    </w:p>
    <w:p w:rsidR="002106FB" w:rsidRDefault="002106FB" w:rsidP="00E672D2">
      <w:pPr>
        <w:spacing w:line="240" w:lineRule="auto"/>
        <w:jc w:val="center"/>
        <w:rPr>
          <w:rFonts w:ascii="Arial Black" w:eastAsia="Arial Unicode MS" w:hAnsi="Arial Black" w:cs="Arial Unicode MS"/>
          <w:sz w:val="36"/>
          <w:szCs w:val="36"/>
          <w:u w:val="single"/>
        </w:rPr>
      </w:pPr>
      <w:r w:rsidRPr="002106FB">
        <w:rPr>
          <w:rFonts w:ascii="Arial Black" w:eastAsia="Arial Unicode MS" w:hAnsi="Arial Black" w:cs="Arial Unicode MS"/>
          <w:sz w:val="36"/>
          <w:szCs w:val="36"/>
          <w:u w:val="single"/>
        </w:rPr>
        <w:t>RULING</w:t>
      </w:r>
    </w:p>
    <w:p w:rsidR="00E672D2" w:rsidRPr="002106FB" w:rsidRDefault="00E672D2" w:rsidP="00E672D2">
      <w:pPr>
        <w:spacing w:line="240" w:lineRule="auto"/>
        <w:jc w:val="center"/>
        <w:rPr>
          <w:rFonts w:ascii="Arial Black" w:eastAsia="Arial Unicode MS" w:hAnsi="Arial Black" w:cs="Arial Unicode MS"/>
          <w:sz w:val="36"/>
          <w:szCs w:val="36"/>
          <w:u w:val="single"/>
        </w:rPr>
      </w:pPr>
    </w:p>
    <w:p w:rsidR="002106FB" w:rsidRDefault="002106F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 Summary Suit was filed by the Plaintiffs against the Defendants seeking to recover Shs.65 million shillings allegedly extended as a friendly loan to the 1</w:t>
      </w:r>
      <w:r w:rsidRPr="002106FB">
        <w:rPr>
          <w:rFonts w:ascii="Arial Unicode MS" w:eastAsia="Arial Unicode MS" w:hAnsi="Arial Unicode MS" w:cs="Arial Unicode MS"/>
          <w:sz w:val="28"/>
          <w:szCs w:val="28"/>
          <w:vertAlign w:val="superscript"/>
        </w:rPr>
        <w:t>st</w:t>
      </w:r>
      <w:r>
        <w:rPr>
          <w:rFonts w:ascii="Arial Unicode MS" w:eastAsia="Arial Unicode MS" w:hAnsi="Arial Unicode MS" w:cs="Arial Unicode MS"/>
          <w:sz w:val="28"/>
          <w:szCs w:val="28"/>
        </w:rPr>
        <w:t xml:space="preserve"> Defendant payable not later than 5/10/2013.</w:t>
      </w:r>
      <w:r w:rsidR="00F8335A">
        <w:rPr>
          <w:rFonts w:ascii="Arial Unicode MS" w:eastAsia="Arial Unicode MS" w:hAnsi="Arial Unicode MS" w:cs="Arial Unicode MS"/>
          <w:sz w:val="28"/>
          <w:szCs w:val="28"/>
        </w:rPr>
        <w:t xml:space="preserve">  The </w:t>
      </w:r>
      <w:r w:rsidR="002D4AD1">
        <w:rPr>
          <w:rFonts w:ascii="Arial Unicode MS" w:eastAsia="Arial Unicode MS" w:hAnsi="Arial Unicode MS" w:cs="Arial Unicode MS"/>
          <w:sz w:val="28"/>
          <w:szCs w:val="28"/>
        </w:rPr>
        <w:t>said loan was allegedly guaranteed by the 2</w:t>
      </w:r>
      <w:r w:rsidR="002D4AD1" w:rsidRPr="002D4AD1">
        <w:rPr>
          <w:rFonts w:ascii="Arial Unicode MS" w:eastAsia="Arial Unicode MS" w:hAnsi="Arial Unicode MS" w:cs="Arial Unicode MS"/>
          <w:sz w:val="28"/>
          <w:szCs w:val="28"/>
          <w:vertAlign w:val="superscript"/>
        </w:rPr>
        <w:t>nd</w:t>
      </w:r>
      <w:r w:rsidR="002D4AD1">
        <w:rPr>
          <w:rFonts w:ascii="Arial Unicode MS" w:eastAsia="Arial Unicode MS" w:hAnsi="Arial Unicode MS" w:cs="Arial Unicode MS"/>
          <w:sz w:val="28"/>
          <w:szCs w:val="28"/>
        </w:rPr>
        <w:t xml:space="preserve"> -7</w:t>
      </w:r>
      <w:r w:rsidR="002D4AD1" w:rsidRPr="002D4AD1">
        <w:rPr>
          <w:rFonts w:ascii="Arial Unicode MS" w:eastAsia="Arial Unicode MS" w:hAnsi="Arial Unicode MS" w:cs="Arial Unicode MS"/>
          <w:sz w:val="28"/>
          <w:szCs w:val="28"/>
          <w:vertAlign w:val="superscript"/>
        </w:rPr>
        <w:t>th</w:t>
      </w:r>
      <w:r w:rsidR="002D4AD1">
        <w:rPr>
          <w:rFonts w:ascii="Arial Unicode MS" w:eastAsia="Arial Unicode MS" w:hAnsi="Arial Unicode MS" w:cs="Arial Unicode MS"/>
          <w:sz w:val="28"/>
          <w:szCs w:val="28"/>
        </w:rPr>
        <w:t xml:space="preserve"> Defendants.</w:t>
      </w:r>
    </w:p>
    <w:p w:rsidR="002D4AD1" w:rsidRDefault="002D4AD1">
      <w:pPr>
        <w:rPr>
          <w:rFonts w:ascii="Arial Unicode MS" w:eastAsia="Arial Unicode MS" w:hAnsi="Arial Unicode MS" w:cs="Arial Unicode MS"/>
          <w:sz w:val="28"/>
          <w:szCs w:val="28"/>
        </w:rPr>
      </w:pPr>
    </w:p>
    <w:p w:rsidR="002D4AD1" w:rsidRDefault="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On failure to file an Application for leave to defend, Judgment was entered and execution proceedings commenced.</w:t>
      </w:r>
    </w:p>
    <w:p w:rsidR="002D4AD1" w:rsidRDefault="002D4AD1">
      <w:pPr>
        <w:rPr>
          <w:rFonts w:ascii="Arial Unicode MS" w:eastAsia="Arial Unicode MS" w:hAnsi="Arial Unicode MS" w:cs="Arial Unicode MS"/>
          <w:sz w:val="28"/>
          <w:szCs w:val="28"/>
        </w:rPr>
      </w:pPr>
    </w:p>
    <w:p w:rsidR="002D4AD1" w:rsidRDefault="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 xml:space="preserve">The instant </w:t>
      </w:r>
      <w:r w:rsidR="00470DA0">
        <w:rPr>
          <w:rFonts w:ascii="Arial Unicode MS" w:eastAsia="Arial Unicode MS" w:hAnsi="Arial Unicode MS" w:cs="Arial Unicode MS"/>
          <w:sz w:val="28"/>
          <w:szCs w:val="28"/>
        </w:rPr>
        <w:t xml:space="preserve">Application </w:t>
      </w:r>
      <w:r>
        <w:rPr>
          <w:rFonts w:ascii="Arial Unicode MS" w:eastAsia="Arial Unicode MS" w:hAnsi="Arial Unicode MS" w:cs="Arial Unicode MS"/>
          <w:sz w:val="28"/>
          <w:szCs w:val="28"/>
        </w:rPr>
        <w:t xml:space="preserve">seeks to have the said Judgment set aside together with the </w:t>
      </w:r>
      <w:r w:rsidR="00470DA0">
        <w:rPr>
          <w:rFonts w:ascii="Arial Unicode MS" w:eastAsia="Arial Unicode MS" w:hAnsi="Arial Unicode MS" w:cs="Arial Unicode MS"/>
          <w:sz w:val="28"/>
          <w:szCs w:val="28"/>
        </w:rPr>
        <w:t xml:space="preserve">Orders </w:t>
      </w:r>
      <w:r>
        <w:rPr>
          <w:rFonts w:ascii="Arial Unicode MS" w:eastAsia="Arial Unicode MS" w:hAnsi="Arial Unicode MS" w:cs="Arial Unicode MS"/>
          <w:sz w:val="28"/>
          <w:szCs w:val="28"/>
        </w:rPr>
        <w:t xml:space="preserve">for execution.     </w:t>
      </w:r>
    </w:p>
    <w:p w:rsidR="002D4AD1" w:rsidRDefault="002D4AD1">
      <w:pPr>
        <w:rPr>
          <w:rFonts w:ascii="Arial Unicode MS" w:eastAsia="Arial Unicode MS" w:hAnsi="Arial Unicode MS" w:cs="Arial Unicode MS"/>
          <w:sz w:val="28"/>
          <w:szCs w:val="28"/>
        </w:rPr>
      </w:pPr>
    </w:p>
    <w:p w:rsidR="002D4AD1" w:rsidRDefault="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w:t>
      </w:r>
      <w:r w:rsidR="00470DA0">
        <w:rPr>
          <w:rFonts w:ascii="Arial Unicode MS" w:eastAsia="Arial Unicode MS" w:hAnsi="Arial Unicode MS" w:cs="Arial Unicode MS"/>
          <w:sz w:val="28"/>
          <w:szCs w:val="28"/>
        </w:rPr>
        <w:t xml:space="preserve">Application </w:t>
      </w:r>
      <w:r>
        <w:rPr>
          <w:rFonts w:ascii="Arial Unicode MS" w:eastAsia="Arial Unicode MS" w:hAnsi="Arial Unicode MS" w:cs="Arial Unicode MS"/>
          <w:sz w:val="28"/>
          <w:szCs w:val="28"/>
        </w:rPr>
        <w:t>is based on grounds that:</w:t>
      </w:r>
    </w:p>
    <w:p w:rsidR="002D4AD1" w:rsidRDefault="002D4AD1" w:rsidP="002D4AD1">
      <w:pPr>
        <w:pStyle w:val="ListParagraph"/>
        <w:numPr>
          <w:ilvl w:val="0"/>
          <w:numId w:val="2"/>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Applicant was not served with </w:t>
      </w:r>
      <w:r w:rsidR="00470DA0">
        <w:rPr>
          <w:rFonts w:ascii="Arial Unicode MS" w:eastAsia="Arial Unicode MS" w:hAnsi="Arial Unicode MS" w:cs="Arial Unicode MS"/>
          <w:sz w:val="28"/>
          <w:szCs w:val="28"/>
        </w:rPr>
        <w:t xml:space="preserve">Summons </w:t>
      </w:r>
      <w:r>
        <w:rPr>
          <w:rFonts w:ascii="Arial Unicode MS" w:eastAsia="Arial Unicode MS" w:hAnsi="Arial Unicode MS" w:cs="Arial Unicode MS"/>
          <w:sz w:val="28"/>
          <w:szCs w:val="28"/>
        </w:rPr>
        <w:t>to appear and defend the suit.</w:t>
      </w:r>
    </w:p>
    <w:p w:rsidR="002D4AD1" w:rsidRDefault="002D4AD1" w:rsidP="002D4AD1">
      <w:pPr>
        <w:pStyle w:val="ListParagraph"/>
        <w:numPr>
          <w:ilvl w:val="0"/>
          <w:numId w:val="2"/>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members of the Defendant Organization were not aware of the transaction and never authorized the loan facility.</w:t>
      </w:r>
    </w:p>
    <w:p w:rsidR="002D4AD1" w:rsidRDefault="002D4AD1" w:rsidP="002D4AD1">
      <w:pPr>
        <w:pStyle w:val="ListParagraph"/>
        <w:numPr>
          <w:ilvl w:val="0"/>
          <w:numId w:val="2"/>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That the Applicant has a valid defence to the claim.</w:t>
      </w:r>
    </w:p>
    <w:p w:rsidR="002D4AD1" w:rsidRDefault="002D4AD1" w:rsidP="002D4AD1">
      <w:pPr>
        <w:pStyle w:val="ListParagraph"/>
        <w:numPr>
          <w:ilvl w:val="0"/>
          <w:numId w:val="2"/>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Respondent is not a registered money lender.</w:t>
      </w:r>
    </w:p>
    <w:p w:rsidR="002D4AD1" w:rsidRDefault="002D4AD1" w:rsidP="002D4AD1">
      <w:pPr>
        <w:pStyle w:val="ListParagraph"/>
        <w:numPr>
          <w:ilvl w:val="0"/>
          <w:numId w:val="2"/>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That it is in the interests of justice that the said Judgment be set aside.</w:t>
      </w:r>
    </w:p>
    <w:p w:rsidR="002D4AD1" w:rsidRDefault="002D4AD1" w:rsidP="002D4AD1">
      <w:pPr>
        <w:rPr>
          <w:rFonts w:ascii="Arial Unicode MS" w:eastAsia="Arial Unicode MS" w:hAnsi="Arial Unicode MS" w:cs="Arial Unicode MS"/>
          <w:sz w:val="28"/>
          <w:szCs w:val="28"/>
        </w:rPr>
      </w:pPr>
    </w:p>
    <w:p w:rsidR="002D4AD1" w:rsidRDefault="002D4AD1" w:rsidP="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application is supported by the affidavit of one EDITH BAPERE – a Vice Chairperson of the Applicant – Association.   Therein she avers that the Applicant Association was never served with the Summons in Civil Suit No. 143 of 2013 and no Executive member of the Association was served.</w:t>
      </w:r>
    </w:p>
    <w:p w:rsidR="002D4AD1" w:rsidRDefault="002D4AD1" w:rsidP="002D4AD1">
      <w:pPr>
        <w:rPr>
          <w:rFonts w:ascii="Arial Unicode MS" w:eastAsia="Arial Unicode MS" w:hAnsi="Arial Unicode MS" w:cs="Arial Unicode MS"/>
          <w:sz w:val="28"/>
          <w:szCs w:val="28"/>
        </w:rPr>
      </w:pPr>
    </w:p>
    <w:p w:rsidR="002D4AD1" w:rsidRDefault="002D4AD1" w:rsidP="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other grounds are that the transaction was not authorized by the Association management and that the Defendants are not signatories to the Association account.   That if they got the loan it was for their </w:t>
      </w:r>
      <w:r>
        <w:rPr>
          <w:rFonts w:ascii="Arial Unicode MS" w:eastAsia="Arial Unicode MS" w:hAnsi="Arial Unicode MS" w:cs="Arial Unicode MS"/>
          <w:sz w:val="28"/>
          <w:szCs w:val="28"/>
        </w:rPr>
        <w:lastRenderedPageBreak/>
        <w:t>own personal interests.   That in any case they guaranteed to pay the loan personally and hence the liability should not be passed on to the Association.</w:t>
      </w:r>
    </w:p>
    <w:p w:rsidR="002D4AD1" w:rsidRDefault="002D4AD1" w:rsidP="002D4AD1">
      <w:pPr>
        <w:rPr>
          <w:rFonts w:ascii="Arial Unicode MS" w:eastAsia="Arial Unicode MS" w:hAnsi="Arial Unicode MS" w:cs="Arial Unicode MS"/>
          <w:sz w:val="28"/>
          <w:szCs w:val="28"/>
        </w:rPr>
      </w:pPr>
    </w:p>
    <w:p w:rsidR="002D4AD1" w:rsidRDefault="002D4AD1" w:rsidP="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w:t>
      </w:r>
      <w:r w:rsidR="00470DA0">
        <w:rPr>
          <w:rFonts w:ascii="Arial Unicode MS" w:eastAsia="Arial Unicode MS" w:hAnsi="Arial Unicode MS" w:cs="Arial Unicode MS"/>
          <w:sz w:val="28"/>
          <w:szCs w:val="28"/>
        </w:rPr>
        <w:t>Respondent</w:t>
      </w:r>
      <w:r>
        <w:rPr>
          <w:rFonts w:ascii="Arial Unicode MS" w:eastAsia="Arial Unicode MS" w:hAnsi="Arial Unicode MS" w:cs="Arial Unicode MS"/>
          <w:sz w:val="28"/>
          <w:szCs w:val="28"/>
        </w:rPr>
        <w:t xml:space="preserve"> filed an affidavit in Reply to the Application.  In paragraph 3 thereof he avers that the members of the Executive acknowledged service by signing on the copy of the affidavit of service on Court record.  He further avers that the Respondents had authority to receive the loan on behalf of the Association as seen from the Loan Agreement.  That the deponent of the Applicant’s affidavit</w:t>
      </w:r>
      <w:r w:rsidR="00470DA0">
        <w:rPr>
          <w:rFonts w:ascii="Arial Unicode MS" w:eastAsia="Arial Unicode MS" w:hAnsi="Arial Unicode MS" w:cs="Arial Unicode MS"/>
          <w:sz w:val="28"/>
          <w:szCs w:val="28"/>
        </w:rPr>
        <w:t xml:space="preserve"> is not a member of the Applicant Association and therefore has no capacity to depone the affidavit.</w:t>
      </w:r>
    </w:p>
    <w:p w:rsidR="00470DA0" w:rsidRDefault="00470DA0" w:rsidP="002D4AD1">
      <w:pPr>
        <w:rPr>
          <w:rFonts w:ascii="Arial Unicode MS" w:eastAsia="Arial Unicode MS" w:hAnsi="Arial Unicode MS" w:cs="Arial Unicode MS"/>
          <w:sz w:val="28"/>
          <w:szCs w:val="28"/>
        </w:rPr>
      </w:pPr>
    </w:p>
    <w:p w:rsidR="00470DA0" w:rsidRDefault="00470DA0" w:rsidP="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In rejoinder, the deponent Edith Mupere reiterated that they only came to know about the matter in Court when Court Bailiffs went ahead and executed the Court orders.</w:t>
      </w:r>
    </w:p>
    <w:p w:rsidR="00470DA0" w:rsidRDefault="00470DA0" w:rsidP="002D4AD1">
      <w:pPr>
        <w:rPr>
          <w:rFonts w:ascii="Arial Unicode MS" w:eastAsia="Arial Unicode MS" w:hAnsi="Arial Unicode MS" w:cs="Arial Unicode MS"/>
          <w:sz w:val="28"/>
          <w:szCs w:val="28"/>
        </w:rPr>
      </w:pPr>
    </w:p>
    <w:p w:rsidR="00470DA0" w:rsidRDefault="00470DA0" w:rsidP="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It reiterates that the former Chairperson and the 7 other members should be personally liable to pay the loan.</w:t>
      </w:r>
    </w:p>
    <w:p w:rsidR="00470DA0" w:rsidRDefault="00470DA0" w:rsidP="002D4AD1">
      <w:pPr>
        <w:rPr>
          <w:rFonts w:ascii="Arial Unicode MS" w:eastAsia="Arial Unicode MS" w:hAnsi="Arial Unicode MS" w:cs="Arial Unicode MS"/>
          <w:sz w:val="28"/>
          <w:szCs w:val="28"/>
        </w:rPr>
      </w:pPr>
    </w:p>
    <w:p w:rsidR="00470DA0" w:rsidRDefault="00470DA0" w:rsidP="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submissions at the hearing of this application mainly reiterate the contents of the affidavit in support and in reply to the application.</w:t>
      </w:r>
    </w:p>
    <w:p w:rsidR="00470DA0" w:rsidRDefault="00470DA0" w:rsidP="002D4AD1">
      <w:pPr>
        <w:rPr>
          <w:rFonts w:ascii="Arial Unicode MS" w:eastAsia="Arial Unicode MS" w:hAnsi="Arial Unicode MS" w:cs="Arial Unicode MS"/>
          <w:sz w:val="28"/>
          <w:szCs w:val="28"/>
        </w:rPr>
      </w:pPr>
    </w:p>
    <w:p w:rsidR="00470DA0" w:rsidRDefault="00470DA0" w:rsidP="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Counsel for the Respondent submitted in respect of service that the summons was only duly received and acknowledged.</w:t>
      </w:r>
    </w:p>
    <w:p w:rsidR="00470DA0" w:rsidRDefault="00470DA0" w:rsidP="002D4AD1">
      <w:pPr>
        <w:rPr>
          <w:rFonts w:ascii="Arial Unicode MS" w:eastAsia="Arial Unicode MS" w:hAnsi="Arial Unicode MS" w:cs="Arial Unicode MS"/>
          <w:sz w:val="28"/>
          <w:szCs w:val="28"/>
        </w:rPr>
      </w:pPr>
    </w:p>
    <w:p w:rsidR="00470DA0" w:rsidRDefault="00470DA0" w:rsidP="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That the Constitution of the Association gives the Chairperson all the powers to manage, oversee and represent all the interests of the Association with the outsides.  She had all the authority to receive and sign Court documents.</w:t>
      </w:r>
    </w:p>
    <w:p w:rsidR="00470DA0" w:rsidRDefault="00470DA0" w:rsidP="002D4AD1">
      <w:pPr>
        <w:rPr>
          <w:rFonts w:ascii="Arial Unicode MS" w:eastAsia="Arial Unicode MS" w:hAnsi="Arial Unicode MS" w:cs="Arial Unicode MS"/>
          <w:sz w:val="28"/>
          <w:szCs w:val="28"/>
        </w:rPr>
      </w:pPr>
    </w:p>
    <w:p w:rsidR="00470DA0" w:rsidRDefault="00470DA0" w:rsidP="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 have considered the pleadings and submissions by both parties.</w:t>
      </w:r>
    </w:p>
    <w:p w:rsidR="00470DA0" w:rsidRDefault="00470DA0" w:rsidP="002D4AD1">
      <w:pPr>
        <w:rPr>
          <w:rFonts w:ascii="Arial Unicode MS" w:eastAsia="Arial Unicode MS" w:hAnsi="Arial Unicode MS" w:cs="Arial Unicode MS"/>
          <w:sz w:val="28"/>
          <w:szCs w:val="28"/>
        </w:rPr>
      </w:pPr>
    </w:p>
    <w:p w:rsidR="00470DA0" w:rsidRDefault="00470DA0" w:rsidP="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Under Order 36 Rule 11 of the Civil Procedure Rules, the Court may set aside the Decree if satisfied that the service of the Summons was not effective, or for any other good cause which shall be recorded and if necessary set aside execution; and may give leave to the Defendant to appear and defend the suit if it seems reasonable to do so and on such terms as the Court thinks fit.</w:t>
      </w:r>
    </w:p>
    <w:p w:rsidR="00470DA0" w:rsidRDefault="00470DA0" w:rsidP="002D4AD1">
      <w:pPr>
        <w:rPr>
          <w:rFonts w:ascii="Arial Unicode MS" w:eastAsia="Arial Unicode MS" w:hAnsi="Arial Unicode MS" w:cs="Arial Unicode MS"/>
          <w:sz w:val="28"/>
          <w:szCs w:val="28"/>
        </w:rPr>
      </w:pPr>
    </w:p>
    <w:p w:rsidR="00470DA0" w:rsidRDefault="00470DA0" w:rsidP="002D4AD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main issues to decide here are:</w:t>
      </w:r>
    </w:p>
    <w:p w:rsidR="00470DA0" w:rsidRDefault="00470DA0" w:rsidP="00470DA0">
      <w:pPr>
        <w:pStyle w:val="ListParagraph"/>
        <w:numPr>
          <w:ilvl w:val="0"/>
          <w:numId w:val="3"/>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Whether there was effective service of the Summons.</w:t>
      </w:r>
    </w:p>
    <w:p w:rsidR="00470DA0" w:rsidRDefault="00470DA0" w:rsidP="00470DA0">
      <w:pPr>
        <w:pStyle w:val="ListParagraph"/>
        <w:numPr>
          <w:ilvl w:val="0"/>
          <w:numId w:val="3"/>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Whether the Applicants have sufficient cause/or defence to the suit.</w:t>
      </w:r>
    </w:p>
    <w:p w:rsidR="00470DA0" w:rsidRDefault="00470DA0" w:rsidP="00470DA0">
      <w:pPr>
        <w:rPr>
          <w:rFonts w:ascii="Arial Unicode MS" w:eastAsia="Arial Unicode MS" w:hAnsi="Arial Unicode MS" w:cs="Arial Unicode MS"/>
          <w:sz w:val="28"/>
          <w:szCs w:val="28"/>
        </w:rPr>
      </w:pPr>
    </w:p>
    <w:p w:rsidR="00470DA0" w:rsidRDefault="00470DA0"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On Issue No. 1, an affidavit of service was filed in Court and it was deponed by one Esarait Robert Eseet – an Advocate with M/S Mangeni Law Chambers.   Therein he deponed that on 17/10/2013, he set off to effect service on to the Defendants at Luuka Town Council.  He avers that the Defendants were introduced to him by the Plaintiff and that they acknowledged receipt of the same.   He then attached a copy of the said Summons</w:t>
      </w:r>
      <w:r w:rsidR="00736E02">
        <w:rPr>
          <w:rFonts w:ascii="Arial Unicode MS" w:eastAsia="Arial Unicode MS" w:hAnsi="Arial Unicode MS" w:cs="Arial Unicode MS"/>
          <w:sz w:val="28"/>
          <w:szCs w:val="28"/>
        </w:rPr>
        <w:t xml:space="preserve"> with some scribblings as against the names of the Defendants.</w:t>
      </w:r>
    </w:p>
    <w:p w:rsidR="00736E02" w:rsidRDefault="00736E02" w:rsidP="00470DA0">
      <w:pPr>
        <w:rPr>
          <w:rFonts w:ascii="Arial Unicode MS" w:eastAsia="Arial Unicode MS" w:hAnsi="Arial Unicode MS" w:cs="Arial Unicode MS"/>
          <w:sz w:val="28"/>
          <w:szCs w:val="28"/>
        </w:rPr>
      </w:pPr>
    </w:p>
    <w:p w:rsidR="00736E02" w:rsidRDefault="00736E02"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It is on the strength of the above position that the Plaintiff applied for default Judgment and it was granted.</w:t>
      </w:r>
    </w:p>
    <w:p w:rsidR="00736E02" w:rsidRDefault="00736E02" w:rsidP="00470DA0">
      <w:pPr>
        <w:rPr>
          <w:rFonts w:ascii="Arial Unicode MS" w:eastAsia="Arial Unicode MS" w:hAnsi="Arial Unicode MS" w:cs="Arial Unicode MS"/>
          <w:sz w:val="28"/>
          <w:szCs w:val="28"/>
        </w:rPr>
      </w:pPr>
    </w:p>
    <w:p w:rsidR="00736E02" w:rsidRDefault="00736E02"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Order 5 of the Civil Procedure Rules sets down an elaborate process for service of Summons by Officers of Court. Rules 7, 8, 9 and 10, 11 (1) and 13 lay down the manner in which service is to be effected.  In summary, the service is supposed to be effected on the recipient in person or on his or her agent, at the recipient’s residence or place of business.    </w:t>
      </w:r>
    </w:p>
    <w:p w:rsidR="00736E02" w:rsidRDefault="00736E02" w:rsidP="00470DA0">
      <w:pPr>
        <w:rPr>
          <w:rFonts w:ascii="Arial Unicode MS" w:eastAsia="Arial Unicode MS" w:hAnsi="Arial Unicode MS" w:cs="Arial Unicode MS"/>
          <w:sz w:val="28"/>
          <w:szCs w:val="28"/>
        </w:rPr>
      </w:pPr>
    </w:p>
    <w:p w:rsidR="00736E02" w:rsidRDefault="00736E02"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Under Rule 14 of the Civil Procedure Rules, the recipient shall be required to endorse an acknowledgement either personally or other </w:t>
      </w:r>
      <w:r>
        <w:rPr>
          <w:rFonts w:ascii="Arial Unicode MS" w:eastAsia="Arial Unicode MS" w:hAnsi="Arial Unicode MS" w:cs="Arial Unicode MS"/>
          <w:sz w:val="28"/>
          <w:szCs w:val="28"/>
        </w:rPr>
        <w:lastRenderedPageBreak/>
        <w:t>person on his/her behalf unless he/she refuses to acknowledge service.</w:t>
      </w:r>
    </w:p>
    <w:p w:rsidR="00736E02" w:rsidRDefault="00736E02" w:rsidP="00470DA0">
      <w:pPr>
        <w:rPr>
          <w:rFonts w:ascii="Arial Unicode MS" w:eastAsia="Arial Unicode MS" w:hAnsi="Arial Unicode MS" w:cs="Arial Unicode MS"/>
          <w:sz w:val="28"/>
          <w:szCs w:val="28"/>
        </w:rPr>
      </w:pPr>
    </w:p>
    <w:p w:rsidR="00736E02" w:rsidRPr="00787603" w:rsidRDefault="00736E02" w:rsidP="00470DA0">
      <w:pPr>
        <w:rPr>
          <w:rFonts w:ascii="Arial Black" w:eastAsia="Arial Unicode MS" w:hAnsi="Arial Black" w:cs="Arial Unicode MS"/>
          <w:sz w:val="28"/>
          <w:szCs w:val="28"/>
        </w:rPr>
      </w:pPr>
      <w:r>
        <w:rPr>
          <w:rFonts w:ascii="Arial Unicode MS" w:eastAsia="Arial Unicode MS" w:hAnsi="Arial Unicode MS" w:cs="Arial Unicode MS"/>
          <w:sz w:val="28"/>
          <w:szCs w:val="28"/>
        </w:rPr>
        <w:t>Under Rule 16 of the Civil Procedure Rules,</w:t>
      </w:r>
      <w:r w:rsidR="00803A38">
        <w:rPr>
          <w:rFonts w:ascii="Arial Unicode MS" w:eastAsia="Arial Unicode MS" w:hAnsi="Arial Unicode MS" w:cs="Arial Unicode MS"/>
          <w:sz w:val="28"/>
          <w:szCs w:val="28"/>
        </w:rPr>
        <w:t xml:space="preserve"> the serving Officer shall, in all cases in which Summons has been served under Rule 14, make or cause to be annexed to the original Summons, an affidavit of service </w:t>
      </w:r>
      <w:r w:rsidR="00803A38" w:rsidRPr="00787603">
        <w:rPr>
          <w:rFonts w:ascii="Arial Black" w:eastAsia="Arial Unicode MS" w:hAnsi="Arial Black" w:cs="Arial Unicode MS"/>
          <w:sz w:val="28"/>
          <w:szCs w:val="28"/>
        </w:rPr>
        <w:t>stating the time when and the manner in which the summons was served, and the name and address of the person, if any, identifying the person served and witnessing the delivery or tender of the Summons.</w:t>
      </w:r>
    </w:p>
    <w:p w:rsidR="00803A38" w:rsidRDefault="00803A38" w:rsidP="00470DA0">
      <w:pPr>
        <w:rPr>
          <w:rFonts w:ascii="Arial Unicode MS" w:eastAsia="Arial Unicode MS" w:hAnsi="Arial Unicode MS" w:cs="Arial Unicode MS"/>
          <w:b/>
          <w:sz w:val="28"/>
          <w:szCs w:val="28"/>
        </w:rPr>
      </w:pPr>
    </w:p>
    <w:p w:rsidR="00803A38" w:rsidRDefault="00803A38"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affidavit sworn by the said Mr. Robert Esarait is unfortunately lacking in all these details.  All it states is that the Defendants were served in Luuka Town Council and they acknowledged service.</w:t>
      </w:r>
    </w:p>
    <w:p w:rsidR="00803A38" w:rsidRDefault="00803A38" w:rsidP="00470DA0">
      <w:pPr>
        <w:rPr>
          <w:rFonts w:ascii="Arial Unicode MS" w:eastAsia="Arial Unicode MS" w:hAnsi="Arial Unicode MS" w:cs="Arial Unicode MS"/>
          <w:sz w:val="28"/>
          <w:szCs w:val="28"/>
        </w:rPr>
      </w:pPr>
    </w:p>
    <w:p w:rsidR="00803A38" w:rsidRDefault="00803A38"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manner of service, the individual circumstances of each service e.g. Place, time and mode are missing.  Leave alone the place.</w:t>
      </w:r>
    </w:p>
    <w:p w:rsidR="00803A38" w:rsidRDefault="00803A38" w:rsidP="00470DA0">
      <w:pPr>
        <w:rPr>
          <w:rFonts w:ascii="Arial Unicode MS" w:eastAsia="Arial Unicode MS" w:hAnsi="Arial Unicode MS" w:cs="Arial Unicode MS"/>
          <w:sz w:val="28"/>
          <w:szCs w:val="28"/>
        </w:rPr>
      </w:pPr>
    </w:p>
    <w:p w:rsidR="00803A38" w:rsidRDefault="00803A38"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Each of the Defendants was supposed to receive their own Summons and duly acknowledge so.  Place and time of such receipt should have been indicated.  The Plaintiff claims he identified the Defendants, it is not clear when and how he knew them to be able to </w:t>
      </w:r>
      <w:r>
        <w:rPr>
          <w:rFonts w:ascii="Arial Unicode MS" w:eastAsia="Arial Unicode MS" w:hAnsi="Arial Unicode MS" w:cs="Arial Unicode MS"/>
          <w:sz w:val="28"/>
          <w:szCs w:val="28"/>
        </w:rPr>
        <w:lastRenderedPageBreak/>
        <w:t xml:space="preserve">identify them to </w:t>
      </w:r>
      <w:r w:rsidR="00D028D8">
        <w:rPr>
          <w:rFonts w:ascii="Arial Unicode MS" w:eastAsia="Arial Unicode MS" w:hAnsi="Arial Unicode MS" w:cs="Arial Unicode MS"/>
          <w:sz w:val="28"/>
          <w:szCs w:val="28"/>
        </w:rPr>
        <w:t>Lawyer/Process Server</w:t>
      </w:r>
      <w:r>
        <w:rPr>
          <w:rFonts w:ascii="Arial Unicode MS" w:eastAsia="Arial Unicode MS" w:hAnsi="Arial Unicode MS" w:cs="Arial Unicode MS"/>
          <w:sz w:val="28"/>
          <w:szCs w:val="28"/>
        </w:rPr>
        <w:t>.  Where were the Defendants and in what circumstances were they served?</w:t>
      </w:r>
    </w:p>
    <w:p w:rsidR="00803A38" w:rsidRDefault="00803A38" w:rsidP="00470DA0">
      <w:pPr>
        <w:rPr>
          <w:rFonts w:ascii="Arial Unicode MS" w:eastAsia="Arial Unicode MS" w:hAnsi="Arial Unicode MS" w:cs="Arial Unicode MS"/>
          <w:sz w:val="28"/>
          <w:szCs w:val="28"/>
        </w:rPr>
      </w:pPr>
    </w:p>
    <w:p w:rsidR="00803A38" w:rsidRDefault="00803A38"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It is not enough to make an omnibus claim that the Defendants were served as was done in the instant case.  Court is unable to determine whether each of the Defendants were effectively served by a look at the affidavit and the Summons on record.</w:t>
      </w:r>
    </w:p>
    <w:p w:rsidR="00803A38" w:rsidRDefault="00803A38" w:rsidP="00470DA0">
      <w:pPr>
        <w:rPr>
          <w:rFonts w:ascii="Arial Unicode MS" w:eastAsia="Arial Unicode MS" w:hAnsi="Arial Unicode MS" w:cs="Arial Unicode MS"/>
          <w:sz w:val="28"/>
          <w:szCs w:val="28"/>
        </w:rPr>
      </w:pPr>
    </w:p>
    <w:p w:rsidR="00803A38" w:rsidRDefault="00803A38"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It is however </w:t>
      </w:r>
      <w:r w:rsidR="006D7145">
        <w:rPr>
          <w:rFonts w:ascii="Arial Unicode MS" w:eastAsia="Arial Unicode MS" w:hAnsi="Arial Unicode MS" w:cs="Arial Unicode MS"/>
          <w:sz w:val="28"/>
          <w:szCs w:val="28"/>
        </w:rPr>
        <w:t>intriguing</w:t>
      </w:r>
      <w:r>
        <w:rPr>
          <w:rFonts w:ascii="Arial Unicode MS" w:eastAsia="Arial Unicode MS" w:hAnsi="Arial Unicode MS" w:cs="Arial Unicode MS"/>
          <w:sz w:val="28"/>
          <w:szCs w:val="28"/>
        </w:rPr>
        <w:t xml:space="preserve"> that the Applicant through the affidavit in rejoinder deponed by Edith Bapere acknowledges in Paragraph 3 that the former Chairperson of the Applicant acknowledged receipt of the Summons on behalf of the Applicant Organisation but did not notify any other Executive member of the General Assembly.</w:t>
      </w:r>
    </w:p>
    <w:p w:rsidR="006D7145" w:rsidRDefault="006D7145" w:rsidP="00470DA0">
      <w:pPr>
        <w:rPr>
          <w:rFonts w:ascii="Arial Unicode MS" w:eastAsia="Arial Unicode MS" w:hAnsi="Arial Unicode MS" w:cs="Arial Unicode MS"/>
          <w:sz w:val="28"/>
          <w:szCs w:val="28"/>
        </w:rPr>
      </w:pPr>
    </w:p>
    <w:p w:rsidR="006D7145" w:rsidRDefault="006D7145"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In paragraph 4 she </w:t>
      </w:r>
      <w:r w:rsidR="00787603">
        <w:rPr>
          <w:rFonts w:ascii="Arial Unicode MS" w:eastAsia="Arial Unicode MS" w:hAnsi="Arial Unicode MS" w:cs="Arial Unicode MS"/>
          <w:sz w:val="28"/>
          <w:szCs w:val="28"/>
        </w:rPr>
        <w:t>depones that she not only neglected to notify any Executive member of the Assembly, but she intentionally refused to apply for leave to defend the suit on behalf of herself and of the Organization so as to have the properties of the Organization sold off to pay the loan.  She was the head of the organization at the time.</w:t>
      </w:r>
    </w:p>
    <w:p w:rsidR="00787603" w:rsidRDefault="00787603" w:rsidP="00470DA0">
      <w:pPr>
        <w:rPr>
          <w:rFonts w:ascii="Arial Unicode MS" w:eastAsia="Arial Unicode MS" w:hAnsi="Arial Unicode MS" w:cs="Arial Unicode MS"/>
          <w:sz w:val="28"/>
          <w:szCs w:val="28"/>
        </w:rPr>
      </w:pPr>
    </w:p>
    <w:p w:rsidR="00787603" w:rsidRDefault="00787603"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above averments therefore lead to the conclusion that it is not true that the Applicants were not served.</w:t>
      </w:r>
    </w:p>
    <w:p w:rsidR="00787603" w:rsidRDefault="00787603"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The ground that they were not served then collapses.</w:t>
      </w:r>
    </w:p>
    <w:p w:rsidR="00787603" w:rsidRDefault="00787603" w:rsidP="00470DA0">
      <w:pPr>
        <w:rPr>
          <w:rFonts w:ascii="Arial Unicode MS" w:eastAsia="Arial Unicode MS" w:hAnsi="Arial Unicode MS" w:cs="Arial Unicode MS"/>
          <w:sz w:val="28"/>
          <w:szCs w:val="28"/>
        </w:rPr>
      </w:pPr>
    </w:p>
    <w:p w:rsidR="00787603" w:rsidRDefault="00787603"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other issue is whether the Applicants have a defence to the case.  Ordinarily the applicants should have annexed a copy of the Intended written statement of defence to the Application.</w:t>
      </w:r>
    </w:p>
    <w:p w:rsidR="00787603" w:rsidRDefault="00787603" w:rsidP="00470DA0">
      <w:pPr>
        <w:rPr>
          <w:rFonts w:ascii="Arial Unicode MS" w:eastAsia="Arial Unicode MS" w:hAnsi="Arial Unicode MS" w:cs="Arial Unicode MS"/>
          <w:sz w:val="28"/>
          <w:szCs w:val="28"/>
        </w:rPr>
      </w:pPr>
    </w:p>
    <w:p w:rsidR="00787603" w:rsidRDefault="00787603"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This should have enabled the Court to determine the nature of the defence the Applicants intend to set up.</w:t>
      </w:r>
    </w:p>
    <w:p w:rsidR="00787603" w:rsidRDefault="00787603" w:rsidP="00470DA0">
      <w:pPr>
        <w:rPr>
          <w:rFonts w:ascii="Arial Unicode MS" w:eastAsia="Arial Unicode MS" w:hAnsi="Arial Unicode MS" w:cs="Arial Unicode MS"/>
          <w:sz w:val="28"/>
          <w:szCs w:val="28"/>
        </w:rPr>
      </w:pPr>
    </w:p>
    <w:p w:rsidR="00787603" w:rsidRDefault="00787603"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This was not done.  The Court therefore only has the grounds in the Application to determine whether they had a defence.   The Applicants have tried to raise the fact that the transaction was not authorized by the Organization members.</w:t>
      </w:r>
    </w:p>
    <w:p w:rsidR="00787603" w:rsidRDefault="00787603" w:rsidP="00470DA0">
      <w:pPr>
        <w:rPr>
          <w:rFonts w:ascii="Arial Unicode MS" w:eastAsia="Arial Unicode MS" w:hAnsi="Arial Unicode MS" w:cs="Arial Unicode MS"/>
          <w:sz w:val="28"/>
          <w:szCs w:val="28"/>
        </w:rPr>
      </w:pPr>
    </w:p>
    <w:p w:rsidR="00787603" w:rsidRDefault="00787603"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Further that the Respondent is not a registered Money Lender.</w:t>
      </w:r>
    </w:p>
    <w:p w:rsidR="00787603" w:rsidRDefault="00787603" w:rsidP="00470DA0">
      <w:pPr>
        <w:rPr>
          <w:rFonts w:ascii="Arial Unicode MS" w:eastAsia="Arial Unicode MS" w:hAnsi="Arial Unicode MS" w:cs="Arial Unicode MS"/>
          <w:sz w:val="28"/>
          <w:szCs w:val="28"/>
        </w:rPr>
      </w:pPr>
    </w:p>
    <w:p w:rsidR="00787603" w:rsidRDefault="00787603"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For the Respondent, it was submitted that the Constitution of the Applicants gives authority to the Chairperson and her Executive to fully manage the affairs of the Association and transact business on it</w:t>
      </w:r>
      <w:r w:rsidR="00D028D8">
        <w:rPr>
          <w:rFonts w:ascii="Arial Unicode MS" w:eastAsia="Arial Unicode MS" w:hAnsi="Arial Unicode MS" w:cs="Arial Unicode MS"/>
          <w:sz w:val="28"/>
          <w:szCs w:val="28"/>
        </w:rPr>
        <w:t>s</w:t>
      </w:r>
      <w:r>
        <w:rPr>
          <w:rFonts w:ascii="Arial Unicode MS" w:eastAsia="Arial Unicode MS" w:hAnsi="Arial Unicode MS" w:cs="Arial Unicode MS"/>
          <w:sz w:val="28"/>
          <w:szCs w:val="28"/>
        </w:rPr>
        <w:t xml:space="preserve"> behalf.</w:t>
      </w:r>
    </w:p>
    <w:p w:rsidR="00787603" w:rsidRDefault="00787603" w:rsidP="00470DA0">
      <w:pPr>
        <w:rPr>
          <w:rFonts w:ascii="Arial Unicode MS" w:eastAsia="Arial Unicode MS" w:hAnsi="Arial Unicode MS" w:cs="Arial Unicode MS"/>
          <w:sz w:val="28"/>
          <w:szCs w:val="28"/>
        </w:rPr>
      </w:pPr>
    </w:p>
    <w:p w:rsidR="00787603" w:rsidRDefault="00787603"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 xml:space="preserve">Indeed the agreement was signed between the Chairperson and her Committee on the one part and the Respondent on the other.  It is preposterous for the Applicants to claim the Respondent should have sought the consent of the 400 members to transact business with the Executive Committee.   </w:t>
      </w:r>
    </w:p>
    <w:p w:rsidR="00787603" w:rsidRDefault="00787603" w:rsidP="00470DA0">
      <w:pPr>
        <w:rPr>
          <w:rFonts w:ascii="Arial Unicode MS" w:eastAsia="Arial Unicode MS" w:hAnsi="Arial Unicode MS" w:cs="Arial Unicode MS"/>
          <w:sz w:val="28"/>
          <w:szCs w:val="28"/>
        </w:rPr>
      </w:pPr>
    </w:p>
    <w:p w:rsidR="00787603" w:rsidRDefault="00787603"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What is clear here is that the Association had its own internal management weaknesses which it cannot turn round and visit on those they transacted with.</w:t>
      </w:r>
    </w:p>
    <w:p w:rsidR="00787603" w:rsidRDefault="00787603" w:rsidP="00470DA0">
      <w:pPr>
        <w:rPr>
          <w:rFonts w:ascii="Arial Unicode MS" w:eastAsia="Arial Unicode MS" w:hAnsi="Arial Unicode MS" w:cs="Arial Unicode MS"/>
          <w:sz w:val="28"/>
          <w:szCs w:val="28"/>
        </w:rPr>
      </w:pPr>
    </w:p>
    <w:p w:rsidR="00787603" w:rsidRDefault="00787603"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It is my finding that the transaction between the Applicant’s Association Executive/Management team and the Respondent was valid.  There is no defence to the claim.</w:t>
      </w:r>
    </w:p>
    <w:p w:rsidR="003D3489" w:rsidRDefault="003D3489" w:rsidP="00470DA0">
      <w:pPr>
        <w:rPr>
          <w:rFonts w:ascii="Arial Unicode MS" w:eastAsia="Arial Unicode MS" w:hAnsi="Arial Unicode MS" w:cs="Arial Unicode MS"/>
          <w:sz w:val="28"/>
          <w:szCs w:val="28"/>
        </w:rPr>
      </w:pPr>
    </w:p>
    <w:p w:rsidR="003D3489" w:rsidRDefault="003D3489"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This Application accordingly lacks merits.  It is dismissed accordingly.  The default Judgment and orders of the Court are accordingly upheld.  Costs of this application will be met by the Applicant.</w:t>
      </w:r>
    </w:p>
    <w:p w:rsidR="003D3489" w:rsidRDefault="003D3489" w:rsidP="00470DA0">
      <w:pPr>
        <w:rPr>
          <w:rFonts w:ascii="Arial Unicode MS" w:eastAsia="Arial Unicode MS" w:hAnsi="Arial Unicode MS" w:cs="Arial Unicode MS"/>
          <w:sz w:val="28"/>
          <w:szCs w:val="28"/>
        </w:rPr>
      </w:pPr>
    </w:p>
    <w:p w:rsidR="003D3489" w:rsidRDefault="003D3489" w:rsidP="00470DA0">
      <w:pPr>
        <w:rPr>
          <w:rFonts w:ascii="Arial Unicode MS" w:eastAsia="Arial Unicode MS" w:hAnsi="Arial Unicode MS" w:cs="Arial Unicode MS"/>
          <w:sz w:val="28"/>
          <w:szCs w:val="28"/>
        </w:rPr>
      </w:pPr>
    </w:p>
    <w:p w:rsidR="003D3489" w:rsidRPr="003D3489" w:rsidRDefault="003D3489" w:rsidP="00470DA0">
      <w:pPr>
        <w:rPr>
          <w:rFonts w:ascii="Arial Black" w:eastAsia="Arial Unicode MS" w:hAnsi="Arial Black" w:cs="Arial Unicode MS"/>
          <w:sz w:val="28"/>
          <w:szCs w:val="28"/>
        </w:rPr>
      </w:pPr>
      <w:r w:rsidRPr="003D3489">
        <w:rPr>
          <w:rFonts w:ascii="Arial Black" w:eastAsia="Arial Unicode MS" w:hAnsi="Arial Black" w:cs="Arial Unicode MS"/>
          <w:sz w:val="28"/>
          <w:szCs w:val="28"/>
        </w:rPr>
        <w:t>Godfrey Namundi</w:t>
      </w:r>
    </w:p>
    <w:p w:rsidR="003D3489" w:rsidRPr="003D3489" w:rsidRDefault="003D3489" w:rsidP="00470DA0">
      <w:pPr>
        <w:rPr>
          <w:rFonts w:ascii="Arial Black" w:eastAsia="Arial Unicode MS" w:hAnsi="Arial Black" w:cs="Arial Unicode MS"/>
          <w:sz w:val="28"/>
          <w:szCs w:val="28"/>
        </w:rPr>
      </w:pPr>
      <w:r w:rsidRPr="003D3489">
        <w:rPr>
          <w:rFonts w:ascii="Arial Black" w:eastAsia="Arial Unicode MS" w:hAnsi="Arial Black" w:cs="Arial Unicode MS"/>
          <w:sz w:val="28"/>
          <w:szCs w:val="28"/>
        </w:rPr>
        <w:t>JUDGE</w:t>
      </w:r>
    </w:p>
    <w:p w:rsidR="003D3489" w:rsidRPr="003D3489" w:rsidRDefault="003D3489" w:rsidP="00470DA0">
      <w:pPr>
        <w:rPr>
          <w:rFonts w:ascii="Arial Black" w:eastAsia="Arial Unicode MS" w:hAnsi="Arial Black" w:cs="Arial Unicode MS"/>
          <w:sz w:val="28"/>
          <w:szCs w:val="28"/>
        </w:rPr>
      </w:pPr>
      <w:r w:rsidRPr="003D3489">
        <w:rPr>
          <w:rFonts w:ascii="Arial Black" w:eastAsia="Arial Unicode MS" w:hAnsi="Arial Black" w:cs="Arial Unicode MS"/>
          <w:sz w:val="28"/>
          <w:szCs w:val="28"/>
        </w:rPr>
        <w:t>24/06/2015</w:t>
      </w:r>
    </w:p>
    <w:p w:rsidR="003D3489" w:rsidRDefault="003D3489"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24/6/2015:</w:t>
      </w:r>
    </w:p>
    <w:p w:rsidR="003D3489" w:rsidRDefault="003D3489"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Applicants present</w:t>
      </w:r>
    </w:p>
    <w:p w:rsidR="003D3489" w:rsidRDefault="003D3489"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Respondent absent</w:t>
      </w:r>
    </w:p>
    <w:p w:rsidR="003D3489" w:rsidRDefault="003D3489"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Esarait for Respondent</w:t>
      </w:r>
    </w:p>
    <w:p w:rsidR="003D3489" w:rsidRDefault="003D3489" w:rsidP="00470DA0">
      <w:pPr>
        <w:rPr>
          <w:rFonts w:ascii="Arial Unicode MS" w:eastAsia="Arial Unicode MS" w:hAnsi="Arial Unicode MS" w:cs="Arial Unicode MS"/>
          <w:sz w:val="28"/>
          <w:szCs w:val="28"/>
        </w:rPr>
      </w:pPr>
    </w:p>
    <w:p w:rsidR="003D3489" w:rsidRDefault="003D3489" w:rsidP="00470D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Court: </w:t>
      </w:r>
      <w:r>
        <w:rPr>
          <w:rFonts w:ascii="Arial Unicode MS" w:eastAsia="Arial Unicode MS" w:hAnsi="Arial Unicode MS" w:cs="Arial Unicode MS"/>
          <w:sz w:val="28"/>
          <w:szCs w:val="28"/>
        </w:rPr>
        <w:tab/>
        <w:t>Ruling delivered.</w:t>
      </w:r>
    </w:p>
    <w:p w:rsidR="003D3489" w:rsidRDefault="003D3489" w:rsidP="00470DA0">
      <w:pPr>
        <w:rPr>
          <w:rFonts w:ascii="Arial Unicode MS" w:eastAsia="Arial Unicode MS" w:hAnsi="Arial Unicode MS" w:cs="Arial Unicode MS"/>
          <w:sz w:val="28"/>
          <w:szCs w:val="28"/>
        </w:rPr>
      </w:pPr>
    </w:p>
    <w:p w:rsidR="003D3489" w:rsidRDefault="003D3489" w:rsidP="00470DA0">
      <w:pPr>
        <w:rPr>
          <w:rFonts w:ascii="Arial Unicode MS" w:eastAsia="Arial Unicode MS" w:hAnsi="Arial Unicode MS" w:cs="Arial Unicode MS"/>
          <w:sz w:val="28"/>
          <w:szCs w:val="28"/>
        </w:rPr>
      </w:pPr>
    </w:p>
    <w:p w:rsidR="003D3489" w:rsidRDefault="003D3489" w:rsidP="00470DA0">
      <w:pPr>
        <w:rPr>
          <w:rFonts w:ascii="Arial Unicode MS" w:eastAsia="Arial Unicode MS" w:hAnsi="Arial Unicode MS" w:cs="Arial Unicode MS"/>
          <w:sz w:val="28"/>
          <w:szCs w:val="28"/>
        </w:rPr>
      </w:pPr>
    </w:p>
    <w:p w:rsidR="003D3489" w:rsidRDefault="003D3489" w:rsidP="003D3489">
      <w:pPr>
        <w:rPr>
          <w:rFonts w:ascii="Arial Black" w:eastAsia="Arial Unicode MS" w:hAnsi="Arial Black" w:cs="Arial Unicode MS"/>
          <w:sz w:val="28"/>
          <w:szCs w:val="28"/>
        </w:rPr>
      </w:pPr>
      <w:r>
        <w:rPr>
          <w:rFonts w:ascii="Arial Black" w:eastAsia="Arial Unicode MS" w:hAnsi="Arial Black" w:cs="Arial Unicode MS"/>
          <w:sz w:val="28"/>
          <w:szCs w:val="28"/>
        </w:rPr>
        <w:t>Godfrey Namundi</w:t>
      </w:r>
    </w:p>
    <w:p w:rsidR="003D3489" w:rsidRDefault="003D3489" w:rsidP="003D3489">
      <w:pPr>
        <w:rPr>
          <w:rFonts w:ascii="Arial Black" w:eastAsia="Arial Unicode MS" w:hAnsi="Arial Black" w:cs="Arial Unicode MS"/>
          <w:sz w:val="28"/>
          <w:szCs w:val="28"/>
        </w:rPr>
      </w:pPr>
      <w:r>
        <w:rPr>
          <w:rFonts w:ascii="Arial Black" w:eastAsia="Arial Unicode MS" w:hAnsi="Arial Black" w:cs="Arial Unicode MS"/>
          <w:sz w:val="28"/>
          <w:szCs w:val="28"/>
        </w:rPr>
        <w:t>JUDGE</w:t>
      </w:r>
    </w:p>
    <w:p w:rsidR="003D3489" w:rsidRDefault="003D3489" w:rsidP="003D3489">
      <w:pPr>
        <w:rPr>
          <w:rFonts w:ascii="Arial Black" w:eastAsia="Arial Unicode MS" w:hAnsi="Arial Black" w:cs="Arial Unicode MS"/>
          <w:sz w:val="28"/>
          <w:szCs w:val="28"/>
        </w:rPr>
      </w:pPr>
      <w:r>
        <w:rPr>
          <w:rFonts w:ascii="Arial Black" w:eastAsia="Arial Unicode MS" w:hAnsi="Arial Black" w:cs="Arial Unicode MS"/>
          <w:sz w:val="28"/>
          <w:szCs w:val="28"/>
        </w:rPr>
        <w:t>24/06/2015</w:t>
      </w:r>
    </w:p>
    <w:p w:rsidR="003D3489" w:rsidRPr="00803A38" w:rsidRDefault="003D3489" w:rsidP="00470DA0">
      <w:pPr>
        <w:rPr>
          <w:rFonts w:ascii="Arial Unicode MS" w:eastAsia="Arial Unicode MS" w:hAnsi="Arial Unicode MS" w:cs="Arial Unicode MS"/>
          <w:sz w:val="28"/>
          <w:szCs w:val="28"/>
        </w:rPr>
      </w:pPr>
    </w:p>
    <w:sectPr w:rsidR="003D3489" w:rsidRPr="00803A38" w:rsidSect="002106FB">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62" w:rsidRDefault="008F1B62" w:rsidP="002106FB">
      <w:pPr>
        <w:spacing w:line="240" w:lineRule="auto"/>
      </w:pPr>
      <w:r>
        <w:separator/>
      </w:r>
    </w:p>
  </w:endnote>
  <w:endnote w:type="continuationSeparator" w:id="0">
    <w:p w:rsidR="008F1B62" w:rsidRDefault="008F1B62" w:rsidP="00210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899319"/>
      <w:docPartObj>
        <w:docPartGallery w:val="Page Numbers (Bottom of Page)"/>
        <w:docPartUnique/>
      </w:docPartObj>
    </w:sdtPr>
    <w:sdtEndPr>
      <w:rPr>
        <w:noProof/>
      </w:rPr>
    </w:sdtEndPr>
    <w:sdtContent>
      <w:p w:rsidR="002106FB" w:rsidRDefault="002106FB">
        <w:pPr>
          <w:pStyle w:val="Footer"/>
          <w:jc w:val="center"/>
        </w:pPr>
        <w:r>
          <w:fldChar w:fldCharType="begin"/>
        </w:r>
        <w:r>
          <w:instrText xml:space="preserve"> PAGE   \* MERGEFORMAT </w:instrText>
        </w:r>
        <w:r>
          <w:fldChar w:fldCharType="separate"/>
        </w:r>
        <w:r w:rsidR="00E569CD">
          <w:rPr>
            <w:noProof/>
          </w:rPr>
          <w:t>1</w:t>
        </w:r>
        <w:r>
          <w:rPr>
            <w:noProof/>
          </w:rPr>
          <w:fldChar w:fldCharType="end"/>
        </w:r>
      </w:p>
    </w:sdtContent>
  </w:sdt>
  <w:p w:rsidR="002106FB" w:rsidRDefault="00210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62" w:rsidRDefault="008F1B62" w:rsidP="002106FB">
      <w:pPr>
        <w:spacing w:line="240" w:lineRule="auto"/>
      </w:pPr>
      <w:r>
        <w:separator/>
      </w:r>
    </w:p>
  </w:footnote>
  <w:footnote w:type="continuationSeparator" w:id="0">
    <w:p w:rsidR="008F1B62" w:rsidRDefault="008F1B62" w:rsidP="002106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2037"/>
    <w:multiLevelType w:val="hybridMultilevel"/>
    <w:tmpl w:val="8AFA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36A54"/>
    <w:multiLevelType w:val="hybridMultilevel"/>
    <w:tmpl w:val="065A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F337C9"/>
    <w:multiLevelType w:val="hybridMultilevel"/>
    <w:tmpl w:val="9392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FB"/>
    <w:rsid w:val="002106FB"/>
    <w:rsid w:val="002743CA"/>
    <w:rsid w:val="002D4AD1"/>
    <w:rsid w:val="003D3489"/>
    <w:rsid w:val="00470DA0"/>
    <w:rsid w:val="004B47BF"/>
    <w:rsid w:val="0054202E"/>
    <w:rsid w:val="006C498E"/>
    <w:rsid w:val="006D7145"/>
    <w:rsid w:val="00736E02"/>
    <w:rsid w:val="00787603"/>
    <w:rsid w:val="007E5B9A"/>
    <w:rsid w:val="00803A38"/>
    <w:rsid w:val="008F1B62"/>
    <w:rsid w:val="00C23DFE"/>
    <w:rsid w:val="00C769D2"/>
    <w:rsid w:val="00D028D8"/>
    <w:rsid w:val="00E06999"/>
    <w:rsid w:val="00E569CD"/>
    <w:rsid w:val="00E672D2"/>
    <w:rsid w:val="00E8361E"/>
    <w:rsid w:val="00F8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6FB"/>
    <w:pPr>
      <w:tabs>
        <w:tab w:val="center" w:pos="4680"/>
        <w:tab w:val="right" w:pos="9360"/>
      </w:tabs>
      <w:spacing w:line="240" w:lineRule="auto"/>
    </w:pPr>
  </w:style>
  <w:style w:type="character" w:customStyle="1" w:styleId="HeaderChar">
    <w:name w:val="Header Char"/>
    <w:basedOn w:val="DefaultParagraphFont"/>
    <w:link w:val="Header"/>
    <w:uiPriority w:val="99"/>
    <w:rsid w:val="002106FB"/>
  </w:style>
  <w:style w:type="paragraph" w:styleId="Footer">
    <w:name w:val="footer"/>
    <w:basedOn w:val="Normal"/>
    <w:link w:val="FooterChar"/>
    <w:uiPriority w:val="99"/>
    <w:unhideWhenUsed/>
    <w:rsid w:val="002106FB"/>
    <w:pPr>
      <w:tabs>
        <w:tab w:val="center" w:pos="4680"/>
        <w:tab w:val="right" w:pos="9360"/>
      </w:tabs>
      <w:spacing w:line="240" w:lineRule="auto"/>
    </w:pPr>
  </w:style>
  <w:style w:type="character" w:customStyle="1" w:styleId="FooterChar">
    <w:name w:val="Footer Char"/>
    <w:basedOn w:val="DefaultParagraphFont"/>
    <w:link w:val="Footer"/>
    <w:uiPriority w:val="99"/>
    <w:rsid w:val="002106FB"/>
  </w:style>
  <w:style w:type="character" w:styleId="LineNumber">
    <w:name w:val="line number"/>
    <w:basedOn w:val="DefaultParagraphFont"/>
    <w:uiPriority w:val="99"/>
    <w:semiHidden/>
    <w:unhideWhenUsed/>
    <w:rsid w:val="002106FB"/>
  </w:style>
  <w:style w:type="paragraph" w:styleId="ListParagraph">
    <w:name w:val="List Paragraph"/>
    <w:basedOn w:val="Normal"/>
    <w:uiPriority w:val="34"/>
    <w:qFormat/>
    <w:rsid w:val="00210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6FB"/>
    <w:pPr>
      <w:tabs>
        <w:tab w:val="center" w:pos="4680"/>
        <w:tab w:val="right" w:pos="9360"/>
      </w:tabs>
      <w:spacing w:line="240" w:lineRule="auto"/>
    </w:pPr>
  </w:style>
  <w:style w:type="character" w:customStyle="1" w:styleId="HeaderChar">
    <w:name w:val="Header Char"/>
    <w:basedOn w:val="DefaultParagraphFont"/>
    <w:link w:val="Header"/>
    <w:uiPriority w:val="99"/>
    <w:rsid w:val="002106FB"/>
  </w:style>
  <w:style w:type="paragraph" w:styleId="Footer">
    <w:name w:val="footer"/>
    <w:basedOn w:val="Normal"/>
    <w:link w:val="FooterChar"/>
    <w:uiPriority w:val="99"/>
    <w:unhideWhenUsed/>
    <w:rsid w:val="002106FB"/>
    <w:pPr>
      <w:tabs>
        <w:tab w:val="center" w:pos="4680"/>
        <w:tab w:val="right" w:pos="9360"/>
      </w:tabs>
      <w:spacing w:line="240" w:lineRule="auto"/>
    </w:pPr>
  </w:style>
  <w:style w:type="character" w:customStyle="1" w:styleId="FooterChar">
    <w:name w:val="Footer Char"/>
    <w:basedOn w:val="DefaultParagraphFont"/>
    <w:link w:val="Footer"/>
    <w:uiPriority w:val="99"/>
    <w:rsid w:val="002106FB"/>
  </w:style>
  <w:style w:type="character" w:styleId="LineNumber">
    <w:name w:val="line number"/>
    <w:basedOn w:val="DefaultParagraphFont"/>
    <w:uiPriority w:val="99"/>
    <w:semiHidden/>
    <w:unhideWhenUsed/>
    <w:rsid w:val="002106FB"/>
  </w:style>
  <w:style w:type="paragraph" w:styleId="ListParagraph">
    <w:name w:val="List Paragraph"/>
    <w:basedOn w:val="Normal"/>
    <w:uiPriority w:val="34"/>
    <w:qFormat/>
    <w:rsid w:val="00210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1335</Words>
  <Characters>7616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2016-01-04T09:45:00Z</dcterms:created>
  <dcterms:modified xsi:type="dcterms:W3CDTF">2016-01-04T09:45:00Z</dcterms:modified>
</cp:coreProperties>
</file>