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D8" w:rsidRPr="009735D8" w:rsidRDefault="009735D8" w:rsidP="009735D8">
      <w:pPr>
        <w:jc w:val="center"/>
        <w:rPr>
          <w:rFonts w:ascii="Arial" w:hAnsi="Arial" w:cs="Arial"/>
          <w:b/>
          <w:sz w:val="24"/>
          <w:szCs w:val="24"/>
        </w:rPr>
      </w:pPr>
      <w:r w:rsidRPr="009735D8">
        <w:rPr>
          <w:rFonts w:ascii="Arial" w:hAnsi="Arial" w:cs="Arial"/>
          <w:b/>
          <w:sz w:val="24"/>
          <w:szCs w:val="24"/>
        </w:rPr>
        <w:t>THE REPUBLIC OF UGANDA</w:t>
      </w:r>
    </w:p>
    <w:p w:rsidR="009735D8" w:rsidRPr="009735D8" w:rsidRDefault="009735D8" w:rsidP="009735D8">
      <w:pPr>
        <w:jc w:val="center"/>
        <w:rPr>
          <w:rFonts w:ascii="Arial" w:hAnsi="Arial" w:cs="Arial"/>
          <w:b/>
          <w:sz w:val="24"/>
          <w:szCs w:val="24"/>
        </w:rPr>
      </w:pPr>
      <w:r w:rsidRPr="009735D8">
        <w:rPr>
          <w:rFonts w:ascii="Arial" w:hAnsi="Arial" w:cs="Arial"/>
          <w:b/>
          <w:sz w:val="24"/>
          <w:szCs w:val="24"/>
        </w:rPr>
        <w:t>IN THE HIGH COURT OF UGANDA AT KAMPALA</w:t>
      </w:r>
    </w:p>
    <w:p w:rsidR="009735D8" w:rsidRPr="009735D8" w:rsidRDefault="009735D8" w:rsidP="009735D8">
      <w:pPr>
        <w:jc w:val="center"/>
        <w:rPr>
          <w:rFonts w:ascii="Arial" w:hAnsi="Arial" w:cs="Arial"/>
          <w:b/>
          <w:sz w:val="24"/>
          <w:szCs w:val="24"/>
          <w:u w:val="single"/>
        </w:rPr>
      </w:pPr>
      <w:r w:rsidRPr="009735D8">
        <w:rPr>
          <w:rFonts w:ascii="Arial" w:hAnsi="Arial" w:cs="Arial"/>
          <w:b/>
          <w:sz w:val="24"/>
          <w:szCs w:val="24"/>
          <w:u w:val="single"/>
        </w:rPr>
        <w:t>CIVIL DIVISION</w:t>
      </w:r>
    </w:p>
    <w:p w:rsidR="009735D8" w:rsidRPr="009735D8" w:rsidRDefault="009735D8" w:rsidP="009735D8">
      <w:pPr>
        <w:jc w:val="center"/>
        <w:rPr>
          <w:rFonts w:ascii="Arial" w:hAnsi="Arial" w:cs="Arial"/>
          <w:b/>
          <w:sz w:val="24"/>
          <w:szCs w:val="24"/>
        </w:rPr>
      </w:pPr>
      <w:r w:rsidRPr="009735D8">
        <w:rPr>
          <w:rFonts w:ascii="Arial" w:hAnsi="Arial" w:cs="Arial"/>
          <w:b/>
          <w:sz w:val="24"/>
          <w:szCs w:val="24"/>
        </w:rPr>
        <w:t>CIVIL SUIT No. 201 OF 2012</w:t>
      </w:r>
    </w:p>
    <w:p w:rsidR="009735D8" w:rsidRPr="009735D8" w:rsidRDefault="001E1AEE" w:rsidP="009735D8">
      <w:pPr>
        <w:pStyle w:val="ListParagraph"/>
        <w:numPr>
          <w:ilvl w:val="0"/>
          <w:numId w:val="2"/>
        </w:numPr>
        <w:rPr>
          <w:rFonts w:ascii="Arial" w:hAnsi="Arial" w:cs="Arial"/>
          <w:b/>
          <w:sz w:val="24"/>
          <w:szCs w:val="24"/>
        </w:rPr>
      </w:pPr>
      <w:r w:rsidRPr="001E1AEE">
        <w:rPr>
          <w:rFonts w:ascii="Arial" w:hAnsi="Arial" w:cs="Arial"/>
          <w:b/>
          <w:noProof/>
          <w:color w:val="000000" w:themeColor="text1"/>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43pt;margin-top:7.3pt;width:25.5pt;height:547.9pt;z-index:251660288"/>
        </w:pict>
      </w:r>
      <w:r w:rsidR="009735D8" w:rsidRPr="009735D8">
        <w:rPr>
          <w:rFonts w:ascii="Arial" w:hAnsi="Arial" w:cs="Arial"/>
          <w:b/>
          <w:sz w:val="24"/>
          <w:szCs w:val="24"/>
        </w:rPr>
        <w:t xml:space="preserve">    DR.  ARINAITWE RAPAEL</w:t>
      </w:r>
    </w:p>
    <w:p w:rsidR="009735D8" w:rsidRPr="009735D8" w:rsidRDefault="009735D8" w:rsidP="009735D8">
      <w:pPr>
        <w:pStyle w:val="ListParagraph"/>
        <w:numPr>
          <w:ilvl w:val="0"/>
          <w:numId w:val="2"/>
        </w:numPr>
        <w:rPr>
          <w:rFonts w:ascii="Arial" w:hAnsi="Arial" w:cs="Arial"/>
          <w:b/>
          <w:sz w:val="24"/>
          <w:szCs w:val="24"/>
        </w:rPr>
      </w:pPr>
      <w:r w:rsidRPr="009735D8">
        <w:rPr>
          <w:rFonts w:ascii="Arial" w:hAnsi="Arial" w:cs="Arial"/>
          <w:b/>
          <w:sz w:val="24"/>
          <w:szCs w:val="24"/>
        </w:rPr>
        <w:t xml:space="preserve">    BEINEBYABO ADRIAN </w:t>
      </w:r>
    </w:p>
    <w:p w:rsidR="009735D8" w:rsidRPr="009735D8" w:rsidRDefault="009735D8" w:rsidP="009735D8">
      <w:pPr>
        <w:pStyle w:val="ListParagraph"/>
        <w:numPr>
          <w:ilvl w:val="0"/>
          <w:numId w:val="2"/>
        </w:numPr>
        <w:rPr>
          <w:rFonts w:ascii="Arial" w:hAnsi="Arial" w:cs="Arial"/>
          <w:b/>
          <w:sz w:val="24"/>
          <w:szCs w:val="24"/>
        </w:rPr>
      </w:pPr>
      <w:r w:rsidRPr="009735D8">
        <w:rPr>
          <w:rFonts w:ascii="Arial" w:hAnsi="Arial" w:cs="Arial"/>
          <w:b/>
          <w:sz w:val="24"/>
          <w:szCs w:val="24"/>
        </w:rPr>
        <w:t xml:space="preserve">    OCHAN LIVINGSTONE</w:t>
      </w:r>
    </w:p>
    <w:p w:rsidR="009735D8" w:rsidRPr="009735D8" w:rsidRDefault="009735D8" w:rsidP="009735D8">
      <w:pPr>
        <w:pStyle w:val="ListParagraph"/>
        <w:numPr>
          <w:ilvl w:val="0"/>
          <w:numId w:val="2"/>
        </w:numPr>
        <w:rPr>
          <w:rFonts w:ascii="Arial" w:hAnsi="Arial" w:cs="Arial"/>
          <w:b/>
          <w:sz w:val="24"/>
          <w:szCs w:val="24"/>
        </w:rPr>
      </w:pPr>
      <w:r w:rsidRPr="009735D8">
        <w:rPr>
          <w:rFonts w:ascii="Arial" w:hAnsi="Arial" w:cs="Arial"/>
          <w:b/>
          <w:sz w:val="24"/>
          <w:szCs w:val="24"/>
        </w:rPr>
        <w:t xml:space="preserve">    MUGABE JAMES</w:t>
      </w:r>
    </w:p>
    <w:p w:rsidR="009735D8" w:rsidRPr="009735D8" w:rsidRDefault="009735D8" w:rsidP="009735D8">
      <w:pPr>
        <w:pStyle w:val="ListParagraph"/>
        <w:numPr>
          <w:ilvl w:val="0"/>
          <w:numId w:val="2"/>
        </w:numPr>
        <w:rPr>
          <w:rFonts w:ascii="Arial" w:hAnsi="Arial" w:cs="Arial"/>
          <w:b/>
          <w:sz w:val="24"/>
          <w:szCs w:val="24"/>
        </w:rPr>
      </w:pPr>
      <w:r w:rsidRPr="009735D8">
        <w:rPr>
          <w:rFonts w:ascii="Arial" w:hAnsi="Arial" w:cs="Arial"/>
          <w:b/>
          <w:sz w:val="24"/>
          <w:szCs w:val="24"/>
        </w:rPr>
        <w:t xml:space="preserve">    MUCUNGUZI BURUNGO ERIC</w:t>
      </w:r>
    </w:p>
    <w:p w:rsidR="009735D8" w:rsidRPr="009735D8" w:rsidRDefault="009735D8" w:rsidP="009735D8">
      <w:pPr>
        <w:pStyle w:val="ListParagraph"/>
        <w:numPr>
          <w:ilvl w:val="0"/>
          <w:numId w:val="2"/>
        </w:numPr>
        <w:rPr>
          <w:rFonts w:ascii="Arial" w:hAnsi="Arial" w:cs="Arial"/>
          <w:b/>
          <w:sz w:val="24"/>
          <w:szCs w:val="24"/>
        </w:rPr>
      </w:pPr>
      <w:r w:rsidRPr="009735D8">
        <w:rPr>
          <w:rFonts w:ascii="Arial" w:hAnsi="Arial" w:cs="Arial"/>
          <w:b/>
          <w:sz w:val="24"/>
          <w:szCs w:val="24"/>
        </w:rPr>
        <w:t xml:space="preserve">    MASEMBE KAJJUBI DANIEL </w:t>
      </w:r>
    </w:p>
    <w:p w:rsidR="009735D8" w:rsidRPr="009735D8" w:rsidRDefault="009735D8" w:rsidP="009735D8">
      <w:pPr>
        <w:pStyle w:val="ListParagraph"/>
        <w:numPr>
          <w:ilvl w:val="0"/>
          <w:numId w:val="2"/>
        </w:numPr>
        <w:rPr>
          <w:rFonts w:ascii="Arial" w:hAnsi="Arial" w:cs="Arial"/>
          <w:b/>
          <w:sz w:val="24"/>
          <w:szCs w:val="24"/>
        </w:rPr>
      </w:pPr>
      <w:r w:rsidRPr="009735D8">
        <w:rPr>
          <w:rFonts w:ascii="Arial" w:hAnsi="Arial" w:cs="Arial"/>
          <w:b/>
          <w:sz w:val="24"/>
          <w:szCs w:val="24"/>
        </w:rPr>
        <w:t xml:space="preserve">    MUGISHA SAM</w:t>
      </w:r>
    </w:p>
    <w:p w:rsidR="009735D8" w:rsidRPr="009735D8" w:rsidRDefault="009735D8" w:rsidP="009735D8">
      <w:pPr>
        <w:pStyle w:val="ListParagraph"/>
        <w:numPr>
          <w:ilvl w:val="0"/>
          <w:numId w:val="2"/>
        </w:numPr>
        <w:rPr>
          <w:rFonts w:ascii="Arial" w:hAnsi="Arial" w:cs="Arial"/>
          <w:b/>
          <w:sz w:val="24"/>
          <w:szCs w:val="24"/>
        </w:rPr>
      </w:pPr>
      <w:r w:rsidRPr="009735D8">
        <w:rPr>
          <w:rFonts w:ascii="Arial" w:hAnsi="Arial" w:cs="Arial"/>
          <w:b/>
          <w:sz w:val="24"/>
          <w:szCs w:val="24"/>
        </w:rPr>
        <w:t xml:space="preserve">    KABERA MUSIGIRE STEPHEN</w:t>
      </w:r>
    </w:p>
    <w:p w:rsidR="009735D8" w:rsidRPr="009735D8" w:rsidRDefault="009735D8" w:rsidP="009735D8">
      <w:pPr>
        <w:pStyle w:val="ListParagraph"/>
        <w:numPr>
          <w:ilvl w:val="0"/>
          <w:numId w:val="2"/>
        </w:numPr>
        <w:rPr>
          <w:rFonts w:ascii="Arial" w:hAnsi="Arial" w:cs="Arial"/>
          <w:b/>
          <w:sz w:val="24"/>
          <w:szCs w:val="24"/>
        </w:rPr>
      </w:pPr>
      <w:r w:rsidRPr="009735D8">
        <w:rPr>
          <w:rFonts w:ascii="Arial" w:hAnsi="Arial" w:cs="Arial"/>
          <w:b/>
          <w:sz w:val="24"/>
          <w:szCs w:val="24"/>
        </w:rPr>
        <w:t xml:space="preserve">    BWIRE OROTO PETER</w:t>
      </w:r>
    </w:p>
    <w:p w:rsidR="009735D8" w:rsidRPr="009735D8" w:rsidRDefault="009735D8" w:rsidP="009735D8">
      <w:pPr>
        <w:pStyle w:val="ListParagraph"/>
        <w:numPr>
          <w:ilvl w:val="0"/>
          <w:numId w:val="2"/>
        </w:numPr>
        <w:ind w:left="630" w:hanging="630"/>
        <w:rPr>
          <w:rFonts w:ascii="Arial" w:hAnsi="Arial" w:cs="Arial"/>
          <w:b/>
          <w:sz w:val="24"/>
          <w:szCs w:val="24"/>
        </w:rPr>
      </w:pPr>
      <w:r w:rsidRPr="009735D8">
        <w:rPr>
          <w:rFonts w:ascii="Arial" w:hAnsi="Arial" w:cs="Arial"/>
          <w:b/>
          <w:sz w:val="24"/>
          <w:szCs w:val="24"/>
        </w:rPr>
        <w:t xml:space="preserve">NSEREKO MIKE </w:t>
      </w:r>
    </w:p>
    <w:p w:rsidR="009735D8" w:rsidRPr="009735D8" w:rsidRDefault="009735D8" w:rsidP="009735D8">
      <w:pPr>
        <w:pStyle w:val="ListParagraph"/>
        <w:numPr>
          <w:ilvl w:val="0"/>
          <w:numId w:val="2"/>
        </w:numPr>
        <w:ind w:left="630" w:hanging="630"/>
        <w:rPr>
          <w:rFonts w:ascii="Arial" w:hAnsi="Arial" w:cs="Arial"/>
          <w:b/>
          <w:sz w:val="24"/>
          <w:szCs w:val="24"/>
        </w:rPr>
      </w:pPr>
      <w:r w:rsidRPr="009735D8">
        <w:rPr>
          <w:rFonts w:ascii="Arial" w:hAnsi="Arial" w:cs="Arial"/>
          <w:b/>
          <w:sz w:val="24"/>
          <w:szCs w:val="24"/>
        </w:rPr>
        <w:t>RUTAMWEBWA ENID MOLLY</w:t>
      </w:r>
    </w:p>
    <w:p w:rsidR="009735D8" w:rsidRPr="009735D8" w:rsidRDefault="009735D8" w:rsidP="009735D8">
      <w:pPr>
        <w:pStyle w:val="ListParagraph"/>
        <w:numPr>
          <w:ilvl w:val="0"/>
          <w:numId w:val="2"/>
        </w:numPr>
        <w:ind w:left="630" w:hanging="630"/>
        <w:rPr>
          <w:rFonts w:ascii="Arial" w:hAnsi="Arial" w:cs="Arial"/>
          <w:b/>
          <w:sz w:val="24"/>
          <w:szCs w:val="24"/>
        </w:rPr>
      </w:pPr>
      <w:r w:rsidRPr="009735D8">
        <w:rPr>
          <w:rFonts w:ascii="Arial" w:hAnsi="Arial" w:cs="Arial"/>
          <w:b/>
          <w:sz w:val="24"/>
          <w:szCs w:val="24"/>
        </w:rPr>
        <w:t>JUSTINE NAGUJJA</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MARY KAMUTERA</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 xml:space="preserve">MUGEMA MARY   </w:t>
      </w:r>
      <w:r w:rsidRPr="009735D8">
        <w:rPr>
          <w:rFonts w:ascii="Arial" w:hAnsi="Arial" w:cs="Arial"/>
          <w:b/>
          <w:sz w:val="24"/>
          <w:szCs w:val="24"/>
        </w:rPr>
        <w:tab/>
      </w:r>
      <w:r w:rsidRPr="009735D8">
        <w:rPr>
          <w:rFonts w:ascii="Arial" w:hAnsi="Arial" w:cs="Arial"/>
          <w:b/>
          <w:sz w:val="24"/>
          <w:szCs w:val="24"/>
        </w:rPr>
        <w:tab/>
      </w:r>
      <w:r w:rsidRPr="009735D8">
        <w:rPr>
          <w:rFonts w:ascii="Arial" w:hAnsi="Arial" w:cs="Arial"/>
          <w:b/>
          <w:sz w:val="24"/>
          <w:szCs w:val="24"/>
        </w:rPr>
        <w:tab/>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TAAKA MARY FELICITAS</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KATUSHABE FLORENCE</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KATUNGI CHARLES</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KAGGWE SEMION</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LETI ELLY</w:t>
      </w:r>
      <w:r w:rsidRPr="009735D8">
        <w:rPr>
          <w:rFonts w:ascii="Arial" w:hAnsi="Arial" w:cs="Arial"/>
          <w:b/>
          <w:sz w:val="24"/>
          <w:szCs w:val="24"/>
        </w:rPr>
        <w:tab/>
      </w:r>
      <w:r w:rsidRPr="009735D8">
        <w:rPr>
          <w:rFonts w:ascii="Arial" w:hAnsi="Arial" w:cs="Arial"/>
          <w:b/>
          <w:sz w:val="24"/>
          <w:szCs w:val="24"/>
        </w:rPr>
        <w:tab/>
      </w:r>
      <w:r w:rsidRPr="009735D8">
        <w:rPr>
          <w:rFonts w:ascii="Arial" w:hAnsi="Arial" w:cs="Arial"/>
          <w:b/>
          <w:sz w:val="24"/>
          <w:szCs w:val="24"/>
        </w:rPr>
        <w:tab/>
      </w:r>
      <w:r w:rsidRPr="009735D8">
        <w:rPr>
          <w:rFonts w:ascii="Arial" w:hAnsi="Arial" w:cs="Arial"/>
          <w:b/>
          <w:sz w:val="24"/>
          <w:szCs w:val="24"/>
        </w:rPr>
        <w:tab/>
      </w:r>
      <w:r w:rsidRPr="009735D8">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t>::::::</w:t>
      </w:r>
      <w:r w:rsidRPr="009735D8">
        <w:rPr>
          <w:rFonts w:ascii="Arial" w:hAnsi="Arial" w:cs="Arial"/>
          <w:b/>
          <w:sz w:val="24"/>
          <w:szCs w:val="24"/>
        </w:rPr>
        <w:t>:::::::::::: PLAINTIFFS</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KABIBI ELIAS</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OTIM PETER J.</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DRAVILE BEN</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 xml:space="preserve">MUGABE LAWRENCE </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BERIMBIRA FRED</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 xml:space="preserve">MUWANGUZI PETER </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KAMYA FRANCIS</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LUKWAGO ABDALAH</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MUROKOZI EMMANUEL</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ENDEKU NASON</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MORIS OMVIA MONDAY</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MAGUMBA FREDRICK</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JUSTUS PETER OTIM</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KATABAZI WILLIAM</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BUSINGYE ANDREW</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lastRenderedPageBreak/>
        <w:t>MUYINDA MOHAMED</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MAKURU FRANCIS SEEZI</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TURYAMUREEBA STEVEN</w:t>
      </w:r>
    </w:p>
    <w:p w:rsidR="009735D8" w:rsidRPr="009735D8" w:rsidRDefault="009735D8" w:rsidP="009735D8">
      <w:pPr>
        <w:pStyle w:val="ListParagraph"/>
        <w:numPr>
          <w:ilvl w:val="0"/>
          <w:numId w:val="2"/>
        </w:numPr>
        <w:ind w:left="720" w:hanging="720"/>
        <w:rPr>
          <w:rFonts w:ascii="Arial" w:hAnsi="Arial" w:cs="Arial"/>
          <w:b/>
          <w:sz w:val="24"/>
          <w:szCs w:val="24"/>
        </w:rPr>
      </w:pPr>
      <w:r w:rsidRPr="009735D8">
        <w:rPr>
          <w:rFonts w:ascii="Arial" w:hAnsi="Arial" w:cs="Arial"/>
          <w:b/>
          <w:sz w:val="24"/>
          <w:szCs w:val="24"/>
        </w:rPr>
        <w:t>RWATANGABO ELIFAZ</w:t>
      </w:r>
    </w:p>
    <w:p w:rsidR="009735D8" w:rsidRPr="009735D8" w:rsidRDefault="009735D8" w:rsidP="009735D8">
      <w:pPr>
        <w:pStyle w:val="ListParagraph"/>
        <w:jc w:val="center"/>
        <w:rPr>
          <w:rFonts w:ascii="Arial" w:hAnsi="Arial" w:cs="Arial"/>
          <w:i/>
          <w:sz w:val="24"/>
          <w:szCs w:val="24"/>
        </w:rPr>
      </w:pPr>
      <w:r w:rsidRPr="009735D8">
        <w:rPr>
          <w:rFonts w:ascii="Arial" w:hAnsi="Arial" w:cs="Arial"/>
          <w:i/>
          <w:sz w:val="24"/>
          <w:szCs w:val="24"/>
        </w:rPr>
        <w:t>VERSUS</w:t>
      </w:r>
    </w:p>
    <w:p w:rsidR="009735D8" w:rsidRPr="009735D8" w:rsidRDefault="009735D8" w:rsidP="009735D8">
      <w:pPr>
        <w:rPr>
          <w:rFonts w:ascii="Arial" w:hAnsi="Arial" w:cs="Arial"/>
          <w:b/>
          <w:sz w:val="24"/>
          <w:szCs w:val="24"/>
        </w:rPr>
      </w:pPr>
      <w:r w:rsidRPr="009735D8">
        <w:rPr>
          <w:rFonts w:ascii="Arial" w:hAnsi="Arial" w:cs="Arial"/>
          <w:b/>
          <w:sz w:val="24"/>
          <w:szCs w:val="24"/>
        </w:rPr>
        <w:t>THE ATTORNEY GENERAL :::::::::::::::::::::::::::::::::::</w:t>
      </w:r>
      <w:r>
        <w:rPr>
          <w:rFonts w:ascii="Arial" w:hAnsi="Arial" w:cs="Arial"/>
          <w:b/>
          <w:sz w:val="24"/>
          <w:szCs w:val="24"/>
        </w:rPr>
        <w:t>:::::::::::::</w:t>
      </w:r>
      <w:r w:rsidRPr="009735D8">
        <w:rPr>
          <w:rFonts w:ascii="Arial" w:hAnsi="Arial" w:cs="Arial"/>
          <w:b/>
          <w:sz w:val="24"/>
          <w:szCs w:val="24"/>
        </w:rPr>
        <w:t xml:space="preserve"> DEFENDANT</w:t>
      </w:r>
    </w:p>
    <w:p w:rsidR="009735D8" w:rsidRDefault="009735D8" w:rsidP="009735D8">
      <w:pPr>
        <w:jc w:val="center"/>
        <w:rPr>
          <w:rFonts w:ascii="Verdana" w:hAnsi="Verdana"/>
          <w:b/>
          <w:sz w:val="26"/>
          <w:szCs w:val="26"/>
        </w:rPr>
      </w:pPr>
    </w:p>
    <w:p w:rsidR="009735D8" w:rsidRPr="009735D8" w:rsidRDefault="009735D8" w:rsidP="009735D8">
      <w:pPr>
        <w:jc w:val="center"/>
        <w:rPr>
          <w:rFonts w:ascii="Verdana" w:hAnsi="Verdana"/>
          <w:b/>
          <w:sz w:val="26"/>
          <w:szCs w:val="26"/>
          <w:u w:val="single"/>
        </w:rPr>
      </w:pPr>
      <w:r w:rsidRPr="009735D8">
        <w:rPr>
          <w:rFonts w:ascii="Verdana" w:hAnsi="Verdana"/>
          <w:b/>
          <w:sz w:val="26"/>
          <w:szCs w:val="26"/>
        </w:rPr>
        <w:t xml:space="preserve">BEFORE: </w:t>
      </w:r>
      <w:r w:rsidRPr="009735D8">
        <w:rPr>
          <w:rFonts w:ascii="Verdana" w:hAnsi="Verdana"/>
          <w:b/>
          <w:sz w:val="26"/>
          <w:szCs w:val="26"/>
          <w:u w:val="single"/>
        </w:rPr>
        <w:t>HON. MR. JUSTICE STEPHEN MUSOTA</w:t>
      </w:r>
    </w:p>
    <w:p w:rsidR="009735D8" w:rsidRDefault="009735D8" w:rsidP="009735D8">
      <w:pPr>
        <w:rPr>
          <w:rFonts w:ascii="Verdana" w:hAnsi="Verdana"/>
          <w:b/>
          <w:sz w:val="26"/>
          <w:szCs w:val="26"/>
          <w:u w:val="single"/>
        </w:rPr>
      </w:pPr>
    </w:p>
    <w:p w:rsidR="009735D8" w:rsidRPr="009735D8" w:rsidRDefault="009735D8" w:rsidP="009735D8">
      <w:pPr>
        <w:rPr>
          <w:rFonts w:ascii="Verdana" w:hAnsi="Verdana"/>
          <w:sz w:val="26"/>
          <w:szCs w:val="26"/>
        </w:rPr>
      </w:pPr>
      <w:r w:rsidRPr="009735D8">
        <w:rPr>
          <w:rFonts w:ascii="Verdana" w:hAnsi="Verdana"/>
          <w:b/>
          <w:sz w:val="26"/>
          <w:szCs w:val="26"/>
          <w:u w:val="single"/>
        </w:rPr>
        <w:t>RULING</w:t>
      </w:r>
    </w:p>
    <w:p w:rsidR="009735D8" w:rsidRPr="009735D8" w:rsidRDefault="008E5F4E" w:rsidP="009735D8">
      <w:pPr>
        <w:spacing w:line="360" w:lineRule="auto"/>
        <w:jc w:val="both"/>
        <w:rPr>
          <w:rFonts w:ascii="Verdana" w:hAnsi="Verdana"/>
          <w:sz w:val="26"/>
          <w:szCs w:val="26"/>
        </w:rPr>
      </w:pPr>
      <w:r>
        <w:rPr>
          <w:rFonts w:ascii="Verdana" w:hAnsi="Verdana"/>
          <w:sz w:val="26"/>
          <w:szCs w:val="26"/>
        </w:rPr>
        <w:t>Thirty eight</w:t>
      </w:r>
      <w:r w:rsidR="009735D8" w:rsidRPr="009735D8">
        <w:rPr>
          <w:rFonts w:ascii="Verdana" w:hAnsi="Verdana"/>
          <w:sz w:val="26"/>
          <w:szCs w:val="26"/>
        </w:rPr>
        <w:t xml:space="preserve"> plaintiffs represented by Kampala Associates Advocates filed this suit against the Attorney General for special damages amounting to 686,972,828.8/= being emoluments due and owing to the plaintiffs and arising out of a breach of the plaintiffs’ contracts of employment with the Inspector General of Government.</w:t>
      </w:r>
    </w:p>
    <w:p w:rsidR="009735D8" w:rsidRPr="009735D8" w:rsidRDefault="009735D8" w:rsidP="009735D8">
      <w:pPr>
        <w:spacing w:line="360" w:lineRule="auto"/>
        <w:jc w:val="both"/>
        <w:rPr>
          <w:rFonts w:ascii="Verdana" w:hAnsi="Verdana"/>
          <w:sz w:val="26"/>
          <w:szCs w:val="26"/>
        </w:rPr>
      </w:pPr>
    </w:p>
    <w:p w:rsidR="009735D8" w:rsidRPr="009735D8" w:rsidRDefault="009735D8" w:rsidP="009735D8">
      <w:pPr>
        <w:spacing w:line="360" w:lineRule="auto"/>
        <w:jc w:val="both"/>
        <w:rPr>
          <w:rFonts w:ascii="Verdana" w:hAnsi="Verdana"/>
          <w:sz w:val="26"/>
          <w:szCs w:val="26"/>
        </w:rPr>
      </w:pPr>
      <w:r w:rsidRPr="009735D8">
        <w:rPr>
          <w:rFonts w:ascii="Verdana" w:hAnsi="Verdana"/>
          <w:sz w:val="26"/>
          <w:szCs w:val="26"/>
        </w:rPr>
        <w:t>The plaintiffs also claimed for general damages for breach of contract and defamation as well as compensation for loss of their employment for which the defendant is vicariously liable to the tune of shs.3bn/= and interest on the claims at the rate of 25%.  The plaintiffs also claimed for remittance of all the plaintiffs’ outstanding National Social Security Fund contributions to the said fund and costs of the suit.</w:t>
      </w:r>
    </w:p>
    <w:p w:rsidR="009735D8" w:rsidRPr="009735D8" w:rsidRDefault="009735D8" w:rsidP="009735D8">
      <w:pPr>
        <w:spacing w:line="360" w:lineRule="auto"/>
        <w:jc w:val="both"/>
        <w:rPr>
          <w:rFonts w:ascii="Verdana" w:hAnsi="Verdana"/>
          <w:sz w:val="26"/>
          <w:szCs w:val="26"/>
        </w:rPr>
      </w:pPr>
    </w:p>
    <w:p w:rsidR="009735D8" w:rsidRPr="009735D8" w:rsidRDefault="009735D8" w:rsidP="009735D8">
      <w:pPr>
        <w:spacing w:line="360" w:lineRule="auto"/>
        <w:jc w:val="both"/>
        <w:rPr>
          <w:rFonts w:ascii="Verdana" w:hAnsi="Verdana"/>
          <w:sz w:val="26"/>
          <w:szCs w:val="26"/>
        </w:rPr>
      </w:pPr>
      <w:r w:rsidRPr="009735D8">
        <w:rPr>
          <w:rFonts w:ascii="Verdana" w:hAnsi="Verdana"/>
          <w:sz w:val="26"/>
          <w:szCs w:val="26"/>
        </w:rPr>
        <w:t>The defendant denied liability and aver</w:t>
      </w:r>
      <w:r w:rsidR="008E5F4E">
        <w:rPr>
          <w:rFonts w:ascii="Verdana" w:hAnsi="Verdana"/>
          <w:sz w:val="26"/>
          <w:szCs w:val="26"/>
        </w:rPr>
        <w:t>s</w:t>
      </w:r>
      <w:r w:rsidRPr="009735D8">
        <w:rPr>
          <w:rFonts w:ascii="Verdana" w:hAnsi="Verdana"/>
          <w:sz w:val="26"/>
          <w:szCs w:val="26"/>
        </w:rPr>
        <w:t xml:space="preserve"> that the plaintiffs are not entitled to either special or general damages as there was no </w:t>
      </w:r>
      <w:r w:rsidR="008E5F4E" w:rsidRPr="009735D8">
        <w:rPr>
          <w:rFonts w:ascii="Verdana" w:hAnsi="Verdana"/>
          <w:sz w:val="26"/>
          <w:szCs w:val="26"/>
        </w:rPr>
        <w:t>subs</w:t>
      </w:r>
      <w:r w:rsidR="008E5F4E">
        <w:rPr>
          <w:rFonts w:ascii="Verdana" w:hAnsi="Verdana"/>
          <w:sz w:val="26"/>
          <w:szCs w:val="26"/>
        </w:rPr>
        <w:t>is</w:t>
      </w:r>
      <w:r w:rsidR="008E5F4E" w:rsidRPr="009735D8">
        <w:rPr>
          <w:rFonts w:ascii="Verdana" w:hAnsi="Verdana"/>
          <w:sz w:val="26"/>
          <w:szCs w:val="26"/>
        </w:rPr>
        <w:t>t</w:t>
      </w:r>
      <w:r w:rsidR="008E5F4E">
        <w:rPr>
          <w:rFonts w:ascii="Verdana" w:hAnsi="Verdana"/>
          <w:sz w:val="26"/>
          <w:szCs w:val="26"/>
        </w:rPr>
        <w:t>i</w:t>
      </w:r>
      <w:r w:rsidR="008E5F4E" w:rsidRPr="009735D8">
        <w:rPr>
          <w:rFonts w:ascii="Verdana" w:hAnsi="Verdana"/>
          <w:sz w:val="26"/>
          <w:szCs w:val="26"/>
        </w:rPr>
        <w:t>ng</w:t>
      </w:r>
      <w:r w:rsidRPr="009735D8">
        <w:rPr>
          <w:rFonts w:ascii="Verdana" w:hAnsi="Verdana"/>
          <w:sz w:val="26"/>
          <w:szCs w:val="26"/>
        </w:rPr>
        <w:t xml:space="preserve"> or existing contracts amongst the parties that were </w:t>
      </w:r>
      <w:r w:rsidRPr="009735D8">
        <w:rPr>
          <w:rFonts w:ascii="Verdana" w:hAnsi="Verdana"/>
          <w:sz w:val="26"/>
          <w:szCs w:val="26"/>
        </w:rPr>
        <w:lastRenderedPageBreak/>
        <w:t>breached by the Inspectorate of Government to call for vicarious liability from the defendant.  The defendant prayed that the suit be dismissed with costs.</w:t>
      </w:r>
    </w:p>
    <w:p w:rsidR="009735D8" w:rsidRPr="009735D8" w:rsidRDefault="009735D8" w:rsidP="009735D8">
      <w:pPr>
        <w:spacing w:line="360" w:lineRule="auto"/>
        <w:jc w:val="both"/>
        <w:rPr>
          <w:rFonts w:ascii="Verdana" w:hAnsi="Verdana"/>
          <w:sz w:val="26"/>
          <w:szCs w:val="26"/>
        </w:rPr>
      </w:pPr>
    </w:p>
    <w:p w:rsidR="009735D8" w:rsidRPr="009735D8" w:rsidRDefault="009735D8" w:rsidP="009735D8">
      <w:pPr>
        <w:spacing w:line="360" w:lineRule="auto"/>
        <w:jc w:val="both"/>
        <w:rPr>
          <w:rFonts w:ascii="Verdana" w:hAnsi="Verdana"/>
          <w:sz w:val="26"/>
          <w:szCs w:val="26"/>
        </w:rPr>
      </w:pPr>
      <w:r w:rsidRPr="009735D8">
        <w:rPr>
          <w:rFonts w:ascii="Verdana" w:hAnsi="Verdana"/>
          <w:sz w:val="26"/>
          <w:szCs w:val="26"/>
        </w:rPr>
        <w:t xml:space="preserve">At the commencement of the hearing of this suit, Mr. Adrole (PSA) for the defendant raised a preliminary point of law that the plaint in this case be rejected under order 7 rule 11 (d) of the Civil Procedure Rules and the suit be dismissed with costs.  Learned counsel premised his objection on paragraph 6 of the plaint where it is revealed that the cause of action is a result of a contract of employment </w:t>
      </w:r>
      <w:r w:rsidR="00962EF4">
        <w:rPr>
          <w:rFonts w:ascii="Verdana" w:hAnsi="Verdana"/>
          <w:sz w:val="26"/>
          <w:szCs w:val="26"/>
        </w:rPr>
        <w:t xml:space="preserve">with </w:t>
      </w:r>
      <w:r w:rsidRPr="009735D8">
        <w:rPr>
          <w:rFonts w:ascii="Verdana" w:hAnsi="Verdana"/>
          <w:sz w:val="26"/>
          <w:szCs w:val="26"/>
        </w:rPr>
        <w:t>the Inspector General of Government.  That section 3 (2) of the Civil Procedure and Limitation (Misc. Provisions) Act states that no action founded on contract shall be brought against government or local government after 3 years from the date the cause of action arose.  Learned counsel revealed that this cause was first filed in 2007 as Civil Suit No. 349/2007.  That in that suit, the parties were the same plaintiffs against the Inspector General of Government.  They filed MA 221/2011 which was heard and disposed of by Mwangusya J then.  The said application was for orders that the name of Inspector General of Government be struck off as defendant and be replaced by the Attorney General.</w:t>
      </w:r>
    </w:p>
    <w:p w:rsidR="009735D8" w:rsidRPr="009735D8" w:rsidRDefault="009735D8" w:rsidP="009735D8">
      <w:pPr>
        <w:spacing w:line="360" w:lineRule="auto"/>
        <w:jc w:val="both"/>
        <w:rPr>
          <w:rFonts w:ascii="Verdana" w:hAnsi="Verdana"/>
          <w:sz w:val="26"/>
          <w:szCs w:val="26"/>
        </w:rPr>
      </w:pPr>
    </w:p>
    <w:p w:rsidR="009735D8" w:rsidRPr="009735D8" w:rsidRDefault="009735D8" w:rsidP="009735D8">
      <w:pPr>
        <w:spacing w:line="360" w:lineRule="auto"/>
        <w:jc w:val="both"/>
        <w:rPr>
          <w:rFonts w:ascii="Verdana" w:hAnsi="Verdana"/>
          <w:sz w:val="26"/>
          <w:szCs w:val="26"/>
        </w:rPr>
      </w:pPr>
      <w:r w:rsidRPr="009735D8">
        <w:rPr>
          <w:rFonts w:ascii="Verdana" w:hAnsi="Verdana"/>
          <w:sz w:val="26"/>
          <w:szCs w:val="26"/>
        </w:rPr>
        <w:t xml:space="preserve">Mr. Adrole further explained that in the Judge’s ruling at P.3, it was held that the only option available was to withdraw against the Inspector General of Government and file another suit if the action </w:t>
      </w:r>
      <w:r w:rsidRPr="009735D8">
        <w:rPr>
          <w:rFonts w:ascii="Verdana" w:hAnsi="Verdana"/>
          <w:sz w:val="26"/>
          <w:szCs w:val="26"/>
        </w:rPr>
        <w:lastRenderedPageBreak/>
        <w:t xml:space="preserve">would not be time barred.  That this was done and the current Civil Suit No.201/2012 was filed. That according to paragraph 7 (g) of the plaint, it is stated that the plaintiffs’ termination was on 28/3/2006.  That is when the cause of action arose.  That this renders the present suit time barred.  Learned counsel referred to </w:t>
      </w:r>
      <w:r w:rsidRPr="00962EF4">
        <w:rPr>
          <w:rFonts w:ascii="Verdana" w:hAnsi="Verdana"/>
          <w:b/>
          <w:sz w:val="26"/>
          <w:szCs w:val="26"/>
          <w:u w:val="single"/>
        </w:rPr>
        <w:t xml:space="preserve">MA </w:t>
      </w:r>
      <w:r w:rsidR="00962EF4" w:rsidRPr="00962EF4">
        <w:rPr>
          <w:rFonts w:ascii="Verdana" w:hAnsi="Verdana"/>
          <w:b/>
          <w:sz w:val="26"/>
          <w:szCs w:val="26"/>
          <w:u w:val="single"/>
        </w:rPr>
        <w:t>42</w:t>
      </w:r>
      <w:r w:rsidRPr="00962EF4">
        <w:rPr>
          <w:rFonts w:ascii="Verdana" w:hAnsi="Verdana"/>
          <w:b/>
          <w:sz w:val="26"/>
          <w:szCs w:val="26"/>
          <w:u w:val="single"/>
        </w:rPr>
        <w:t>/</w:t>
      </w:r>
      <w:r w:rsidR="00962EF4" w:rsidRPr="00962EF4">
        <w:rPr>
          <w:rFonts w:ascii="Verdana" w:hAnsi="Verdana"/>
          <w:b/>
          <w:sz w:val="26"/>
          <w:szCs w:val="26"/>
          <w:u w:val="single"/>
        </w:rPr>
        <w:t>2008</w:t>
      </w:r>
      <w:r w:rsidRPr="00962EF4">
        <w:rPr>
          <w:rFonts w:ascii="Verdana" w:hAnsi="Verdana"/>
          <w:b/>
          <w:sz w:val="26"/>
          <w:szCs w:val="26"/>
          <w:u w:val="single"/>
        </w:rPr>
        <w:t xml:space="preserve"> (CA)</w:t>
      </w:r>
      <w:r w:rsidR="00962EF4" w:rsidRPr="00962EF4">
        <w:rPr>
          <w:rFonts w:ascii="Verdana" w:hAnsi="Verdana"/>
          <w:b/>
          <w:sz w:val="26"/>
          <w:szCs w:val="26"/>
          <w:u w:val="single"/>
        </w:rPr>
        <w:t xml:space="preserve"> Muhamed B. Kasasa Vs Jasphar Buyonga Sirasi Bwogi</w:t>
      </w:r>
      <w:r w:rsidRPr="009735D8">
        <w:rPr>
          <w:rFonts w:ascii="Verdana" w:hAnsi="Verdana"/>
          <w:sz w:val="26"/>
          <w:szCs w:val="26"/>
        </w:rPr>
        <w:t xml:space="preserve"> wherein the Court of Appeal held </w:t>
      </w:r>
      <w:r w:rsidRPr="008E5F4E">
        <w:rPr>
          <w:rFonts w:ascii="Verdana" w:hAnsi="Verdana"/>
          <w:i/>
          <w:sz w:val="26"/>
          <w:szCs w:val="26"/>
          <w:u w:val="single"/>
        </w:rPr>
        <w:t>inter alia</w:t>
      </w:r>
      <w:r w:rsidRPr="009735D8">
        <w:rPr>
          <w:rFonts w:ascii="Verdana" w:hAnsi="Verdana"/>
          <w:sz w:val="26"/>
          <w:szCs w:val="26"/>
          <w:u w:val="single"/>
        </w:rPr>
        <w:t xml:space="preserve"> </w:t>
      </w:r>
      <w:r w:rsidRPr="009735D8">
        <w:rPr>
          <w:rFonts w:ascii="Verdana" w:hAnsi="Verdana"/>
          <w:sz w:val="26"/>
          <w:szCs w:val="26"/>
        </w:rPr>
        <w:t>that statutes of limitation are in their nature strict and inflexible enactment not concerned with merits.</w:t>
      </w:r>
    </w:p>
    <w:p w:rsidR="009735D8" w:rsidRPr="009735D8" w:rsidRDefault="009735D8" w:rsidP="009735D8">
      <w:pPr>
        <w:spacing w:line="360" w:lineRule="auto"/>
        <w:jc w:val="both"/>
        <w:rPr>
          <w:rFonts w:ascii="Verdana" w:hAnsi="Verdana"/>
          <w:sz w:val="26"/>
          <w:szCs w:val="26"/>
        </w:rPr>
      </w:pPr>
    </w:p>
    <w:p w:rsidR="009735D8" w:rsidRPr="009735D8" w:rsidRDefault="009735D8" w:rsidP="009735D8">
      <w:pPr>
        <w:spacing w:line="360" w:lineRule="auto"/>
        <w:jc w:val="both"/>
        <w:rPr>
          <w:rFonts w:ascii="Verdana" w:hAnsi="Verdana"/>
          <w:sz w:val="26"/>
          <w:szCs w:val="26"/>
        </w:rPr>
      </w:pPr>
      <w:r w:rsidRPr="009735D8">
        <w:rPr>
          <w:rFonts w:ascii="Verdana" w:hAnsi="Verdana"/>
          <w:sz w:val="26"/>
          <w:szCs w:val="26"/>
        </w:rPr>
        <w:t>Learned counsel urged this court to strictly interpret section 3 (2) of the Civil Procedure and Limitation (Misc. Provisions) Act and find that this suit is time barred, since the plaintiffs have not pleaded disability.  That the suit be dismissed with costs.</w:t>
      </w:r>
    </w:p>
    <w:p w:rsidR="009735D8" w:rsidRPr="009735D8" w:rsidRDefault="009735D8" w:rsidP="009735D8">
      <w:pPr>
        <w:spacing w:line="360" w:lineRule="auto"/>
        <w:jc w:val="both"/>
        <w:rPr>
          <w:rFonts w:ascii="Verdana" w:hAnsi="Verdana"/>
          <w:sz w:val="26"/>
          <w:szCs w:val="26"/>
        </w:rPr>
      </w:pPr>
    </w:p>
    <w:p w:rsidR="009735D8" w:rsidRPr="009735D8" w:rsidRDefault="009735D8" w:rsidP="009735D8">
      <w:pPr>
        <w:spacing w:line="360" w:lineRule="auto"/>
        <w:jc w:val="both"/>
        <w:rPr>
          <w:rFonts w:ascii="Verdana" w:hAnsi="Verdana"/>
          <w:sz w:val="26"/>
          <w:szCs w:val="26"/>
        </w:rPr>
      </w:pPr>
      <w:r w:rsidRPr="009735D8">
        <w:rPr>
          <w:rFonts w:ascii="Verdana" w:hAnsi="Verdana"/>
          <w:sz w:val="26"/>
          <w:szCs w:val="26"/>
        </w:rPr>
        <w:t>In reply Mr. Jet Tumwebaze learned counsel for the plaintiffs submitted that the objection by the defendant be overruled with costs because the cause of action was on 28/3/2006 after the plaintiffs’ contracts of employment with the Inspector General of Government were terminated.  That the plaintiffs filed CS No. 349/2007 the following year 2007 against the Inspector General of Government who was the employer.  That by that time there was a debate whether the Inspector General of Government can be sued or not and many suits were pending.  That position was harmonized in 201</w:t>
      </w:r>
      <w:r w:rsidR="003F1804">
        <w:rPr>
          <w:rFonts w:ascii="Verdana" w:hAnsi="Verdana"/>
          <w:sz w:val="26"/>
          <w:szCs w:val="26"/>
        </w:rPr>
        <w:t>0</w:t>
      </w:r>
      <w:r w:rsidRPr="009735D8">
        <w:rPr>
          <w:rFonts w:ascii="Verdana" w:hAnsi="Verdana"/>
          <w:sz w:val="26"/>
          <w:szCs w:val="26"/>
        </w:rPr>
        <w:t xml:space="preserve"> by the case of </w:t>
      </w:r>
      <w:r w:rsidRPr="008E5F4E">
        <w:rPr>
          <w:rFonts w:ascii="Verdana" w:hAnsi="Verdana"/>
          <w:b/>
          <w:sz w:val="26"/>
          <w:szCs w:val="26"/>
          <w:u w:val="single"/>
        </w:rPr>
        <w:t>Gordon Sentiba &amp; 2 ors Vs IGG SCCA 06/2008</w:t>
      </w:r>
      <w:r w:rsidRPr="009735D8">
        <w:rPr>
          <w:rFonts w:ascii="Verdana" w:hAnsi="Verdana"/>
          <w:b/>
          <w:i/>
          <w:sz w:val="26"/>
          <w:szCs w:val="26"/>
        </w:rPr>
        <w:t xml:space="preserve"> </w:t>
      </w:r>
      <w:r w:rsidRPr="009735D8">
        <w:rPr>
          <w:rFonts w:ascii="Verdana" w:hAnsi="Verdana"/>
          <w:sz w:val="26"/>
          <w:szCs w:val="26"/>
        </w:rPr>
        <w:t xml:space="preserve">which held that the </w:t>
      </w:r>
      <w:r w:rsidRPr="009735D8">
        <w:rPr>
          <w:rFonts w:ascii="Verdana" w:hAnsi="Verdana"/>
          <w:sz w:val="26"/>
          <w:szCs w:val="26"/>
        </w:rPr>
        <w:lastRenderedPageBreak/>
        <w:t>Inspector General of Government cannot be sued.  That only the Attorney General can be sued under Article 119.</w:t>
      </w:r>
    </w:p>
    <w:p w:rsidR="008E5F4E" w:rsidRDefault="008E5F4E" w:rsidP="009735D8">
      <w:pPr>
        <w:spacing w:line="360" w:lineRule="auto"/>
        <w:jc w:val="both"/>
        <w:rPr>
          <w:rFonts w:ascii="Verdana" w:hAnsi="Verdana"/>
          <w:sz w:val="26"/>
          <w:szCs w:val="26"/>
        </w:rPr>
      </w:pPr>
    </w:p>
    <w:p w:rsidR="009735D8" w:rsidRPr="009735D8" w:rsidRDefault="009735D8" w:rsidP="009735D8">
      <w:pPr>
        <w:spacing w:line="360" w:lineRule="auto"/>
        <w:jc w:val="both"/>
        <w:rPr>
          <w:rFonts w:ascii="Verdana" w:hAnsi="Verdana"/>
          <w:sz w:val="26"/>
          <w:szCs w:val="26"/>
        </w:rPr>
      </w:pPr>
      <w:r w:rsidRPr="009735D8">
        <w:rPr>
          <w:rFonts w:ascii="Verdana" w:hAnsi="Verdana"/>
          <w:sz w:val="26"/>
          <w:szCs w:val="26"/>
        </w:rPr>
        <w:t xml:space="preserve">Mr. Tumwebaze further submitted that all along the suit by the plaintiffs was pending.  That when the Supreme Court decided on the </w:t>
      </w:r>
      <w:r w:rsidRPr="008E5F4E">
        <w:rPr>
          <w:rFonts w:ascii="Verdana" w:hAnsi="Verdana"/>
          <w:i/>
          <w:sz w:val="26"/>
          <w:szCs w:val="26"/>
          <w:u w:val="single"/>
        </w:rPr>
        <w:t>locus standi</w:t>
      </w:r>
      <w:r w:rsidRPr="009735D8">
        <w:rPr>
          <w:rFonts w:ascii="Verdana" w:hAnsi="Verdana"/>
          <w:sz w:val="26"/>
          <w:szCs w:val="26"/>
        </w:rPr>
        <w:t xml:space="preserve"> of the Inspector General of Government, there was an attempt to substitute the Inspector General of Government with the Attorney General but the High Court refused the prayer prompting the plaintiff to withdraw the suit in 2012.  That when the plaintiffs filed the present suit, they pleaded disability.  That this objection be overruled and the suit be heard on merit and the injustice meted out to the plaintiffs be remedied.</w:t>
      </w:r>
    </w:p>
    <w:p w:rsidR="009735D8" w:rsidRPr="009735D8" w:rsidRDefault="009735D8" w:rsidP="009735D8">
      <w:pPr>
        <w:spacing w:line="360" w:lineRule="auto"/>
        <w:jc w:val="both"/>
        <w:rPr>
          <w:rFonts w:ascii="Verdana" w:hAnsi="Verdana"/>
          <w:sz w:val="26"/>
          <w:szCs w:val="26"/>
        </w:rPr>
      </w:pPr>
    </w:p>
    <w:p w:rsidR="009735D8" w:rsidRPr="009735D8" w:rsidRDefault="009735D8" w:rsidP="009735D8">
      <w:pPr>
        <w:spacing w:line="360" w:lineRule="auto"/>
        <w:jc w:val="both"/>
        <w:rPr>
          <w:rFonts w:ascii="Verdana" w:hAnsi="Verdana"/>
          <w:b/>
          <w:sz w:val="26"/>
          <w:szCs w:val="26"/>
        </w:rPr>
      </w:pPr>
      <w:r w:rsidRPr="009735D8">
        <w:rPr>
          <w:rFonts w:ascii="Verdana" w:hAnsi="Verdana"/>
          <w:sz w:val="26"/>
          <w:szCs w:val="26"/>
        </w:rPr>
        <w:t>In rejoinder, Mr. Adrole submitted that the Attorney General was served with Notice of Intended Suit and in that notice, the suit was clearly against the Attorney General.  Therefore the reasons for filing against the Inspector General of Government are not satisfactory.  That Article 250 of the Constitution is very clear and by 2006 one could not s</w:t>
      </w:r>
      <w:r w:rsidR="00AA2EAF">
        <w:rPr>
          <w:rFonts w:ascii="Verdana" w:hAnsi="Verdana"/>
          <w:sz w:val="26"/>
          <w:szCs w:val="26"/>
        </w:rPr>
        <w:t>u</w:t>
      </w:r>
      <w:r w:rsidRPr="009735D8">
        <w:rPr>
          <w:rFonts w:ascii="Verdana" w:hAnsi="Verdana"/>
          <w:sz w:val="26"/>
          <w:szCs w:val="26"/>
        </w:rPr>
        <w:t>e the Inspector General of Government.  That the lawyers knew this and the argument that they did not know who to sue is a lame excuse which should not be accepted and ignorance of the law is no defence.  Regarding the plea of disability, learned counsel submitted that it is a cover up because the position of the law was known to the plaintiffs.  That this plea be rejected for not being genuine.  That the suit be dismissed with costs.</w:t>
      </w:r>
    </w:p>
    <w:p w:rsidR="009735D8" w:rsidRPr="009735D8" w:rsidRDefault="009735D8" w:rsidP="00765392">
      <w:pPr>
        <w:tabs>
          <w:tab w:val="left" w:pos="900"/>
        </w:tabs>
        <w:spacing w:line="360" w:lineRule="auto"/>
        <w:jc w:val="both"/>
        <w:rPr>
          <w:rFonts w:ascii="Verdana" w:hAnsi="Verdana"/>
          <w:sz w:val="26"/>
          <w:szCs w:val="26"/>
        </w:rPr>
      </w:pPr>
    </w:p>
    <w:p w:rsidR="00AB6790" w:rsidRPr="009735D8" w:rsidRDefault="00765392" w:rsidP="00765392">
      <w:pPr>
        <w:tabs>
          <w:tab w:val="left" w:pos="900"/>
        </w:tabs>
        <w:spacing w:line="360" w:lineRule="auto"/>
        <w:jc w:val="both"/>
        <w:rPr>
          <w:rFonts w:ascii="Verdana" w:hAnsi="Verdana"/>
          <w:sz w:val="26"/>
          <w:szCs w:val="26"/>
        </w:rPr>
      </w:pPr>
      <w:r w:rsidRPr="009735D8">
        <w:rPr>
          <w:rFonts w:ascii="Verdana" w:hAnsi="Verdana"/>
          <w:sz w:val="26"/>
          <w:szCs w:val="26"/>
        </w:rPr>
        <w:t>I have considered the su</w:t>
      </w:r>
      <w:r w:rsidR="00AB6790" w:rsidRPr="009735D8">
        <w:rPr>
          <w:rFonts w:ascii="Verdana" w:hAnsi="Verdana"/>
          <w:sz w:val="26"/>
          <w:szCs w:val="26"/>
        </w:rPr>
        <w:t>bmissions by respective counsel</w:t>
      </w:r>
      <w:r w:rsidRPr="009735D8">
        <w:rPr>
          <w:rFonts w:ascii="Verdana" w:hAnsi="Verdana"/>
          <w:sz w:val="26"/>
          <w:szCs w:val="26"/>
        </w:rPr>
        <w:t xml:space="preserve"> regarding the objection by Mr. Adrole learned counsel for the defendant. I have also considered the law applicable and the authorities cited for my assistance. </w:t>
      </w:r>
    </w:p>
    <w:p w:rsidR="00AB6790" w:rsidRPr="009735D8" w:rsidRDefault="00AB6790" w:rsidP="00765392">
      <w:pPr>
        <w:tabs>
          <w:tab w:val="left" w:pos="900"/>
        </w:tabs>
        <w:spacing w:line="360" w:lineRule="auto"/>
        <w:jc w:val="both"/>
        <w:rPr>
          <w:rFonts w:ascii="Verdana" w:hAnsi="Verdana"/>
          <w:sz w:val="26"/>
          <w:szCs w:val="26"/>
        </w:rPr>
      </w:pPr>
    </w:p>
    <w:p w:rsidR="00765392" w:rsidRPr="009735D8" w:rsidRDefault="00765392" w:rsidP="00765392">
      <w:pPr>
        <w:tabs>
          <w:tab w:val="left" w:pos="900"/>
        </w:tabs>
        <w:spacing w:line="360" w:lineRule="auto"/>
        <w:jc w:val="both"/>
        <w:rPr>
          <w:rFonts w:ascii="Verdana" w:hAnsi="Verdana"/>
          <w:sz w:val="26"/>
          <w:szCs w:val="26"/>
        </w:rPr>
      </w:pPr>
      <w:r w:rsidRPr="009735D8">
        <w:rPr>
          <w:rFonts w:ascii="Verdana" w:hAnsi="Verdana"/>
          <w:sz w:val="26"/>
          <w:szCs w:val="26"/>
        </w:rPr>
        <w:t>It is undisputed that the plaintiffs’ cause of action arose on 23</w:t>
      </w:r>
      <w:r w:rsidRPr="009735D8">
        <w:rPr>
          <w:rFonts w:ascii="Verdana" w:hAnsi="Verdana"/>
          <w:sz w:val="26"/>
          <w:szCs w:val="26"/>
          <w:vertAlign w:val="superscript"/>
        </w:rPr>
        <w:t>rd</w:t>
      </w:r>
      <w:r w:rsidRPr="009735D8">
        <w:rPr>
          <w:rFonts w:ascii="Verdana" w:hAnsi="Verdana"/>
          <w:sz w:val="26"/>
          <w:szCs w:val="26"/>
        </w:rPr>
        <w:t xml:space="preserve"> March 2006 when their respective contracts with the IGG were terminated. The plaintiffs filed civil suit 349 of 2007 the following year after serving the </w:t>
      </w:r>
      <w:r w:rsidR="00AB6790" w:rsidRPr="009735D8">
        <w:rPr>
          <w:rFonts w:ascii="Verdana" w:hAnsi="Verdana"/>
          <w:sz w:val="26"/>
          <w:szCs w:val="26"/>
        </w:rPr>
        <w:t xml:space="preserve">Attorney General </w:t>
      </w:r>
      <w:r w:rsidRPr="009735D8">
        <w:rPr>
          <w:rFonts w:ascii="Verdana" w:hAnsi="Verdana"/>
          <w:sz w:val="26"/>
          <w:szCs w:val="26"/>
        </w:rPr>
        <w:t>the requisite statutory notice.</w:t>
      </w:r>
      <w:r w:rsidR="00AB6790" w:rsidRPr="009735D8">
        <w:rPr>
          <w:rFonts w:ascii="Verdana" w:hAnsi="Verdana"/>
          <w:sz w:val="26"/>
          <w:szCs w:val="26"/>
        </w:rPr>
        <w:t xml:space="preserve"> </w:t>
      </w:r>
      <w:r w:rsidRPr="009735D8">
        <w:rPr>
          <w:rFonts w:ascii="Verdana" w:hAnsi="Verdana"/>
          <w:sz w:val="26"/>
          <w:szCs w:val="26"/>
        </w:rPr>
        <w:t xml:space="preserve">The plaintiffs’ cause of action is therefore hinged on breach of contract of service. At the time there was uncertainty whether the IGG could be sued in its own right and this uncertainty was resolved by the Supreme Court in case of </w:t>
      </w:r>
      <w:r w:rsidRPr="009735D8">
        <w:rPr>
          <w:rFonts w:ascii="Verdana" w:hAnsi="Verdana"/>
          <w:b/>
          <w:sz w:val="26"/>
          <w:szCs w:val="26"/>
          <w:u w:val="single"/>
        </w:rPr>
        <w:t xml:space="preserve">Gordon Sentiba </w:t>
      </w:r>
      <w:r w:rsidR="00AB6790" w:rsidRPr="009735D8">
        <w:rPr>
          <w:rFonts w:ascii="Verdana" w:hAnsi="Verdana"/>
          <w:b/>
          <w:sz w:val="26"/>
          <w:szCs w:val="26"/>
          <w:u w:val="single"/>
        </w:rPr>
        <w:t>V</w:t>
      </w:r>
      <w:r w:rsidRPr="009735D8">
        <w:rPr>
          <w:rFonts w:ascii="Verdana" w:hAnsi="Verdana"/>
          <w:b/>
          <w:sz w:val="26"/>
          <w:szCs w:val="26"/>
          <w:u w:val="single"/>
        </w:rPr>
        <w:t>s IGG SCCA 06 of 2008</w:t>
      </w:r>
      <w:r w:rsidRPr="009735D8">
        <w:rPr>
          <w:rFonts w:ascii="Verdana" w:hAnsi="Verdana"/>
          <w:b/>
          <w:i/>
          <w:sz w:val="26"/>
          <w:szCs w:val="26"/>
          <w:u w:val="single"/>
        </w:rPr>
        <w:t>.</w:t>
      </w:r>
      <w:r w:rsidR="00AB6790" w:rsidRPr="009735D8">
        <w:rPr>
          <w:rFonts w:ascii="Verdana" w:hAnsi="Verdana"/>
          <w:b/>
          <w:i/>
          <w:sz w:val="26"/>
          <w:szCs w:val="26"/>
        </w:rPr>
        <w:t xml:space="preserve"> </w:t>
      </w:r>
      <w:r w:rsidR="00AB6790" w:rsidRPr="009735D8">
        <w:rPr>
          <w:rFonts w:ascii="Verdana" w:hAnsi="Verdana"/>
          <w:sz w:val="26"/>
          <w:szCs w:val="26"/>
        </w:rPr>
        <w:t>In which it was held that t</w:t>
      </w:r>
      <w:r w:rsidRPr="009735D8">
        <w:rPr>
          <w:rFonts w:ascii="Verdana" w:hAnsi="Verdana"/>
          <w:sz w:val="26"/>
          <w:szCs w:val="26"/>
        </w:rPr>
        <w:t>he IGG could not be sued</w:t>
      </w:r>
      <w:r w:rsidR="00AB6790" w:rsidRPr="009735D8">
        <w:rPr>
          <w:rFonts w:ascii="Verdana" w:hAnsi="Verdana"/>
          <w:sz w:val="26"/>
          <w:szCs w:val="26"/>
        </w:rPr>
        <w:t>.</w:t>
      </w:r>
      <w:r w:rsidRPr="009735D8">
        <w:rPr>
          <w:rFonts w:ascii="Verdana" w:hAnsi="Verdana"/>
          <w:sz w:val="26"/>
          <w:szCs w:val="26"/>
        </w:rPr>
        <w:t xml:space="preserve"> </w:t>
      </w:r>
      <w:r w:rsidR="00AB6790" w:rsidRPr="009735D8">
        <w:rPr>
          <w:rFonts w:ascii="Verdana" w:hAnsi="Verdana"/>
          <w:sz w:val="26"/>
          <w:szCs w:val="26"/>
        </w:rPr>
        <w:t>That</w:t>
      </w:r>
      <w:r w:rsidRPr="009735D8">
        <w:rPr>
          <w:rFonts w:ascii="Verdana" w:hAnsi="Verdana"/>
          <w:sz w:val="26"/>
          <w:szCs w:val="26"/>
        </w:rPr>
        <w:t xml:space="preserve"> only the Attorney General could be sued under Article 119 of the Constitution.</w:t>
      </w:r>
      <w:r w:rsidR="00AB6790" w:rsidRPr="009735D8">
        <w:rPr>
          <w:rFonts w:ascii="Verdana" w:hAnsi="Verdana"/>
          <w:sz w:val="26"/>
          <w:szCs w:val="26"/>
        </w:rPr>
        <w:t xml:space="preserve"> </w:t>
      </w:r>
      <w:r w:rsidRPr="009735D8">
        <w:rPr>
          <w:rFonts w:ascii="Verdana" w:hAnsi="Verdana"/>
          <w:sz w:val="26"/>
          <w:szCs w:val="26"/>
        </w:rPr>
        <w:t>Armed with th</w:t>
      </w:r>
      <w:r w:rsidR="00AB6790" w:rsidRPr="009735D8">
        <w:rPr>
          <w:rFonts w:ascii="Verdana" w:hAnsi="Verdana"/>
          <w:sz w:val="26"/>
          <w:szCs w:val="26"/>
        </w:rPr>
        <w:t>at</w:t>
      </w:r>
      <w:r w:rsidRPr="009735D8">
        <w:rPr>
          <w:rFonts w:ascii="Verdana" w:hAnsi="Verdana"/>
          <w:sz w:val="26"/>
          <w:szCs w:val="26"/>
        </w:rPr>
        <w:t xml:space="preserve"> decision the plaintiffs filed in this court Misc. Application 221 of 2011 seeking substitution of the IGG by the Attorney General as defendant. This request was refused and the parties were advised to withdraw the case and file a fresh case if they were within time. This was done and Civil Suit 349 of 2007 was withdrawn and the current suit was filed.</w:t>
      </w:r>
    </w:p>
    <w:p w:rsidR="00D62EC8" w:rsidRPr="009735D8" w:rsidRDefault="00D62EC8" w:rsidP="00765392">
      <w:pPr>
        <w:tabs>
          <w:tab w:val="left" w:pos="900"/>
        </w:tabs>
        <w:spacing w:line="360" w:lineRule="auto"/>
        <w:jc w:val="both"/>
        <w:rPr>
          <w:rFonts w:ascii="Verdana" w:hAnsi="Verdana"/>
          <w:sz w:val="26"/>
          <w:szCs w:val="26"/>
        </w:rPr>
      </w:pPr>
    </w:p>
    <w:p w:rsidR="00765392" w:rsidRPr="009735D8" w:rsidRDefault="00765392" w:rsidP="00765392">
      <w:pPr>
        <w:tabs>
          <w:tab w:val="left" w:pos="900"/>
        </w:tabs>
        <w:spacing w:line="360" w:lineRule="auto"/>
        <w:jc w:val="both"/>
        <w:rPr>
          <w:rFonts w:ascii="Verdana" w:hAnsi="Verdana"/>
          <w:sz w:val="26"/>
          <w:szCs w:val="26"/>
        </w:rPr>
      </w:pPr>
      <w:r w:rsidRPr="009735D8">
        <w:rPr>
          <w:rFonts w:ascii="Verdana" w:hAnsi="Verdana"/>
          <w:sz w:val="26"/>
          <w:szCs w:val="26"/>
        </w:rPr>
        <w:t xml:space="preserve">As rightly submitted by Mr. Adrole, the cause of action is based on contract of employment. </w:t>
      </w:r>
      <w:r w:rsidR="00962EF4">
        <w:rPr>
          <w:rFonts w:ascii="Verdana" w:hAnsi="Verdana"/>
          <w:sz w:val="26"/>
          <w:szCs w:val="26"/>
        </w:rPr>
        <w:t xml:space="preserve">It </w:t>
      </w:r>
      <w:r w:rsidRPr="009735D8">
        <w:rPr>
          <w:rFonts w:ascii="Verdana" w:hAnsi="Verdana"/>
          <w:sz w:val="26"/>
          <w:szCs w:val="26"/>
        </w:rPr>
        <w:t xml:space="preserve">follows </w:t>
      </w:r>
      <w:r w:rsidR="00962EF4">
        <w:rPr>
          <w:rFonts w:ascii="Verdana" w:hAnsi="Verdana"/>
          <w:sz w:val="26"/>
          <w:szCs w:val="26"/>
        </w:rPr>
        <w:t xml:space="preserve">that </w:t>
      </w:r>
      <w:r w:rsidRPr="009735D8">
        <w:rPr>
          <w:rFonts w:ascii="Verdana" w:hAnsi="Verdana"/>
          <w:sz w:val="26"/>
          <w:szCs w:val="26"/>
        </w:rPr>
        <w:t>the determination of whether or not the suit is time ba</w:t>
      </w:r>
      <w:r w:rsidR="00AB6790" w:rsidRPr="009735D8">
        <w:rPr>
          <w:rFonts w:ascii="Verdana" w:hAnsi="Verdana"/>
          <w:sz w:val="26"/>
          <w:szCs w:val="26"/>
        </w:rPr>
        <w:t>rre</w:t>
      </w:r>
      <w:r w:rsidRPr="009735D8">
        <w:rPr>
          <w:rFonts w:ascii="Verdana" w:hAnsi="Verdana"/>
          <w:sz w:val="26"/>
          <w:szCs w:val="26"/>
        </w:rPr>
        <w:t xml:space="preserve">d is governed by </w:t>
      </w:r>
      <w:r w:rsidR="00AB6790" w:rsidRPr="009735D8">
        <w:rPr>
          <w:rFonts w:ascii="Verdana" w:hAnsi="Verdana"/>
          <w:sz w:val="26"/>
          <w:szCs w:val="26"/>
        </w:rPr>
        <w:t>S. 3</w:t>
      </w:r>
      <w:r w:rsidRPr="009735D8">
        <w:rPr>
          <w:rFonts w:ascii="Verdana" w:hAnsi="Verdana"/>
          <w:sz w:val="26"/>
          <w:szCs w:val="26"/>
        </w:rPr>
        <w:t xml:space="preserve">(2) of the Civil </w:t>
      </w:r>
      <w:r w:rsidRPr="009735D8">
        <w:rPr>
          <w:rFonts w:ascii="Verdana" w:hAnsi="Verdana"/>
          <w:sz w:val="26"/>
          <w:szCs w:val="26"/>
        </w:rPr>
        <w:lastRenderedPageBreak/>
        <w:t xml:space="preserve">Procedure and </w:t>
      </w:r>
      <w:r w:rsidR="00AB6790" w:rsidRPr="009735D8">
        <w:rPr>
          <w:rFonts w:ascii="Verdana" w:hAnsi="Verdana"/>
          <w:sz w:val="26"/>
          <w:szCs w:val="26"/>
        </w:rPr>
        <w:t>L</w:t>
      </w:r>
      <w:r w:rsidRPr="009735D8">
        <w:rPr>
          <w:rFonts w:ascii="Verdana" w:hAnsi="Verdana"/>
          <w:sz w:val="26"/>
          <w:szCs w:val="26"/>
        </w:rPr>
        <w:t xml:space="preserve">imitation </w:t>
      </w:r>
      <w:r w:rsidR="00AB6790" w:rsidRPr="009735D8">
        <w:rPr>
          <w:rFonts w:ascii="Verdana" w:hAnsi="Verdana"/>
          <w:sz w:val="26"/>
          <w:szCs w:val="26"/>
        </w:rPr>
        <w:t>(</w:t>
      </w:r>
      <w:r w:rsidRPr="009735D8">
        <w:rPr>
          <w:rFonts w:ascii="Verdana" w:hAnsi="Verdana"/>
          <w:sz w:val="26"/>
          <w:szCs w:val="26"/>
        </w:rPr>
        <w:t>Misc</w:t>
      </w:r>
      <w:r w:rsidR="00AB6790" w:rsidRPr="009735D8">
        <w:rPr>
          <w:rFonts w:ascii="Verdana" w:hAnsi="Verdana"/>
          <w:sz w:val="26"/>
          <w:szCs w:val="26"/>
        </w:rPr>
        <w:t>ellaneous</w:t>
      </w:r>
      <w:r w:rsidRPr="009735D8">
        <w:rPr>
          <w:rFonts w:ascii="Verdana" w:hAnsi="Verdana"/>
          <w:sz w:val="26"/>
          <w:szCs w:val="26"/>
        </w:rPr>
        <w:t xml:space="preserve"> Provisions</w:t>
      </w:r>
      <w:r w:rsidR="00AB6790" w:rsidRPr="009735D8">
        <w:rPr>
          <w:rFonts w:ascii="Verdana" w:hAnsi="Verdana"/>
          <w:sz w:val="26"/>
          <w:szCs w:val="26"/>
        </w:rPr>
        <w:t>)</w:t>
      </w:r>
      <w:r w:rsidRPr="009735D8">
        <w:rPr>
          <w:rFonts w:ascii="Verdana" w:hAnsi="Verdana"/>
          <w:sz w:val="26"/>
          <w:szCs w:val="26"/>
        </w:rPr>
        <w:t xml:space="preserve"> Act Cap 72 which provides that</w:t>
      </w:r>
      <w:r w:rsidR="00AB6790" w:rsidRPr="009735D8">
        <w:rPr>
          <w:rFonts w:ascii="Verdana" w:hAnsi="Verdana"/>
          <w:sz w:val="26"/>
          <w:szCs w:val="26"/>
        </w:rPr>
        <w:t>:</w:t>
      </w:r>
    </w:p>
    <w:p w:rsidR="00765392" w:rsidRPr="009735D8" w:rsidRDefault="00765392" w:rsidP="00765392">
      <w:pPr>
        <w:tabs>
          <w:tab w:val="left" w:pos="900"/>
        </w:tabs>
        <w:spacing w:line="360" w:lineRule="auto"/>
        <w:ind w:left="720"/>
        <w:jc w:val="both"/>
        <w:rPr>
          <w:rFonts w:ascii="Verdana" w:hAnsi="Verdana"/>
          <w:b/>
          <w:i/>
          <w:sz w:val="26"/>
          <w:szCs w:val="26"/>
        </w:rPr>
      </w:pPr>
      <w:r w:rsidRPr="009735D8">
        <w:rPr>
          <w:rFonts w:ascii="Verdana" w:hAnsi="Verdana"/>
          <w:sz w:val="26"/>
          <w:szCs w:val="26"/>
        </w:rPr>
        <w:t>“</w:t>
      </w:r>
      <w:r w:rsidRPr="009735D8">
        <w:rPr>
          <w:rFonts w:ascii="Verdana" w:hAnsi="Verdana"/>
          <w:b/>
          <w:i/>
          <w:sz w:val="26"/>
          <w:szCs w:val="26"/>
        </w:rPr>
        <w:t xml:space="preserve">No action founded on contract shall be brought against the government or against a local authority after the expiration of </w:t>
      </w:r>
      <w:r w:rsidR="00025891" w:rsidRPr="009735D8">
        <w:rPr>
          <w:rFonts w:ascii="Verdana" w:hAnsi="Verdana"/>
          <w:b/>
          <w:i/>
          <w:sz w:val="26"/>
          <w:szCs w:val="26"/>
        </w:rPr>
        <w:t>three</w:t>
      </w:r>
      <w:r w:rsidRPr="009735D8">
        <w:rPr>
          <w:rFonts w:ascii="Verdana" w:hAnsi="Verdana"/>
          <w:b/>
          <w:i/>
          <w:sz w:val="26"/>
          <w:szCs w:val="26"/>
        </w:rPr>
        <w:t xml:space="preserve"> years from the date on which the cause of action arose”.</w:t>
      </w:r>
    </w:p>
    <w:p w:rsidR="00025891" w:rsidRPr="009735D8" w:rsidRDefault="00025891" w:rsidP="00765392">
      <w:pPr>
        <w:tabs>
          <w:tab w:val="left" w:pos="900"/>
        </w:tabs>
        <w:spacing w:line="360" w:lineRule="auto"/>
        <w:jc w:val="both"/>
        <w:rPr>
          <w:rFonts w:ascii="Verdana" w:hAnsi="Verdana"/>
          <w:sz w:val="26"/>
          <w:szCs w:val="26"/>
        </w:rPr>
      </w:pPr>
    </w:p>
    <w:p w:rsidR="00765392" w:rsidRPr="009735D8" w:rsidRDefault="00765392" w:rsidP="00765392">
      <w:pPr>
        <w:tabs>
          <w:tab w:val="left" w:pos="900"/>
        </w:tabs>
        <w:spacing w:line="360" w:lineRule="auto"/>
        <w:jc w:val="both"/>
        <w:rPr>
          <w:rFonts w:ascii="Verdana" w:hAnsi="Verdana"/>
          <w:sz w:val="26"/>
          <w:szCs w:val="26"/>
        </w:rPr>
      </w:pPr>
      <w:r w:rsidRPr="009735D8">
        <w:rPr>
          <w:rFonts w:ascii="Verdana" w:hAnsi="Verdana"/>
          <w:sz w:val="26"/>
          <w:szCs w:val="26"/>
        </w:rPr>
        <w:t>In the instant case, the ca</w:t>
      </w:r>
      <w:r w:rsidR="001E2D0C" w:rsidRPr="009735D8">
        <w:rPr>
          <w:rFonts w:ascii="Verdana" w:hAnsi="Verdana"/>
          <w:sz w:val="26"/>
          <w:szCs w:val="26"/>
        </w:rPr>
        <w:t>u</w:t>
      </w:r>
      <w:r w:rsidRPr="009735D8">
        <w:rPr>
          <w:rFonts w:ascii="Verdana" w:hAnsi="Verdana"/>
          <w:sz w:val="26"/>
          <w:szCs w:val="26"/>
        </w:rPr>
        <w:t>se of action arose on 28</w:t>
      </w:r>
      <w:r w:rsidRPr="009735D8">
        <w:rPr>
          <w:rFonts w:ascii="Verdana" w:hAnsi="Verdana"/>
          <w:sz w:val="26"/>
          <w:szCs w:val="26"/>
          <w:vertAlign w:val="superscript"/>
        </w:rPr>
        <w:t>th</w:t>
      </w:r>
      <w:r w:rsidRPr="009735D8">
        <w:rPr>
          <w:rFonts w:ascii="Verdana" w:hAnsi="Verdana"/>
          <w:sz w:val="26"/>
          <w:szCs w:val="26"/>
        </w:rPr>
        <w:t xml:space="preserve"> March 2006 after the plaintiffs’ contracts of employment with IGG were terminated. They filed Civil Suit 349 of 2007 in time against the IGG who</w:t>
      </w:r>
      <w:r w:rsidR="001E2D0C" w:rsidRPr="009735D8">
        <w:rPr>
          <w:rFonts w:ascii="Verdana" w:hAnsi="Verdana"/>
          <w:sz w:val="26"/>
          <w:szCs w:val="26"/>
        </w:rPr>
        <w:t>,</w:t>
      </w:r>
      <w:r w:rsidRPr="009735D8">
        <w:rPr>
          <w:rFonts w:ascii="Verdana" w:hAnsi="Verdana"/>
          <w:sz w:val="26"/>
          <w:szCs w:val="26"/>
        </w:rPr>
        <w:t xml:space="preserve"> unfortunately happened to be a wrong party because the IGG had no capacity to be sued. When the plaintiffs sought to substitute the IGG with the Attorney general, the request was refused. They accordingly withdrew Civil Suit 349 of 2007 marking the end of that suit.</w:t>
      </w:r>
    </w:p>
    <w:p w:rsidR="001E2D0C" w:rsidRPr="009735D8" w:rsidRDefault="001E2D0C" w:rsidP="00765392">
      <w:pPr>
        <w:tabs>
          <w:tab w:val="left" w:pos="900"/>
        </w:tabs>
        <w:spacing w:line="360" w:lineRule="auto"/>
        <w:jc w:val="both"/>
        <w:rPr>
          <w:rFonts w:ascii="Verdana" w:hAnsi="Verdana"/>
          <w:sz w:val="26"/>
          <w:szCs w:val="26"/>
        </w:rPr>
      </w:pPr>
    </w:p>
    <w:p w:rsidR="003043EE" w:rsidRPr="009735D8" w:rsidRDefault="00765392" w:rsidP="00765392">
      <w:pPr>
        <w:tabs>
          <w:tab w:val="left" w:pos="900"/>
        </w:tabs>
        <w:spacing w:line="360" w:lineRule="auto"/>
        <w:jc w:val="both"/>
        <w:rPr>
          <w:rFonts w:ascii="Verdana" w:hAnsi="Verdana"/>
          <w:sz w:val="26"/>
          <w:szCs w:val="26"/>
        </w:rPr>
      </w:pPr>
      <w:r w:rsidRPr="009735D8">
        <w:rPr>
          <w:rFonts w:ascii="Verdana" w:hAnsi="Verdana"/>
          <w:sz w:val="26"/>
          <w:szCs w:val="26"/>
        </w:rPr>
        <w:t>Thereafter</w:t>
      </w:r>
      <w:r w:rsidR="001E2D0C" w:rsidRPr="009735D8">
        <w:rPr>
          <w:rFonts w:ascii="Verdana" w:hAnsi="Verdana"/>
          <w:sz w:val="26"/>
          <w:szCs w:val="26"/>
        </w:rPr>
        <w:t>,</w:t>
      </w:r>
      <w:r w:rsidRPr="009735D8">
        <w:rPr>
          <w:rFonts w:ascii="Verdana" w:hAnsi="Verdana"/>
          <w:sz w:val="26"/>
          <w:szCs w:val="26"/>
        </w:rPr>
        <w:t xml:space="preserve"> the plaintiffs filed the present suit on 28</w:t>
      </w:r>
      <w:r w:rsidRPr="009735D8">
        <w:rPr>
          <w:rFonts w:ascii="Verdana" w:hAnsi="Verdana"/>
          <w:sz w:val="26"/>
          <w:szCs w:val="26"/>
          <w:vertAlign w:val="superscript"/>
        </w:rPr>
        <w:t>th</w:t>
      </w:r>
      <w:r w:rsidRPr="009735D8">
        <w:rPr>
          <w:rFonts w:ascii="Verdana" w:hAnsi="Verdana"/>
          <w:sz w:val="26"/>
          <w:szCs w:val="26"/>
        </w:rPr>
        <w:t xml:space="preserve"> June 2012 over five years since the cause of action arose which was contrary to the law of limitation as provided in </w:t>
      </w:r>
      <w:r w:rsidR="001E2D0C" w:rsidRPr="009735D8">
        <w:rPr>
          <w:rFonts w:ascii="Verdana" w:hAnsi="Verdana"/>
          <w:sz w:val="26"/>
          <w:szCs w:val="26"/>
        </w:rPr>
        <w:t>S.</w:t>
      </w:r>
      <w:r w:rsidRPr="009735D8">
        <w:rPr>
          <w:rFonts w:ascii="Verdana" w:hAnsi="Verdana"/>
          <w:sz w:val="26"/>
          <w:szCs w:val="26"/>
        </w:rPr>
        <w:t xml:space="preserve"> 3(2) of the </w:t>
      </w:r>
      <w:r w:rsidR="001E2D0C" w:rsidRPr="009735D8">
        <w:rPr>
          <w:rFonts w:ascii="Verdana" w:hAnsi="Verdana"/>
          <w:sz w:val="26"/>
          <w:szCs w:val="26"/>
        </w:rPr>
        <w:t>Civil Procedure and Limitation (Miscellaneous Provisions) Act</w:t>
      </w:r>
      <w:r w:rsidRPr="009735D8">
        <w:rPr>
          <w:rFonts w:ascii="Verdana" w:hAnsi="Verdana"/>
          <w:sz w:val="26"/>
          <w:szCs w:val="26"/>
        </w:rPr>
        <w:t xml:space="preserve">. There is no way this court can salvage the plaintiffs’ suit in view of the strict law of limitation. </w:t>
      </w:r>
    </w:p>
    <w:p w:rsidR="003043EE" w:rsidRPr="009735D8" w:rsidRDefault="003043EE" w:rsidP="00765392">
      <w:pPr>
        <w:tabs>
          <w:tab w:val="left" w:pos="900"/>
        </w:tabs>
        <w:spacing w:line="360" w:lineRule="auto"/>
        <w:jc w:val="both"/>
        <w:rPr>
          <w:rFonts w:ascii="Verdana" w:hAnsi="Verdana"/>
          <w:sz w:val="26"/>
          <w:szCs w:val="26"/>
        </w:rPr>
      </w:pPr>
    </w:p>
    <w:p w:rsidR="003043EE" w:rsidRPr="009735D8" w:rsidRDefault="00765392" w:rsidP="00765392">
      <w:pPr>
        <w:tabs>
          <w:tab w:val="left" w:pos="900"/>
        </w:tabs>
        <w:spacing w:line="360" w:lineRule="auto"/>
        <w:jc w:val="both"/>
        <w:rPr>
          <w:rFonts w:ascii="Verdana" w:hAnsi="Verdana"/>
          <w:sz w:val="26"/>
          <w:szCs w:val="26"/>
        </w:rPr>
      </w:pPr>
      <w:r w:rsidRPr="009735D8">
        <w:rPr>
          <w:rFonts w:ascii="Verdana" w:hAnsi="Verdana"/>
          <w:sz w:val="26"/>
          <w:szCs w:val="26"/>
        </w:rPr>
        <w:t>It is trite law that statutes of limitation are in their nature strict and inflexible enactments</w:t>
      </w:r>
      <w:r w:rsidR="003043EE" w:rsidRPr="009735D8">
        <w:rPr>
          <w:rFonts w:ascii="Verdana" w:hAnsi="Verdana"/>
          <w:sz w:val="26"/>
          <w:szCs w:val="26"/>
        </w:rPr>
        <w:t>.</w:t>
      </w:r>
      <w:r w:rsidRPr="009735D8">
        <w:rPr>
          <w:rFonts w:ascii="Verdana" w:hAnsi="Verdana"/>
          <w:sz w:val="26"/>
          <w:szCs w:val="26"/>
        </w:rPr>
        <w:t xml:space="preserve"> </w:t>
      </w:r>
      <w:r w:rsidR="003043EE" w:rsidRPr="009735D8">
        <w:rPr>
          <w:rFonts w:ascii="Verdana" w:hAnsi="Verdana"/>
          <w:sz w:val="26"/>
          <w:szCs w:val="26"/>
        </w:rPr>
        <w:t>Their</w:t>
      </w:r>
      <w:r w:rsidRPr="009735D8">
        <w:rPr>
          <w:rFonts w:ascii="Verdana" w:hAnsi="Verdana"/>
          <w:sz w:val="26"/>
          <w:szCs w:val="26"/>
        </w:rPr>
        <w:t xml:space="preserve"> overriding purpose is </w:t>
      </w:r>
      <w:r w:rsidR="003043EE" w:rsidRPr="009735D8">
        <w:rPr>
          <w:rFonts w:ascii="Verdana" w:hAnsi="Verdana"/>
          <w:sz w:val="26"/>
          <w:szCs w:val="26"/>
        </w:rPr>
        <w:t xml:space="preserve">interest </w:t>
      </w:r>
      <w:r w:rsidR="003043EE" w:rsidRPr="009735D8">
        <w:rPr>
          <w:rFonts w:ascii="Verdana" w:hAnsi="Verdana"/>
          <w:i/>
          <w:sz w:val="26"/>
          <w:szCs w:val="26"/>
          <w:u w:val="single"/>
        </w:rPr>
        <w:t>reipublical ut sit finis litum</w:t>
      </w:r>
      <w:r w:rsidR="003043EE" w:rsidRPr="009735D8">
        <w:rPr>
          <w:rFonts w:ascii="Verdana" w:hAnsi="Verdana"/>
          <w:i/>
          <w:sz w:val="26"/>
          <w:szCs w:val="26"/>
        </w:rPr>
        <w:t xml:space="preserve"> </w:t>
      </w:r>
      <w:r w:rsidR="003043EE" w:rsidRPr="009735D8">
        <w:rPr>
          <w:rFonts w:ascii="Verdana" w:hAnsi="Verdana"/>
          <w:sz w:val="26"/>
          <w:szCs w:val="26"/>
        </w:rPr>
        <w:t xml:space="preserve">meaning </w:t>
      </w:r>
      <w:r w:rsidRPr="009735D8">
        <w:rPr>
          <w:rFonts w:ascii="Verdana" w:hAnsi="Verdana"/>
          <w:sz w:val="26"/>
          <w:szCs w:val="26"/>
        </w:rPr>
        <w:t xml:space="preserve">that litigation shall be automatically </w:t>
      </w:r>
      <w:r w:rsidR="003043EE" w:rsidRPr="009735D8">
        <w:rPr>
          <w:rFonts w:ascii="Verdana" w:hAnsi="Verdana"/>
          <w:sz w:val="26"/>
          <w:szCs w:val="26"/>
        </w:rPr>
        <w:t xml:space="preserve">stifled </w:t>
      </w:r>
      <w:r w:rsidRPr="009735D8">
        <w:rPr>
          <w:rFonts w:ascii="Verdana" w:hAnsi="Verdana"/>
          <w:sz w:val="26"/>
          <w:szCs w:val="26"/>
        </w:rPr>
        <w:t xml:space="preserve">after </w:t>
      </w:r>
      <w:r w:rsidRPr="009735D8">
        <w:rPr>
          <w:rFonts w:ascii="Verdana" w:hAnsi="Verdana"/>
          <w:sz w:val="26"/>
          <w:szCs w:val="26"/>
        </w:rPr>
        <w:lastRenderedPageBreak/>
        <w:t xml:space="preserve">a fixed length of time irrespective of the merits of the particular case. </w:t>
      </w:r>
      <w:r w:rsidR="003043EE" w:rsidRPr="009735D8">
        <w:rPr>
          <w:rFonts w:ascii="Verdana" w:hAnsi="Verdana"/>
          <w:sz w:val="26"/>
          <w:szCs w:val="26"/>
        </w:rPr>
        <w:t xml:space="preserve">See: </w:t>
      </w:r>
      <w:r w:rsidR="003043EE" w:rsidRPr="009735D8">
        <w:rPr>
          <w:rFonts w:ascii="Verdana" w:hAnsi="Verdana"/>
          <w:b/>
          <w:i/>
          <w:sz w:val="26"/>
          <w:szCs w:val="26"/>
          <w:u w:val="single"/>
        </w:rPr>
        <w:t xml:space="preserve">An Application By </w:t>
      </w:r>
      <w:r w:rsidRPr="009735D8">
        <w:rPr>
          <w:rFonts w:ascii="Verdana" w:hAnsi="Verdana"/>
          <w:b/>
          <w:i/>
          <w:sz w:val="26"/>
          <w:szCs w:val="26"/>
          <w:u w:val="single"/>
        </w:rPr>
        <w:t>Mustapha Ramathan CAl 25 of 1996.</w:t>
      </w:r>
      <w:r w:rsidRPr="009735D8">
        <w:rPr>
          <w:rFonts w:ascii="Verdana" w:hAnsi="Verdana"/>
          <w:sz w:val="26"/>
          <w:szCs w:val="26"/>
        </w:rPr>
        <w:t xml:space="preserve"> </w:t>
      </w:r>
    </w:p>
    <w:p w:rsidR="003043EE" w:rsidRPr="009735D8" w:rsidRDefault="003043EE" w:rsidP="00765392">
      <w:pPr>
        <w:tabs>
          <w:tab w:val="left" w:pos="900"/>
        </w:tabs>
        <w:spacing w:line="360" w:lineRule="auto"/>
        <w:jc w:val="both"/>
        <w:rPr>
          <w:rFonts w:ascii="Verdana" w:hAnsi="Verdana"/>
          <w:sz w:val="26"/>
          <w:szCs w:val="26"/>
        </w:rPr>
      </w:pPr>
    </w:p>
    <w:p w:rsidR="00765392" w:rsidRPr="009735D8" w:rsidRDefault="00765392" w:rsidP="00765392">
      <w:pPr>
        <w:tabs>
          <w:tab w:val="left" w:pos="900"/>
        </w:tabs>
        <w:spacing w:line="360" w:lineRule="auto"/>
        <w:jc w:val="both"/>
        <w:rPr>
          <w:rFonts w:ascii="Verdana" w:hAnsi="Verdana"/>
          <w:sz w:val="26"/>
          <w:szCs w:val="26"/>
        </w:rPr>
      </w:pPr>
      <w:r w:rsidRPr="009735D8">
        <w:rPr>
          <w:rFonts w:ascii="Verdana" w:hAnsi="Verdana"/>
          <w:sz w:val="26"/>
          <w:szCs w:val="26"/>
        </w:rPr>
        <w:t xml:space="preserve">The ruthlessness of the law of limitation is explained in </w:t>
      </w:r>
      <w:r w:rsidRPr="009735D8">
        <w:rPr>
          <w:rFonts w:ascii="Verdana" w:hAnsi="Verdana"/>
          <w:b/>
          <w:i/>
          <w:sz w:val="26"/>
          <w:szCs w:val="26"/>
          <w:u w:val="single"/>
        </w:rPr>
        <w:t>Hilton Vs S</w:t>
      </w:r>
      <w:r w:rsidR="003043EE" w:rsidRPr="009735D8">
        <w:rPr>
          <w:rFonts w:ascii="Verdana" w:hAnsi="Verdana"/>
          <w:b/>
          <w:i/>
          <w:sz w:val="26"/>
          <w:szCs w:val="26"/>
          <w:u w:val="single"/>
        </w:rPr>
        <w:t>u</w:t>
      </w:r>
      <w:r w:rsidRPr="009735D8">
        <w:rPr>
          <w:rFonts w:ascii="Verdana" w:hAnsi="Verdana"/>
          <w:b/>
          <w:i/>
          <w:sz w:val="26"/>
          <w:szCs w:val="26"/>
          <w:u w:val="single"/>
        </w:rPr>
        <w:t xml:space="preserve">lton </w:t>
      </w:r>
      <w:r w:rsidR="003043EE" w:rsidRPr="009735D8">
        <w:rPr>
          <w:rFonts w:ascii="Verdana" w:hAnsi="Verdana"/>
          <w:b/>
          <w:i/>
          <w:sz w:val="26"/>
          <w:szCs w:val="26"/>
          <w:u w:val="single"/>
        </w:rPr>
        <w:t>S</w:t>
      </w:r>
      <w:r w:rsidRPr="009735D8">
        <w:rPr>
          <w:rFonts w:ascii="Verdana" w:hAnsi="Verdana"/>
          <w:b/>
          <w:i/>
          <w:sz w:val="26"/>
          <w:szCs w:val="26"/>
          <w:u w:val="single"/>
        </w:rPr>
        <w:t xml:space="preserve">team </w:t>
      </w:r>
      <w:r w:rsidR="003043EE" w:rsidRPr="009735D8">
        <w:rPr>
          <w:rFonts w:ascii="Verdana" w:hAnsi="Verdana"/>
          <w:b/>
          <w:i/>
          <w:sz w:val="26"/>
          <w:szCs w:val="26"/>
          <w:u w:val="single"/>
        </w:rPr>
        <w:t>L</w:t>
      </w:r>
      <w:r w:rsidRPr="009735D8">
        <w:rPr>
          <w:rFonts w:ascii="Verdana" w:hAnsi="Verdana"/>
          <w:b/>
          <w:i/>
          <w:sz w:val="26"/>
          <w:szCs w:val="26"/>
          <w:u w:val="single"/>
        </w:rPr>
        <w:t xml:space="preserve">aundry </w:t>
      </w:r>
      <w:r w:rsidR="003043EE" w:rsidRPr="009735D8">
        <w:rPr>
          <w:rFonts w:ascii="Verdana" w:hAnsi="Verdana"/>
          <w:b/>
          <w:i/>
          <w:sz w:val="26"/>
          <w:szCs w:val="26"/>
          <w:u w:val="single"/>
        </w:rPr>
        <w:t>[</w:t>
      </w:r>
      <w:r w:rsidRPr="009735D8">
        <w:rPr>
          <w:rFonts w:ascii="Verdana" w:hAnsi="Verdana"/>
          <w:b/>
          <w:i/>
          <w:sz w:val="26"/>
          <w:szCs w:val="26"/>
          <w:u w:val="single"/>
        </w:rPr>
        <w:t>1946</w:t>
      </w:r>
      <w:r w:rsidR="003043EE" w:rsidRPr="009735D8">
        <w:rPr>
          <w:rFonts w:ascii="Verdana" w:hAnsi="Verdana"/>
          <w:b/>
          <w:i/>
          <w:sz w:val="26"/>
          <w:szCs w:val="26"/>
          <w:u w:val="single"/>
        </w:rPr>
        <w:t xml:space="preserve">] </w:t>
      </w:r>
      <w:r w:rsidRPr="009735D8">
        <w:rPr>
          <w:rFonts w:ascii="Verdana" w:hAnsi="Verdana"/>
          <w:b/>
          <w:i/>
          <w:sz w:val="26"/>
          <w:szCs w:val="26"/>
          <w:u w:val="single"/>
        </w:rPr>
        <w:t>1 K</w:t>
      </w:r>
      <w:r w:rsidR="003043EE" w:rsidRPr="009735D8">
        <w:rPr>
          <w:rFonts w:ascii="Verdana" w:hAnsi="Verdana"/>
          <w:b/>
          <w:i/>
          <w:sz w:val="26"/>
          <w:szCs w:val="26"/>
          <w:u w:val="single"/>
        </w:rPr>
        <w:t>B 61,</w:t>
      </w:r>
      <w:r w:rsidRPr="009735D8">
        <w:rPr>
          <w:rFonts w:ascii="Verdana" w:hAnsi="Verdana"/>
          <w:b/>
          <w:i/>
          <w:sz w:val="26"/>
          <w:szCs w:val="26"/>
          <w:u w:val="single"/>
        </w:rPr>
        <w:t>81</w:t>
      </w:r>
      <w:r w:rsidRPr="009735D8">
        <w:rPr>
          <w:rFonts w:ascii="Verdana" w:hAnsi="Verdana"/>
          <w:sz w:val="26"/>
          <w:szCs w:val="26"/>
        </w:rPr>
        <w:t xml:space="preserve">, </w:t>
      </w:r>
      <w:r w:rsidR="003043EE" w:rsidRPr="009735D8">
        <w:rPr>
          <w:rFonts w:ascii="Verdana" w:hAnsi="Verdana"/>
          <w:sz w:val="26"/>
          <w:szCs w:val="26"/>
        </w:rPr>
        <w:t>per Lord Greene M</w:t>
      </w:r>
      <w:r w:rsidR="00962EF4">
        <w:rPr>
          <w:rFonts w:ascii="Verdana" w:hAnsi="Verdana"/>
          <w:sz w:val="26"/>
          <w:szCs w:val="26"/>
        </w:rPr>
        <w:t>R</w:t>
      </w:r>
      <w:r w:rsidR="003043EE" w:rsidRPr="009735D8">
        <w:rPr>
          <w:rFonts w:ascii="Verdana" w:hAnsi="Verdana"/>
          <w:sz w:val="26"/>
          <w:szCs w:val="26"/>
        </w:rPr>
        <w:t xml:space="preserve"> </w:t>
      </w:r>
      <w:r w:rsidRPr="009735D8">
        <w:rPr>
          <w:rFonts w:ascii="Verdana" w:hAnsi="Verdana"/>
          <w:sz w:val="26"/>
          <w:szCs w:val="26"/>
        </w:rPr>
        <w:t xml:space="preserve">where </w:t>
      </w:r>
      <w:r w:rsidR="003043EE" w:rsidRPr="009735D8">
        <w:rPr>
          <w:rFonts w:ascii="Verdana" w:hAnsi="Verdana"/>
          <w:sz w:val="26"/>
          <w:szCs w:val="26"/>
        </w:rPr>
        <w:t>he s</w:t>
      </w:r>
      <w:r w:rsidRPr="009735D8">
        <w:rPr>
          <w:rFonts w:ascii="Verdana" w:hAnsi="Verdana"/>
          <w:sz w:val="26"/>
          <w:szCs w:val="26"/>
        </w:rPr>
        <w:t>aid</w:t>
      </w:r>
      <w:r w:rsidR="003043EE" w:rsidRPr="009735D8">
        <w:rPr>
          <w:rFonts w:ascii="Verdana" w:hAnsi="Verdana"/>
          <w:sz w:val="26"/>
          <w:szCs w:val="26"/>
        </w:rPr>
        <w:t>:</w:t>
      </w:r>
    </w:p>
    <w:p w:rsidR="00765392" w:rsidRPr="009735D8" w:rsidRDefault="00765392" w:rsidP="00765392">
      <w:pPr>
        <w:tabs>
          <w:tab w:val="left" w:pos="900"/>
        </w:tabs>
        <w:spacing w:line="360" w:lineRule="auto"/>
        <w:ind w:left="720"/>
        <w:jc w:val="both"/>
        <w:rPr>
          <w:rFonts w:ascii="Verdana" w:hAnsi="Verdana"/>
          <w:b/>
          <w:i/>
          <w:sz w:val="26"/>
          <w:szCs w:val="26"/>
        </w:rPr>
      </w:pPr>
      <w:r w:rsidRPr="009735D8">
        <w:rPr>
          <w:rFonts w:ascii="Verdana" w:hAnsi="Verdana"/>
          <w:sz w:val="26"/>
          <w:szCs w:val="26"/>
        </w:rPr>
        <w:t>“</w:t>
      </w:r>
      <w:r w:rsidRPr="009735D8">
        <w:rPr>
          <w:rFonts w:ascii="Verdana" w:hAnsi="Verdana"/>
          <w:b/>
          <w:i/>
          <w:sz w:val="26"/>
          <w:szCs w:val="26"/>
        </w:rPr>
        <w:t>But the statute of limitation is not concerned with merits, once the a</w:t>
      </w:r>
      <w:r w:rsidR="003043EE" w:rsidRPr="009735D8">
        <w:rPr>
          <w:rFonts w:ascii="Verdana" w:hAnsi="Verdana"/>
          <w:b/>
          <w:i/>
          <w:sz w:val="26"/>
          <w:szCs w:val="26"/>
        </w:rPr>
        <w:t>xe</w:t>
      </w:r>
      <w:r w:rsidRPr="009735D8">
        <w:rPr>
          <w:rFonts w:ascii="Verdana" w:hAnsi="Verdana"/>
          <w:b/>
          <w:i/>
          <w:sz w:val="26"/>
          <w:szCs w:val="26"/>
        </w:rPr>
        <w:t xml:space="preserve"> fall</w:t>
      </w:r>
      <w:r w:rsidR="003043EE" w:rsidRPr="009735D8">
        <w:rPr>
          <w:rFonts w:ascii="Verdana" w:hAnsi="Verdana"/>
          <w:b/>
          <w:i/>
          <w:sz w:val="26"/>
          <w:szCs w:val="26"/>
        </w:rPr>
        <w:t>s</w:t>
      </w:r>
      <w:r w:rsidRPr="009735D8">
        <w:rPr>
          <w:rFonts w:ascii="Verdana" w:hAnsi="Verdana"/>
          <w:b/>
          <w:i/>
          <w:sz w:val="26"/>
          <w:szCs w:val="26"/>
        </w:rPr>
        <w:t xml:space="preserve">, it falls, and </w:t>
      </w:r>
      <w:r w:rsidR="003043EE" w:rsidRPr="009735D8">
        <w:rPr>
          <w:rFonts w:ascii="Verdana" w:hAnsi="Verdana"/>
          <w:b/>
          <w:i/>
          <w:sz w:val="26"/>
          <w:szCs w:val="26"/>
        </w:rPr>
        <w:t>a</w:t>
      </w:r>
      <w:r w:rsidRPr="009735D8">
        <w:rPr>
          <w:rFonts w:ascii="Verdana" w:hAnsi="Verdana"/>
          <w:b/>
          <w:i/>
          <w:sz w:val="26"/>
          <w:szCs w:val="26"/>
        </w:rPr>
        <w:t xml:space="preserve"> defendant who is fortunate enough to have acquired the benefit of the statute of limitation is entitled of course</w:t>
      </w:r>
      <w:r w:rsidR="003043EE" w:rsidRPr="009735D8">
        <w:rPr>
          <w:rFonts w:ascii="Verdana" w:hAnsi="Verdana"/>
          <w:b/>
          <w:i/>
          <w:sz w:val="26"/>
          <w:szCs w:val="26"/>
        </w:rPr>
        <w:t>,</w:t>
      </w:r>
      <w:r w:rsidRPr="009735D8">
        <w:rPr>
          <w:rFonts w:ascii="Verdana" w:hAnsi="Verdana"/>
          <w:b/>
          <w:i/>
          <w:sz w:val="26"/>
          <w:szCs w:val="26"/>
        </w:rPr>
        <w:t xml:space="preserve"> to insist on his strict rights.”</w:t>
      </w:r>
    </w:p>
    <w:p w:rsidR="00E3796C" w:rsidRPr="009735D8" w:rsidRDefault="00765392" w:rsidP="00765392">
      <w:pPr>
        <w:tabs>
          <w:tab w:val="left" w:pos="900"/>
        </w:tabs>
        <w:spacing w:line="360" w:lineRule="auto"/>
        <w:jc w:val="both"/>
        <w:rPr>
          <w:rFonts w:ascii="Verdana" w:hAnsi="Verdana"/>
          <w:sz w:val="26"/>
          <w:szCs w:val="26"/>
        </w:rPr>
      </w:pPr>
      <w:r w:rsidRPr="009735D8">
        <w:rPr>
          <w:rFonts w:ascii="Verdana" w:hAnsi="Verdana"/>
          <w:sz w:val="26"/>
          <w:szCs w:val="26"/>
        </w:rPr>
        <w:t xml:space="preserve">I will find that the new suit filed in 2012 was statute barred and the defendant has a right to enforce its benefit under the law. </w:t>
      </w:r>
    </w:p>
    <w:p w:rsidR="00E3796C" w:rsidRPr="009735D8" w:rsidRDefault="00E3796C" w:rsidP="00765392">
      <w:pPr>
        <w:tabs>
          <w:tab w:val="left" w:pos="900"/>
        </w:tabs>
        <w:spacing w:line="360" w:lineRule="auto"/>
        <w:jc w:val="both"/>
        <w:rPr>
          <w:rFonts w:ascii="Verdana" w:hAnsi="Verdana"/>
          <w:sz w:val="26"/>
          <w:szCs w:val="26"/>
        </w:rPr>
      </w:pPr>
    </w:p>
    <w:p w:rsidR="00E3796C" w:rsidRPr="009735D8" w:rsidRDefault="00765392" w:rsidP="00765392">
      <w:pPr>
        <w:tabs>
          <w:tab w:val="left" w:pos="900"/>
        </w:tabs>
        <w:spacing w:line="360" w:lineRule="auto"/>
        <w:jc w:val="both"/>
        <w:rPr>
          <w:rFonts w:ascii="Verdana" w:hAnsi="Verdana"/>
          <w:sz w:val="26"/>
          <w:szCs w:val="26"/>
        </w:rPr>
      </w:pPr>
      <w:r w:rsidRPr="009735D8">
        <w:rPr>
          <w:rFonts w:ascii="Verdana" w:hAnsi="Verdana"/>
          <w:sz w:val="26"/>
          <w:szCs w:val="26"/>
        </w:rPr>
        <w:t xml:space="preserve">Learned counsel for the plaintiff submitted that they pleaded disability because there was a debate whether the IGG could be sued or not. On this plea, I agree with the submission by Mr. Adrole that that plea is not available to the plaintiffs. It is not disputed that the plaintiffs served the </w:t>
      </w:r>
      <w:r w:rsidR="00E3796C" w:rsidRPr="009735D8">
        <w:rPr>
          <w:rFonts w:ascii="Verdana" w:hAnsi="Verdana"/>
          <w:sz w:val="26"/>
          <w:szCs w:val="26"/>
        </w:rPr>
        <w:t xml:space="preserve">Attorney General </w:t>
      </w:r>
      <w:r w:rsidRPr="009735D8">
        <w:rPr>
          <w:rFonts w:ascii="Verdana" w:hAnsi="Verdana"/>
          <w:sz w:val="26"/>
          <w:szCs w:val="26"/>
        </w:rPr>
        <w:t xml:space="preserve">with notice of intended suit and in that notice the suit was clearly against the Attorney </w:t>
      </w:r>
      <w:r w:rsidR="00E3796C" w:rsidRPr="009735D8">
        <w:rPr>
          <w:rFonts w:ascii="Verdana" w:hAnsi="Verdana"/>
          <w:sz w:val="26"/>
          <w:szCs w:val="26"/>
        </w:rPr>
        <w:t>Gene</w:t>
      </w:r>
      <w:r w:rsidRPr="009735D8">
        <w:rPr>
          <w:rFonts w:ascii="Verdana" w:hAnsi="Verdana"/>
          <w:sz w:val="26"/>
          <w:szCs w:val="26"/>
        </w:rPr>
        <w:t xml:space="preserve">ral. Therefore as far back as that time, the plaintiffs </w:t>
      </w:r>
      <w:r w:rsidR="00E3796C" w:rsidRPr="009735D8">
        <w:rPr>
          <w:rFonts w:ascii="Verdana" w:hAnsi="Verdana"/>
          <w:sz w:val="26"/>
          <w:szCs w:val="26"/>
        </w:rPr>
        <w:t>knew that</w:t>
      </w:r>
      <w:r w:rsidRPr="009735D8">
        <w:rPr>
          <w:rFonts w:ascii="Verdana" w:hAnsi="Verdana"/>
          <w:sz w:val="26"/>
          <w:szCs w:val="26"/>
        </w:rPr>
        <w:t xml:space="preserve"> they had to sue the learned </w:t>
      </w:r>
      <w:r w:rsidR="00E3796C" w:rsidRPr="009735D8">
        <w:rPr>
          <w:rFonts w:ascii="Verdana" w:hAnsi="Verdana"/>
          <w:sz w:val="26"/>
          <w:szCs w:val="26"/>
        </w:rPr>
        <w:t>Attorney General.</w:t>
      </w:r>
      <w:r w:rsidRPr="009735D8">
        <w:rPr>
          <w:rFonts w:ascii="Verdana" w:hAnsi="Verdana"/>
          <w:sz w:val="26"/>
          <w:szCs w:val="26"/>
        </w:rPr>
        <w:t xml:space="preserve"> </w:t>
      </w:r>
      <w:r w:rsidR="00E3796C" w:rsidRPr="009735D8">
        <w:rPr>
          <w:rFonts w:ascii="Verdana" w:hAnsi="Verdana"/>
          <w:sz w:val="26"/>
          <w:szCs w:val="26"/>
        </w:rPr>
        <w:t>It</w:t>
      </w:r>
      <w:r w:rsidRPr="009735D8">
        <w:rPr>
          <w:rFonts w:ascii="Verdana" w:hAnsi="Verdana"/>
          <w:sz w:val="26"/>
          <w:szCs w:val="26"/>
        </w:rPr>
        <w:t xml:space="preserve"> is not explained why they turned around and instead sued the IGG</w:t>
      </w:r>
      <w:r w:rsidR="00E3796C" w:rsidRPr="009735D8">
        <w:rPr>
          <w:rFonts w:ascii="Verdana" w:hAnsi="Verdana"/>
          <w:sz w:val="26"/>
          <w:szCs w:val="26"/>
        </w:rPr>
        <w:t>.</w:t>
      </w:r>
      <w:r w:rsidRPr="009735D8">
        <w:rPr>
          <w:rFonts w:ascii="Verdana" w:hAnsi="Verdana"/>
          <w:sz w:val="26"/>
          <w:szCs w:val="26"/>
        </w:rPr>
        <w:t xml:space="preserve"> </w:t>
      </w:r>
      <w:r w:rsidR="00E3796C" w:rsidRPr="009735D8">
        <w:rPr>
          <w:rFonts w:ascii="Verdana" w:hAnsi="Verdana"/>
          <w:sz w:val="26"/>
          <w:szCs w:val="26"/>
        </w:rPr>
        <w:t>By</w:t>
      </w:r>
      <w:r w:rsidRPr="009735D8">
        <w:rPr>
          <w:rFonts w:ascii="Verdana" w:hAnsi="Verdana"/>
          <w:sz w:val="26"/>
          <w:szCs w:val="26"/>
        </w:rPr>
        <w:t xml:space="preserve"> 2012, </w:t>
      </w:r>
      <w:r w:rsidR="00E3796C" w:rsidRPr="009735D8">
        <w:rPr>
          <w:rFonts w:ascii="Verdana" w:hAnsi="Verdana"/>
          <w:sz w:val="26"/>
          <w:szCs w:val="26"/>
        </w:rPr>
        <w:t>Arti</w:t>
      </w:r>
      <w:r w:rsidRPr="009735D8">
        <w:rPr>
          <w:rFonts w:ascii="Verdana" w:hAnsi="Verdana"/>
          <w:sz w:val="26"/>
          <w:szCs w:val="26"/>
        </w:rPr>
        <w:t>cle 250 of the constitution was in force. By 2006, one could not sue the IGG and learned counsel for the plaintiffs ought to have known th</w:t>
      </w:r>
      <w:r w:rsidR="00E3796C" w:rsidRPr="009735D8">
        <w:rPr>
          <w:rFonts w:ascii="Verdana" w:hAnsi="Verdana"/>
          <w:sz w:val="26"/>
          <w:szCs w:val="26"/>
        </w:rPr>
        <w:t>is</w:t>
      </w:r>
      <w:r w:rsidRPr="009735D8">
        <w:rPr>
          <w:rFonts w:ascii="Verdana" w:hAnsi="Verdana"/>
          <w:sz w:val="26"/>
          <w:szCs w:val="26"/>
        </w:rPr>
        <w:t>. Arguing that they did</w:t>
      </w:r>
      <w:r w:rsidR="00E3796C" w:rsidRPr="009735D8">
        <w:rPr>
          <w:rFonts w:ascii="Verdana" w:hAnsi="Verdana"/>
          <w:sz w:val="26"/>
          <w:szCs w:val="26"/>
        </w:rPr>
        <w:t xml:space="preserve"> </w:t>
      </w:r>
      <w:r w:rsidRPr="009735D8">
        <w:rPr>
          <w:rFonts w:ascii="Verdana" w:hAnsi="Verdana"/>
          <w:sz w:val="26"/>
          <w:szCs w:val="26"/>
        </w:rPr>
        <w:t>n</w:t>
      </w:r>
      <w:r w:rsidR="00E3796C" w:rsidRPr="009735D8">
        <w:rPr>
          <w:rFonts w:ascii="Verdana" w:hAnsi="Verdana"/>
          <w:sz w:val="26"/>
          <w:szCs w:val="26"/>
        </w:rPr>
        <w:t>o</w:t>
      </w:r>
      <w:r w:rsidRPr="009735D8">
        <w:rPr>
          <w:rFonts w:ascii="Verdana" w:hAnsi="Verdana"/>
          <w:sz w:val="26"/>
          <w:szCs w:val="26"/>
        </w:rPr>
        <w:t xml:space="preserve">t know </w:t>
      </w:r>
      <w:r w:rsidRPr="009735D8">
        <w:rPr>
          <w:rFonts w:ascii="Verdana" w:hAnsi="Verdana"/>
          <w:sz w:val="26"/>
          <w:szCs w:val="26"/>
        </w:rPr>
        <w:lastRenderedPageBreak/>
        <w:t xml:space="preserve">who to sue is a lame excuse which cannot be accepted by court. In any case ignorance of the law especially by </w:t>
      </w:r>
      <w:r w:rsidR="00E3796C" w:rsidRPr="009735D8">
        <w:rPr>
          <w:rFonts w:ascii="Verdana" w:hAnsi="Verdana"/>
          <w:sz w:val="26"/>
          <w:szCs w:val="26"/>
        </w:rPr>
        <w:t xml:space="preserve">an </w:t>
      </w:r>
      <w:r w:rsidRPr="009735D8">
        <w:rPr>
          <w:rFonts w:ascii="Verdana" w:hAnsi="Verdana"/>
          <w:sz w:val="26"/>
          <w:szCs w:val="26"/>
        </w:rPr>
        <w:t xml:space="preserve">advocate is no defence. </w:t>
      </w:r>
    </w:p>
    <w:p w:rsidR="00E3796C" w:rsidRPr="009735D8" w:rsidRDefault="00E3796C" w:rsidP="00765392">
      <w:pPr>
        <w:tabs>
          <w:tab w:val="left" w:pos="900"/>
        </w:tabs>
        <w:spacing w:line="360" w:lineRule="auto"/>
        <w:jc w:val="both"/>
        <w:rPr>
          <w:rFonts w:ascii="Verdana" w:hAnsi="Verdana"/>
          <w:sz w:val="26"/>
          <w:szCs w:val="26"/>
        </w:rPr>
      </w:pPr>
    </w:p>
    <w:p w:rsidR="00E3796C" w:rsidRPr="009735D8" w:rsidRDefault="00765392" w:rsidP="00765392">
      <w:pPr>
        <w:tabs>
          <w:tab w:val="left" w:pos="900"/>
        </w:tabs>
        <w:spacing w:line="360" w:lineRule="auto"/>
        <w:jc w:val="both"/>
        <w:rPr>
          <w:rFonts w:ascii="Verdana" w:hAnsi="Verdana"/>
          <w:sz w:val="26"/>
          <w:szCs w:val="26"/>
        </w:rPr>
      </w:pPr>
      <w:r w:rsidRPr="009735D8">
        <w:rPr>
          <w:rFonts w:ascii="Verdana" w:hAnsi="Verdana"/>
          <w:sz w:val="26"/>
          <w:szCs w:val="26"/>
        </w:rPr>
        <w:t>I agree with Mr. Adrole that the plea of disability is a mere cover up because the law was known t</w:t>
      </w:r>
      <w:r w:rsidR="00E3796C" w:rsidRPr="009735D8">
        <w:rPr>
          <w:rFonts w:ascii="Verdana" w:hAnsi="Verdana"/>
          <w:sz w:val="26"/>
          <w:szCs w:val="26"/>
        </w:rPr>
        <w:t>o</w:t>
      </w:r>
      <w:r w:rsidRPr="009735D8">
        <w:rPr>
          <w:rFonts w:ascii="Verdana" w:hAnsi="Verdana"/>
          <w:sz w:val="26"/>
          <w:szCs w:val="26"/>
        </w:rPr>
        <w:t xml:space="preserve"> the plaintiffs.</w:t>
      </w:r>
      <w:r w:rsidR="00E3796C" w:rsidRPr="009735D8">
        <w:rPr>
          <w:rFonts w:ascii="Verdana" w:hAnsi="Verdana"/>
          <w:sz w:val="26"/>
          <w:szCs w:val="26"/>
        </w:rPr>
        <w:t xml:space="preserve"> </w:t>
      </w:r>
      <w:r w:rsidRPr="009735D8">
        <w:rPr>
          <w:rFonts w:ascii="Verdana" w:hAnsi="Verdana"/>
          <w:sz w:val="26"/>
          <w:szCs w:val="26"/>
        </w:rPr>
        <w:t>I will reject th</w:t>
      </w:r>
      <w:r w:rsidR="00E3796C" w:rsidRPr="009735D8">
        <w:rPr>
          <w:rFonts w:ascii="Verdana" w:hAnsi="Verdana"/>
          <w:sz w:val="26"/>
          <w:szCs w:val="26"/>
        </w:rPr>
        <w:t>is</w:t>
      </w:r>
      <w:r w:rsidRPr="009735D8">
        <w:rPr>
          <w:rFonts w:ascii="Verdana" w:hAnsi="Verdana"/>
          <w:sz w:val="26"/>
          <w:szCs w:val="26"/>
        </w:rPr>
        <w:t xml:space="preserve"> plea because it does not show any reasonable ground for the plaintiffs to benefit from any exemption on grounds of disability. Deciding otherwise would be to overstretch the plea of disability. </w:t>
      </w:r>
    </w:p>
    <w:p w:rsidR="00E3796C" w:rsidRPr="009735D8" w:rsidRDefault="00E3796C" w:rsidP="00765392">
      <w:pPr>
        <w:tabs>
          <w:tab w:val="left" w:pos="900"/>
        </w:tabs>
        <w:spacing w:line="360" w:lineRule="auto"/>
        <w:jc w:val="both"/>
        <w:rPr>
          <w:rFonts w:ascii="Verdana" w:hAnsi="Verdana"/>
          <w:sz w:val="26"/>
          <w:szCs w:val="26"/>
        </w:rPr>
      </w:pPr>
    </w:p>
    <w:p w:rsidR="00765392" w:rsidRPr="009735D8" w:rsidRDefault="00765392" w:rsidP="00765392">
      <w:pPr>
        <w:tabs>
          <w:tab w:val="left" w:pos="900"/>
        </w:tabs>
        <w:spacing w:line="360" w:lineRule="auto"/>
        <w:jc w:val="both"/>
        <w:rPr>
          <w:rFonts w:ascii="Verdana" w:hAnsi="Verdana"/>
          <w:sz w:val="26"/>
          <w:szCs w:val="26"/>
        </w:rPr>
      </w:pPr>
      <w:r w:rsidRPr="009735D8">
        <w:rPr>
          <w:rFonts w:ascii="Verdana" w:hAnsi="Verdana"/>
          <w:sz w:val="26"/>
          <w:szCs w:val="26"/>
        </w:rPr>
        <w:t xml:space="preserve">Consequently I will uphold the preliminary objection by Mr. Adrole learned counsel for the defendant and reject this plaint </w:t>
      </w:r>
      <w:r w:rsidR="00E3796C" w:rsidRPr="009735D8">
        <w:rPr>
          <w:rFonts w:ascii="Verdana" w:hAnsi="Verdana"/>
          <w:sz w:val="26"/>
          <w:szCs w:val="26"/>
        </w:rPr>
        <w:t>under O. 7 r 11(d)</w:t>
      </w:r>
      <w:r w:rsidR="00D62EC8" w:rsidRPr="009735D8">
        <w:rPr>
          <w:rFonts w:ascii="Verdana" w:hAnsi="Verdana"/>
          <w:sz w:val="26"/>
          <w:szCs w:val="26"/>
        </w:rPr>
        <w:t xml:space="preserve"> of the Civil Procedure Rules. The suit is dismissed </w:t>
      </w:r>
      <w:r w:rsidRPr="009735D8">
        <w:rPr>
          <w:rFonts w:ascii="Verdana" w:hAnsi="Verdana"/>
          <w:sz w:val="26"/>
          <w:szCs w:val="26"/>
        </w:rPr>
        <w:t>with costs.</w:t>
      </w:r>
    </w:p>
    <w:p w:rsidR="00D62EC8" w:rsidRPr="009735D8" w:rsidRDefault="00D62EC8" w:rsidP="00E3796C">
      <w:pPr>
        <w:tabs>
          <w:tab w:val="left" w:pos="2295"/>
        </w:tabs>
        <w:rPr>
          <w:rFonts w:ascii="Verdana" w:hAnsi="Verdana"/>
          <w:b/>
          <w:sz w:val="26"/>
          <w:szCs w:val="26"/>
        </w:rPr>
      </w:pPr>
    </w:p>
    <w:p w:rsidR="00D62EC8" w:rsidRPr="009735D8" w:rsidRDefault="00D62EC8" w:rsidP="00E3796C">
      <w:pPr>
        <w:tabs>
          <w:tab w:val="left" w:pos="2295"/>
        </w:tabs>
        <w:rPr>
          <w:rFonts w:ascii="Verdana" w:hAnsi="Verdana"/>
          <w:b/>
          <w:sz w:val="26"/>
          <w:szCs w:val="26"/>
        </w:rPr>
      </w:pPr>
    </w:p>
    <w:p w:rsidR="00E3796C" w:rsidRPr="009735D8" w:rsidRDefault="00E3796C" w:rsidP="00E3796C">
      <w:pPr>
        <w:tabs>
          <w:tab w:val="left" w:pos="2295"/>
        </w:tabs>
        <w:rPr>
          <w:rFonts w:ascii="Verdana" w:hAnsi="Verdana"/>
          <w:b/>
          <w:sz w:val="26"/>
          <w:szCs w:val="26"/>
        </w:rPr>
      </w:pPr>
      <w:r w:rsidRPr="009735D8">
        <w:rPr>
          <w:rFonts w:ascii="Verdana" w:hAnsi="Verdana"/>
          <w:b/>
          <w:sz w:val="26"/>
          <w:szCs w:val="26"/>
        </w:rPr>
        <w:t>S</w:t>
      </w:r>
      <w:r w:rsidR="00765392" w:rsidRPr="009735D8">
        <w:rPr>
          <w:rFonts w:ascii="Verdana" w:hAnsi="Verdana"/>
          <w:b/>
          <w:sz w:val="26"/>
          <w:szCs w:val="26"/>
        </w:rPr>
        <w:t>tephen Musota</w:t>
      </w:r>
    </w:p>
    <w:p w:rsidR="00765392" w:rsidRPr="009735D8" w:rsidRDefault="00E3796C" w:rsidP="00E3796C">
      <w:pPr>
        <w:tabs>
          <w:tab w:val="left" w:pos="2295"/>
        </w:tabs>
        <w:rPr>
          <w:rFonts w:ascii="Verdana" w:hAnsi="Verdana"/>
          <w:b/>
          <w:sz w:val="26"/>
          <w:szCs w:val="26"/>
        </w:rPr>
      </w:pPr>
      <w:r w:rsidRPr="009735D8">
        <w:rPr>
          <w:rFonts w:ascii="Verdana" w:hAnsi="Verdana"/>
          <w:b/>
          <w:sz w:val="26"/>
          <w:szCs w:val="26"/>
        </w:rPr>
        <w:t>J U D G E</w:t>
      </w:r>
    </w:p>
    <w:p w:rsidR="00765392" w:rsidRPr="009735D8" w:rsidRDefault="00765392" w:rsidP="00E3796C">
      <w:pPr>
        <w:tabs>
          <w:tab w:val="left" w:pos="2295"/>
        </w:tabs>
        <w:rPr>
          <w:rFonts w:ascii="Verdana" w:hAnsi="Verdana"/>
          <w:b/>
          <w:sz w:val="26"/>
          <w:szCs w:val="26"/>
        </w:rPr>
      </w:pPr>
      <w:r w:rsidRPr="009735D8">
        <w:rPr>
          <w:rFonts w:ascii="Verdana" w:hAnsi="Verdana"/>
          <w:b/>
          <w:sz w:val="26"/>
          <w:szCs w:val="26"/>
        </w:rPr>
        <w:t>07</w:t>
      </w:r>
      <w:r w:rsidR="00E3796C" w:rsidRPr="009735D8">
        <w:rPr>
          <w:rFonts w:ascii="Verdana" w:hAnsi="Verdana"/>
          <w:b/>
          <w:sz w:val="26"/>
          <w:szCs w:val="26"/>
        </w:rPr>
        <w:t>.</w:t>
      </w:r>
      <w:r w:rsidRPr="009735D8">
        <w:rPr>
          <w:rFonts w:ascii="Verdana" w:hAnsi="Verdana"/>
          <w:b/>
          <w:sz w:val="26"/>
          <w:szCs w:val="26"/>
        </w:rPr>
        <w:t>10</w:t>
      </w:r>
      <w:r w:rsidR="00E3796C" w:rsidRPr="009735D8">
        <w:rPr>
          <w:rFonts w:ascii="Verdana" w:hAnsi="Verdana"/>
          <w:b/>
          <w:sz w:val="26"/>
          <w:szCs w:val="26"/>
        </w:rPr>
        <w:t>.</w:t>
      </w:r>
      <w:r w:rsidRPr="009735D8">
        <w:rPr>
          <w:rFonts w:ascii="Verdana" w:hAnsi="Verdana"/>
          <w:b/>
          <w:sz w:val="26"/>
          <w:szCs w:val="26"/>
        </w:rPr>
        <w:t>2014.</w:t>
      </w:r>
    </w:p>
    <w:p w:rsidR="004D4775" w:rsidRPr="009735D8" w:rsidRDefault="004D4775">
      <w:pPr>
        <w:rPr>
          <w:rFonts w:ascii="Verdana" w:hAnsi="Verdana"/>
          <w:sz w:val="26"/>
          <w:szCs w:val="26"/>
        </w:rPr>
      </w:pPr>
    </w:p>
    <w:sectPr w:rsidR="004D4775" w:rsidRPr="009735D8" w:rsidSect="004D477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234" w:rsidRDefault="00584234" w:rsidP="009735D8">
      <w:pPr>
        <w:spacing w:after="0" w:line="240" w:lineRule="auto"/>
      </w:pPr>
      <w:r>
        <w:separator/>
      </w:r>
    </w:p>
  </w:endnote>
  <w:endnote w:type="continuationSeparator" w:id="1">
    <w:p w:rsidR="00584234" w:rsidRDefault="00584234" w:rsidP="0097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2626"/>
      <w:docPartObj>
        <w:docPartGallery w:val="Page Numbers (Bottom of Page)"/>
        <w:docPartUnique/>
      </w:docPartObj>
    </w:sdtPr>
    <w:sdtContent>
      <w:p w:rsidR="009735D8" w:rsidRDefault="001E1AEE">
        <w:pPr>
          <w:pStyle w:val="Footer"/>
          <w:jc w:val="center"/>
        </w:pPr>
        <w:fldSimple w:instr=" PAGE   \* MERGEFORMAT ">
          <w:r w:rsidR="00175BE4">
            <w:rPr>
              <w:noProof/>
            </w:rPr>
            <w:t>1</w:t>
          </w:r>
        </w:fldSimple>
      </w:p>
    </w:sdtContent>
  </w:sdt>
  <w:p w:rsidR="009735D8" w:rsidRDefault="00973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234" w:rsidRDefault="00584234" w:rsidP="009735D8">
      <w:pPr>
        <w:spacing w:after="0" w:line="240" w:lineRule="auto"/>
      </w:pPr>
      <w:r>
        <w:separator/>
      </w:r>
    </w:p>
  </w:footnote>
  <w:footnote w:type="continuationSeparator" w:id="1">
    <w:p w:rsidR="00584234" w:rsidRDefault="00584234" w:rsidP="0097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A41178"/>
    <w:multiLevelType w:val="hybridMultilevel"/>
    <w:tmpl w:val="DCE61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765392"/>
    <w:rsid w:val="00025891"/>
    <w:rsid w:val="001531A3"/>
    <w:rsid w:val="00175BE4"/>
    <w:rsid w:val="001B55CC"/>
    <w:rsid w:val="001E1AEE"/>
    <w:rsid w:val="001E2D0C"/>
    <w:rsid w:val="003043EE"/>
    <w:rsid w:val="003F1804"/>
    <w:rsid w:val="004117AC"/>
    <w:rsid w:val="004D4775"/>
    <w:rsid w:val="00584234"/>
    <w:rsid w:val="006234FA"/>
    <w:rsid w:val="00765392"/>
    <w:rsid w:val="008E5F4E"/>
    <w:rsid w:val="0095702A"/>
    <w:rsid w:val="00962EF4"/>
    <w:rsid w:val="009735D8"/>
    <w:rsid w:val="00AA2EAF"/>
    <w:rsid w:val="00AB6790"/>
    <w:rsid w:val="00B05218"/>
    <w:rsid w:val="00BA478B"/>
    <w:rsid w:val="00C452EC"/>
    <w:rsid w:val="00D62EC8"/>
    <w:rsid w:val="00E11A22"/>
    <w:rsid w:val="00E3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D8"/>
    <w:pPr>
      <w:ind w:left="720"/>
      <w:contextualSpacing/>
    </w:pPr>
  </w:style>
  <w:style w:type="paragraph" w:styleId="Header">
    <w:name w:val="header"/>
    <w:basedOn w:val="Normal"/>
    <w:link w:val="HeaderChar"/>
    <w:uiPriority w:val="99"/>
    <w:semiHidden/>
    <w:unhideWhenUsed/>
    <w:rsid w:val="00973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5D8"/>
  </w:style>
  <w:style w:type="paragraph" w:styleId="Footer">
    <w:name w:val="footer"/>
    <w:basedOn w:val="Normal"/>
    <w:link w:val="FooterChar"/>
    <w:uiPriority w:val="99"/>
    <w:unhideWhenUsed/>
    <w:rsid w:val="0097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5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2014-10-15T06:41:00Z</cp:lastPrinted>
  <dcterms:created xsi:type="dcterms:W3CDTF">2014-12-03T08:56:00Z</dcterms:created>
  <dcterms:modified xsi:type="dcterms:W3CDTF">2014-12-03T08:56:00Z</dcterms:modified>
</cp:coreProperties>
</file>