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2AB" w:rsidRPr="00847AC1" w:rsidRDefault="00B152AB" w:rsidP="00B152AB">
      <w:pPr>
        <w:jc w:val="center"/>
        <w:rPr>
          <w:rFonts w:ascii="Times New Roman" w:hAnsi="Times New Roman" w:cs="Times New Roman"/>
          <w:b/>
          <w:sz w:val="24"/>
          <w:szCs w:val="24"/>
          <w:u w:val="single"/>
        </w:rPr>
      </w:pPr>
      <w:r w:rsidRPr="00847AC1">
        <w:rPr>
          <w:rFonts w:ascii="Times New Roman" w:hAnsi="Times New Roman" w:cs="Times New Roman"/>
          <w:b/>
          <w:sz w:val="24"/>
          <w:szCs w:val="24"/>
          <w:u w:val="single"/>
        </w:rPr>
        <w:t>THE REPUBLIC OF UGANDA</w:t>
      </w:r>
    </w:p>
    <w:p w:rsidR="00B152AB" w:rsidRPr="00847AC1" w:rsidRDefault="00B152AB" w:rsidP="00B152AB">
      <w:pPr>
        <w:jc w:val="center"/>
        <w:rPr>
          <w:rFonts w:ascii="Times New Roman" w:hAnsi="Times New Roman" w:cs="Times New Roman"/>
          <w:b/>
          <w:sz w:val="24"/>
          <w:szCs w:val="24"/>
          <w:u w:val="single"/>
        </w:rPr>
      </w:pPr>
      <w:r w:rsidRPr="00847AC1">
        <w:rPr>
          <w:rFonts w:ascii="Times New Roman" w:hAnsi="Times New Roman" w:cs="Times New Roman"/>
          <w:b/>
          <w:sz w:val="24"/>
          <w:szCs w:val="24"/>
          <w:u w:val="single"/>
        </w:rPr>
        <w:t>IN THE HIGH COURT OF UGANDA AT KAMPALA</w:t>
      </w:r>
    </w:p>
    <w:p w:rsidR="0070223A" w:rsidRPr="00847AC1" w:rsidRDefault="0070223A" w:rsidP="00B152AB">
      <w:pPr>
        <w:pStyle w:val="NormalWeb"/>
        <w:jc w:val="center"/>
        <w:rPr>
          <w:b/>
          <w:bCs/>
        </w:rPr>
      </w:pPr>
      <w:r w:rsidRPr="00847AC1">
        <w:rPr>
          <w:b/>
          <w:bCs/>
        </w:rPr>
        <w:t xml:space="preserve">MISC. APPLICATION NO. </w:t>
      </w:r>
      <w:r w:rsidR="000A5A95" w:rsidRPr="00847AC1">
        <w:rPr>
          <w:b/>
          <w:bCs/>
        </w:rPr>
        <w:t>45</w:t>
      </w:r>
      <w:r w:rsidRPr="00847AC1">
        <w:rPr>
          <w:b/>
          <w:bCs/>
        </w:rPr>
        <w:t>6 OF 201</w:t>
      </w:r>
      <w:r w:rsidR="000A5A95" w:rsidRPr="00847AC1">
        <w:rPr>
          <w:b/>
          <w:bCs/>
        </w:rPr>
        <w:t>2</w:t>
      </w:r>
    </w:p>
    <w:p w:rsidR="00B152AB" w:rsidRPr="00847AC1" w:rsidRDefault="0070223A" w:rsidP="00B152AB">
      <w:pPr>
        <w:pStyle w:val="NormalWeb"/>
        <w:jc w:val="center"/>
        <w:rPr>
          <w:b/>
          <w:bCs/>
        </w:rPr>
      </w:pPr>
      <w:r w:rsidRPr="00847AC1">
        <w:rPr>
          <w:b/>
          <w:bCs/>
        </w:rPr>
        <w:t>(A</w:t>
      </w:r>
      <w:r w:rsidR="00397AAA" w:rsidRPr="00847AC1">
        <w:rPr>
          <w:b/>
          <w:bCs/>
        </w:rPr>
        <w:t xml:space="preserve">rising from </w:t>
      </w:r>
      <w:r w:rsidR="00B152AB" w:rsidRPr="00847AC1">
        <w:rPr>
          <w:b/>
          <w:bCs/>
        </w:rPr>
        <w:t>C</w:t>
      </w:r>
      <w:r w:rsidR="00397AAA" w:rsidRPr="00847AC1">
        <w:rPr>
          <w:b/>
          <w:bCs/>
        </w:rPr>
        <w:t>ivil</w:t>
      </w:r>
      <w:r w:rsidR="00B152AB" w:rsidRPr="00847AC1">
        <w:rPr>
          <w:b/>
          <w:bCs/>
        </w:rPr>
        <w:t xml:space="preserve"> S</w:t>
      </w:r>
      <w:r w:rsidR="00397AAA" w:rsidRPr="00847AC1">
        <w:rPr>
          <w:b/>
          <w:bCs/>
        </w:rPr>
        <w:t>uit</w:t>
      </w:r>
      <w:r w:rsidR="00B152AB" w:rsidRPr="00847AC1">
        <w:rPr>
          <w:b/>
          <w:bCs/>
        </w:rPr>
        <w:t xml:space="preserve"> N</w:t>
      </w:r>
      <w:r w:rsidR="00397AAA" w:rsidRPr="00847AC1">
        <w:rPr>
          <w:b/>
          <w:bCs/>
        </w:rPr>
        <w:t>o</w:t>
      </w:r>
      <w:r w:rsidR="00B152AB" w:rsidRPr="00847AC1">
        <w:rPr>
          <w:b/>
          <w:bCs/>
        </w:rPr>
        <w:t xml:space="preserve">. </w:t>
      </w:r>
      <w:r w:rsidR="000A5A95" w:rsidRPr="00847AC1">
        <w:rPr>
          <w:b/>
          <w:bCs/>
        </w:rPr>
        <w:t>222</w:t>
      </w:r>
      <w:r w:rsidR="00397AAA" w:rsidRPr="00847AC1">
        <w:rPr>
          <w:b/>
          <w:bCs/>
        </w:rPr>
        <w:t xml:space="preserve"> of </w:t>
      </w:r>
      <w:r w:rsidR="00B152AB" w:rsidRPr="00847AC1">
        <w:rPr>
          <w:b/>
          <w:bCs/>
        </w:rPr>
        <w:t>20</w:t>
      </w:r>
      <w:r w:rsidRPr="00847AC1">
        <w:rPr>
          <w:b/>
          <w:bCs/>
        </w:rPr>
        <w:t>1</w:t>
      </w:r>
      <w:r w:rsidR="000A5A95" w:rsidRPr="00847AC1">
        <w:rPr>
          <w:b/>
          <w:bCs/>
        </w:rPr>
        <w:t>2</w:t>
      </w:r>
      <w:r w:rsidRPr="00847AC1">
        <w:rPr>
          <w:b/>
          <w:bCs/>
        </w:rPr>
        <w:t>)</w:t>
      </w:r>
    </w:p>
    <w:p w:rsidR="00B152AB" w:rsidRPr="00847AC1" w:rsidRDefault="00B152AB" w:rsidP="00B152AB">
      <w:pPr>
        <w:pStyle w:val="NormalWeb"/>
        <w:rPr>
          <w:b/>
          <w:bCs/>
        </w:rPr>
      </w:pPr>
      <w:r w:rsidRPr="00847AC1">
        <w:rPr>
          <w:b/>
          <w:bCs/>
        </w:rPr>
        <w:t>M</w:t>
      </w:r>
      <w:r w:rsidR="000A5A95" w:rsidRPr="00847AC1">
        <w:rPr>
          <w:b/>
          <w:bCs/>
        </w:rPr>
        <w:t>IREMBE REBECCA MATOVU</w:t>
      </w:r>
      <w:r w:rsidRPr="00847AC1">
        <w:rPr>
          <w:b/>
          <w:bCs/>
        </w:rPr>
        <w:t xml:space="preserve"> .........................................................</w:t>
      </w:r>
      <w:r w:rsidR="000A5A95" w:rsidRPr="00847AC1">
        <w:rPr>
          <w:b/>
          <w:bCs/>
        </w:rPr>
        <w:t>.......</w:t>
      </w:r>
      <w:r w:rsidRPr="00847AC1">
        <w:rPr>
          <w:b/>
          <w:bCs/>
        </w:rPr>
        <w:t xml:space="preserve"> APPLICANT </w:t>
      </w:r>
    </w:p>
    <w:p w:rsidR="00B152AB" w:rsidRPr="00847AC1" w:rsidRDefault="00B152AB" w:rsidP="00B152AB">
      <w:pPr>
        <w:pStyle w:val="NormalWeb"/>
        <w:jc w:val="center"/>
        <w:rPr>
          <w:b/>
          <w:bCs/>
        </w:rPr>
      </w:pPr>
      <w:r w:rsidRPr="00847AC1">
        <w:rPr>
          <w:b/>
          <w:bCs/>
        </w:rPr>
        <w:t>VERSUS</w:t>
      </w:r>
    </w:p>
    <w:p w:rsidR="00B152AB" w:rsidRPr="00847AC1" w:rsidRDefault="000A5A95" w:rsidP="00B152AB">
      <w:pPr>
        <w:pStyle w:val="NormalWeb"/>
        <w:jc w:val="center"/>
      </w:pPr>
      <w:r w:rsidRPr="00847AC1">
        <w:rPr>
          <w:b/>
          <w:bCs/>
        </w:rPr>
        <w:t xml:space="preserve">STANDARD CHARTERED BANK (U) LTD &amp; ANOTHER </w:t>
      </w:r>
      <w:r w:rsidR="00B152AB" w:rsidRPr="00847AC1">
        <w:rPr>
          <w:b/>
          <w:bCs/>
        </w:rPr>
        <w:t>.</w:t>
      </w:r>
      <w:r w:rsidRPr="00847AC1">
        <w:rPr>
          <w:b/>
          <w:bCs/>
        </w:rPr>
        <w:t>...................</w:t>
      </w:r>
      <w:r w:rsidR="00B152AB" w:rsidRPr="00847AC1">
        <w:rPr>
          <w:b/>
          <w:bCs/>
        </w:rPr>
        <w:t xml:space="preserve"> RESPONDENT</w:t>
      </w:r>
      <w:r w:rsidRPr="00847AC1">
        <w:rPr>
          <w:b/>
          <w:bCs/>
        </w:rPr>
        <w:t>S</w:t>
      </w:r>
    </w:p>
    <w:p w:rsidR="00B152AB" w:rsidRPr="00847AC1" w:rsidRDefault="00B152AB" w:rsidP="00B152AB">
      <w:pPr>
        <w:jc w:val="both"/>
        <w:rPr>
          <w:rFonts w:ascii="Times New Roman" w:hAnsi="Times New Roman" w:cs="Times New Roman"/>
          <w:b/>
          <w:bCs/>
          <w:sz w:val="24"/>
          <w:szCs w:val="24"/>
        </w:rPr>
      </w:pPr>
    </w:p>
    <w:p w:rsidR="00B152AB" w:rsidRPr="00847AC1" w:rsidRDefault="00B152AB" w:rsidP="00B152AB">
      <w:pPr>
        <w:jc w:val="center"/>
        <w:rPr>
          <w:rFonts w:ascii="Times New Roman" w:hAnsi="Times New Roman" w:cs="Times New Roman"/>
          <w:b/>
          <w:bCs/>
          <w:sz w:val="24"/>
          <w:szCs w:val="24"/>
          <w:u w:val="single"/>
        </w:rPr>
      </w:pPr>
      <w:r w:rsidRPr="00847AC1">
        <w:rPr>
          <w:rFonts w:ascii="Times New Roman" w:hAnsi="Times New Roman" w:cs="Times New Roman"/>
          <w:b/>
          <w:bCs/>
          <w:sz w:val="24"/>
          <w:szCs w:val="24"/>
          <w:u w:val="single"/>
        </w:rPr>
        <w:t>Hon. Lady Justice Monica K. Mugenyi</w:t>
      </w:r>
    </w:p>
    <w:p w:rsidR="00B152AB" w:rsidRPr="00847AC1" w:rsidRDefault="00B152AB" w:rsidP="00B152AB">
      <w:pPr>
        <w:jc w:val="center"/>
        <w:rPr>
          <w:rFonts w:ascii="Times New Roman" w:hAnsi="Times New Roman" w:cs="Times New Roman"/>
          <w:b/>
          <w:sz w:val="24"/>
          <w:szCs w:val="24"/>
          <w:u w:val="single"/>
        </w:rPr>
      </w:pPr>
      <w:r w:rsidRPr="00847AC1">
        <w:rPr>
          <w:rFonts w:ascii="Times New Roman" w:hAnsi="Times New Roman" w:cs="Times New Roman"/>
          <w:b/>
          <w:sz w:val="24"/>
          <w:szCs w:val="24"/>
          <w:u w:val="single"/>
        </w:rPr>
        <w:t>RULING</w:t>
      </w:r>
    </w:p>
    <w:p w:rsidR="00243BCF" w:rsidRPr="00847AC1" w:rsidRDefault="00B152AB" w:rsidP="00243BCF">
      <w:pPr>
        <w:jc w:val="both"/>
        <w:rPr>
          <w:rFonts w:ascii="Times New Roman" w:hAnsi="Times New Roman" w:cs="Times New Roman"/>
          <w:sz w:val="24"/>
          <w:szCs w:val="24"/>
        </w:rPr>
      </w:pPr>
      <w:r w:rsidRPr="00847AC1">
        <w:rPr>
          <w:rFonts w:ascii="Times New Roman" w:hAnsi="Times New Roman" w:cs="Times New Roman"/>
          <w:sz w:val="24"/>
          <w:szCs w:val="24"/>
        </w:rPr>
        <w:t xml:space="preserve">The applicant </w:t>
      </w:r>
      <w:r w:rsidR="005C1288" w:rsidRPr="00847AC1">
        <w:rPr>
          <w:rFonts w:ascii="Times New Roman" w:hAnsi="Times New Roman" w:cs="Times New Roman"/>
          <w:sz w:val="24"/>
          <w:szCs w:val="24"/>
        </w:rPr>
        <w:t>instituted legal proceedings against the respondent seeking a permanent injunction against the latter in respect of the sale of property that was the subject of a mortgage with the respondent bank.</w:t>
      </w:r>
      <w:r w:rsidRPr="00847AC1">
        <w:rPr>
          <w:rFonts w:ascii="Times New Roman" w:hAnsi="Times New Roman" w:cs="Times New Roman"/>
          <w:sz w:val="24"/>
          <w:szCs w:val="24"/>
        </w:rPr>
        <w:t xml:space="preserve"> </w:t>
      </w:r>
      <w:r w:rsidR="00832A14" w:rsidRPr="00847AC1">
        <w:rPr>
          <w:rFonts w:ascii="Times New Roman" w:hAnsi="Times New Roman" w:cs="Times New Roman"/>
          <w:sz w:val="24"/>
          <w:szCs w:val="24"/>
        </w:rPr>
        <w:t xml:space="preserve"> </w:t>
      </w:r>
      <w:r w:rsidR="005C1288" w:rsidRPr="00847AC1">
        <w:rPr>
          <w:rFonts w:ascii="Times New Roman" w:hAnsi="Times New Roman" w:cs="Times New Roman"/>
          <w:sz w:val="24"/>
          <w:szCs w:val="24"/>
        </w:rPr>
        <w:t xml:space="preserve">The </w:t>
      </w:r>
      <w:r w:rsidR="00832A14" w:rsidRPr="00847AC1">
        <w:rPr>
          <w:rFonts w:ascii="Times New Roman" w:hAnsi="Times New Roman" w:cs="Times New Roman"/>
          <w:sz w:val="24"/>
          <w:szCs w:val="24"/>
        </w:rPr>
        <w:t>1</w:t>
      </w:r>
      <w:r w:rsidR="00832A14" w:rsidRPr="00847AC1">
        <w:rPr>
          <w:rFonts w:ascii="Times New Roman" w:hAnsi="Times New Roman" w:cs="Times New Roman"/>
          <w:sz w:val="24"/>
          <w:szCs w:val="24"/>
          <w:vertAlign w:val="superscript"/>
        </w:rPr>
        <w:t>st</w:t>
      </w:r>
      <w:r w:rsidR="00832A14" w:rsidRPr="00847AC1">
        <w:rPr>
          <w:rFonts w:ascii="Times New Roman" w:hAnsi="Times New Roman" w:cs="Times New Roman"/>
          <w:sz w:val="24"/>
          <w:szCs w:val="24"/>
        </w:rPr>
        <w:t xml:space="preserve"> </w:t>
      </w:r>
      <w:r w:rsidR="005C1288" w:rsidRPr="00847AC1">
        <w:rPr>
          <w:rFonts w:ascii="Times New Roman" w:hAnsi="Times New Roman" w:cs="Times New Roman"/>
          <w:sz w:val="24"/>
          <w:szCs w:val="24"/>
        </w:rPr>
        <w:t xml:space="preserve">respondent bank sought to sale the mortgaged property upon the default by the applicant of his </w:t>
      </w:r>
      <w:r w:rsidR="00832A14" w:rsidRPr="00847AC1">
        <w:rPr>
          <w:rFonts w:ascii="Times New Roman" w:hAnsi="Times New Roman" w:cs="Times New Roman"/>
          <w:sz w:val="24"/>
          <w:szCs w:val="24"/>
        </w:rPr>
        <w:t>loan re</w:t>
      </w:r>
      <w:r w:rsidR="005C1288" w:rsidRPr="00847AC1">
        <w:rPr>
          <w:rFonts w:ascii="Times New Roman" w:hAnsi="Times New Roman" w:cs="Times New Roman"/>
          <w:sz w:val="24"/>
          <w:szCs w:val="24"/>
        </w:rPr>
        <w:t xml:space="preserve">payment obligations towards the mortgage.  </w:t>
      </w:r>
      <w:r w:rsidR="00243BCF" w:rsidRPr="00847AC1">
        <w:rPr>
          <w:rFonts w:ascii="Times New Roman" w:hAnsi="Times New Roman" w:cs="Times New Roman"/>
          <w:sz w:val="24"/>
          <w:szCs w:val="24"/>
        </w:rPr>
        <w:t>The present application for a temporary injunction was subsequently instituted by the applicant as an interim measure pending the determination of the substantive suit.</w:t>
      </w:r>
    </w:p>
    <w:p w:rsidR="002A5758" w:rsidRPr="00847AC1" w:rsidRDefault="002A5758" w:rsidP="002A5758">
      <w:pPr>
        <w:jc w:val="both"/>
        <w:rPr>
          <w:rFonts w:ascii="Times New Roman" w:hAnsi="Times New Roman" w:cs="Times New Roman"/>
          <w:sz w:val="24"/>
          <w:szCs w:val="24"/>
        </w:rPr>
      </w:pPr>
      <w:r w:rsidRPr="00847AC1">
        <w:rPr>
          <w:rFonts w:ascii="Times New Roman" w:hAnsi="Times New Roman" w:cs="Times New Roman"/>
          <w:sz w:val="24"/>
          <w:szCs w:val="24"/>
        </w:rPr>
        <w:t>The background to this application is that in May 2006 the 2</w:t>
      </w:r>
      <w:r w:rsidRPr="00847AC1">
        <w:rPr>
          <w:rFonts w:ascii="Times New Roman" w:hAnsi="Times New Roman" w:cs="Times New Roman"/>
          <w:sz w:val="24"/>
          <w:szCs w:val="24"/>
          <w:vertAlign w:val="superscript"/>
        </w:rPr>
        <w:t>nd</w:t>
      </w:r>
      <w:r w:rsidRPr="00847AC1">
        <w:rPr>
          <w:rFonts w:ascii="Times New Roman" w:hAnsi="Times New Roman" w:cs="Times New Roman"/>
          <w:sz w:val="24"/>
          <w:szCs w:val="24"/>
        </w:rPr>
        <w:t xml:space="preserve"> respondent created a mortgage with the 1</w:t>
      </w:r>
      <w:r w:rsidRPr="00847AC1">
        <w:rPr>
          <w:rFonts w:ascii="Times New Roman" w:hAnsi="Times New Roman" w:cs="Times New Roman"/>
          <w:sz w:val="24"/>
          <w:szCs w:val="24"/>
          <w:vertAlign w:val="superscript"/>
        </w:rPr>
        <w:t>st</w:t>
      </w:r>
      <w:r w:rsidRPr="00847AC1">
        <w:rPr>
          <w:rFonts w:ascii="Times New Roman" w:hAnsi="Times New Roman" w:cs="Times New Roman"/>
          <w:sz w:val="24"/>
          <w:szCs w:val="24"/>
        </w:rPr>
        <w:t xml:space="preserve"> respondent bank in respect of the suit premises for the sum of Ushs. 133,000,000/=.  In April 2007 the 2</w:t>
      </w:r>
      <w:r w:rsidRPr="00847AC1">
        <w:rPr>
          <w:rFonts w:ascii="Times New Roman" w:hAnsi="Times New Roman" w:cs="Times New Roman"/>
          <w:sz w:val="24"/>
          <w:szCs w:val="24"/>
          <w:vertAlign w:val="superscript"/>
        </w:rPr>
        <w:t>nd</w:t>
      </w:r>
      <w:r w:rsidRPr="00847AC1">
        <w:rPr>
          <w:rFonts w:ascii="Times New Roman" w:hAnsi="Times New Roman" w:cs="Times New Roman"/>
          <w:sz w:val="24"/>
          <w:szCs w:val="24"/>
        </w:rPr>
        <w:t xml:space="preserve"> respondent executed an additional loan facility with the same bank and in respect of the same premises for an additional Ushs. 182,740,627/=.  The 2</w:t>
      </w:r>
      <w:r w:rsidRPr="00847AC1">
        <w:rPr>
          <w:rFonts w:ascii="Times New Roman" w:hAnsi="Times New Roman" w:cs="Times New Roman"/>
          <w:sz w:val="24"/>
          <w:szCs w:val="24"/>
          <w:vertAlign w:val="superscript"/>
        </w:rPr>
        <w:t>nd</w:t>
      </w:r>
      <w:r w:rsidRPr="00847AC1">
        <w:rPr>
          <w:rFonts w:ascii="Times New Roman" w:hAnsi="Times New Roman" w:cs="Times New Roman"/>
          <w:sz w:val="24"/>
          <w:szCs w:val="24"/>
        </w:rPr>
        <w:t xml:space="preserve"> respondent defaulted on his loan obligations to the 1</w:t>
      </w:r>
      <w:r w:rsidRPr="00847AC1">
        <w:rPr>
          <w:rFonts w:ascii="Times New Roman" w:hAnsi="Times New Roman" w:cs="Times New Roman"/>
          <w:sz w:val="24"/>
          <w:szCs w:val="24"/>
          <w:vertAlign w:val="superscript"/>
        </w:rPr>
        <w:t>st</w:t>
      </w:r>
      <w:r w:rsidRPr="00847AC1">
        <w:rPr>
          <w:rFonts w:ascii="Times New Roman" w:hAnsi="Times New Roman" w:cs="Times New Roman"/>
          <w:sz w:val="24"/>
          <w:szCs w:val="24"/>
        </w:rPr>
        <w:t xml:space="preserve"> respondent whereupon the latter sought to sale the suit property to realise the loan amount.  The applicant, the 2</w:t>
      </w:r>
      <w:r w:rsidRPr="00847AC1">
        <w:rPr>
          <w:rFonts w:ascii="Times New Roman" w:hAnsi="Times New Roman" w:cs="Times New Roman"/>
          <w:sz w:val="24"/>
          <w:szCs w:val="24"/>
          <w:vertAlign w:val="superscript"/>
        </w:rPr>
        <w:t>nd</w:t>
      </w:r>
      <w:r w:rsidRPr="00847AC1">
        <w:rPr>
          <w:rFonts w:ascii="Times New Roman" w:hAnsi="Times New Roman" w:cs="Times New Roman"/>
          <w:sz w:val="24"/>
          <w:szCs w:val="24"/>
        </w:rPr>
        <w:t xml:space="preserve"> respondent’s wife, then lodged a suit seeking a permanent injunction against the sale of her matrimonial home by the 1</w:t>
      </w:r>
      <w:r w:rsidRPr="00847AC1">
        <w:rPr>
          <w:rFonts w:ascii="Times New Roman" w:hAnsi="Times New Roman" w:cs="Times New Roman"/>
          <w:sz w:val="24"/>
          <w:szCs w:val="24"/>
          <w:vertAlign w:val="superscript"/>
        </w:rPr>
        <w:t>st</w:t>
      </w:r>
      <w:r w:rsidRPr="00847AC1">
        <w:rPr>
          <w:rFonts w:ascii="Times New Roman" w:hAnsi="Times New Roman" w:cs="Times New Roman"/>
          <w:sz w:val="24"/>
          <w:szCs w:val="24"/>
        </w:rPr>
        <w:t xml:space="preserve"> respondent without her consent contrary to section 3</w:t>
      </w:r>
      <w:r w:rsidR="00265950" w:rsidRPr="00847AC1">
        <w:rPr>
          <w:rFonts w:ascii="Times New Roman" w:hAnsi="Times New Roman" w:cs="Times New Roman"/>
          <w:sz w:val="24"/>
          <w:szCs w:val="24"/>
        </w:rPr>
        <w:t>9</w:t>
      </w:r>
      <w:r w:rsidRPr="00847AC1">
        <w:rPr>
          <w:rFonts w:ascii="Times New Roman" w:hAnsi="Times New Roman" w:cs="Times New Roman"/>
          <w:sz w:val="24"/>
          <w:szCs w:val="24"/>
        </w:rPr>
        <w:t xml:space="preserve"> of the Land Act (as amended).  </w:t>
      </w:r>
    </w:p>
    <w:p w:rsidR="002A5758" w:rsidRPr="00847AC1" w:rsidRDefault="002A5758" w:rsidP="002A5758">
      <w:pPr>
        <w:jc w:val="both"/>
        <w:rPr>
          <w:rFonts w:ascii="Times New Roman" w:hAnsi="Times New Roman" w:cs="Times New Roman"/>
          <w:sz w:val="24"/>
          <w:szCs w:val="24"/>
        </w:rPr>
      </w:pPr>
      <w:r w:rsidRPr="00847AC1">
        <w:rPr>
          <w:rFonts w:ascii="Times New Roman" w:hAnsi="Times New Roman" w:cs="Times New Roman"/>
          <w:sz w:val="24"/>
          <w:szCs w:val="24"/>
        </w:rPr>
        <w:t xml:space="preserve">At the hearing of the application it was argued for the applicant that the substantive suit in respect thereof did establish a prima facie case against the respondents and the sale of the suit premises would cause irreparable damage to the applicant.  In that regard, learned counsel referred this court to the case of </w:t>
      </w:r>
      <w:r w:rsidRPr="00847AC1">
        <w:rPr>
          <w:rFonts w:ascii="Times New Roman" w:hAnsi="Times New Roman" w:cs="Times New Roman"/>
          <w:b/>
          <w:sz w:val="24"/>
          <w:szCs w:val="24"/>
          <w:u w:val="single"/>
        </w:rPr>
        <w:t>Francis Babumba &amp; Others vs. Erusa Bunju High Court Civil Suit No. 679 of 1990</w:t>
      </w:r>
      <w:r w:rsidRPr="00847AC1">
        <w:rPr>
          <w:rFonts w:ascii="Times New Roman" w:hAnsi="Times New Roman" w:cs="Times New Roman"/>
          <w:sz w:val="24"/>
          <w:szCs w:val="24"/>
        </w:rPr>
        <w:t>.  Conversely, it was argued for the 1</w:t>
      </w:r>
      <w:r w:rsidRPr="00847AC1">
        <w:rPr>
          <w:rFonts w:ascii="Times New Roman" w:hAnsi="Times New Roman" w:cs="Times New Roman"/>
          <w:sz w:val="24"/>
          <w:szCs w:val="24"/>
          <w:vertAlign w:val="superscript"/>
        </w:rPr>
        <w:t>st</w:t>
      </w:r>
      <w:r w:rsidRPr="00847AC1">
        <w:rPr>
          <w:rFonts w:ascii="Times New Roman" w:hAnsi="Times New Roman" w:cs="Times New Roman"/>
          <w:sz w:val="24"/>
          <w:szCs w:val="24"/>
        </w:rPr>
        <w:t xml:space="preserve"> respondent that the substantive suit did not establish a </w:t>
      </w:r>
      <w:r w:rsidRPr="00847AC1">
        <w:rPr>
          <w:rFonts w:ascii="Times New Roman" w:hAnsi="Times New Roman" w:cs="Times New Roman"/>
          <w:i/>
          <w:sz w:val="24"/>
          <w:szCs w:val="24"/>
        </w:rPr>
        <w:t>prima facie</w:t>
      </w:r>
      <w:r w:rsidRPr="00847AC1">
        <w:rPr>
          <w:rFonts w:ascii="Times New Roman" w:hAnsi="Times New Roman" w:cs="Times New Roman"/>
          <w:sz w:val="24"/>
          <w:szCs w:val="24"/>
        </w:rPr>
        <w:t xml:space="preserve"> case given that it was premised on the false notion that the suit premises were indeed the matrimonial home of the applicant and 2</w:t>
      </w:r>
      <w:r w:rsidRPr="00847AC1">
        <w:rPr>
          <w:rFonts w:ascii="Times New Roman" w:hAnsi="Times New Roman" w:cs="Times New Roman"/>
          <w:sz w:val="24"/>
          <w:szCs w:val="24"/>
          <w:vertAlign w:val="superscript"/>
        </w:rPr>
        <w:t>nd</w:t>
      </w:r>
      <w:r w:rsidRPr="00847AC1">
        <w:rPr>
          <w:rFonts w:ascii="Times New Roman" w:hAnsi="Times New Roman" w:cs="Times New Roman"/>
          <w:sz w:val="24"/>
          <w:szCs w:val="24"/>
        </w:rPr>
        <w:t xml:space="preserve"> respondent yet that was not the case; the said property having been incomplete, un-inhabitable and un-occupied when the </w:t>
      </w:r>
      <w:r w:rsidRPr="00847AC1">
        <w:rPr>
          <w:rFonts w:ascii="Times New Roman" w:hAnsi="Times New Roman" w:cs="Times New Roman"/>
          <w:sz w:val="24"/>
          <w:szCs w:val="24"/>
        </w:rPr>
        <w:lastRenderedPageBreak/>
        <w:t xml:space="preserve">2 loan facilities were executed.  Learned counsel further argued that the applicant did acknowledge the existence of the loans but did not object to them.  On the contrary, she executed a memorandum of understanding (MOU) undertaking to pay off the loan but reneged on this undertaking.  It was counsel’s contention that the applicant’s failure to service the loan was tantamount to coming to court with unclean hands.  On the issue of irreparable damage, counsel argued that should his client be permitted to sale the suit premises, the respondent bank was able to sufficiently recompense the applicant for any loss suffered in the event that she one the substantive suit.  The positions advanced by learned respondent counsel were largely premised on the decision in </w:t>
      </w:r>
      <w:r w:rsidRPr="00847AC1">
        <w:rPr>
          <w:rFonts w:ascii="Times New Roman" w:hAnsi="Times New Roman" w:cs="Times New Roman"/>
          <w:b/>
          <w:sz w:val="24"/>
          <w:szCs w:val="24"/>
          <w:u w:val="single"/>
        </w:rPr>
        <w:t>Herbert Kabunga Traders vs. Stanbic Bank Misc. Application No. 159 of 2012</w:t>
      </w:r>
      <w:r w:rsidRPr="00847AC1">
        <w:rPr>
          <w:rFonts w:ascii="Times New Roman" w:hAnsi="Times New Roman" w:cs="Times New Roman"/>
          <w:b/>
          <w:sz w:val="24"/>
          <w:szCs w:val="24"/>
        </w:rPr>
        <w:t xml:space="preserve"> </w:t>
      </w:r>
      <w:r w:rsidRPr="00847AC1">
        <w:rPr>
          <w:rFonts w:ascii="Times New Roman" w:hAnsi="Times New Roman" w:cs="Times New Roman"/>
          <w:sz w:val="24"/>
          <w:szCs w:val="24"/>
        </w:rPr>
        <w:t xml:space="preserve">(High Court).  In a brief reply, it was argued that the decision in </w:t>
      </w:r>
      <w:r w:rsidRPr="00847AC1">
        <w:rPr>
          <w:rFonts w:ascii="Times New Roman" w:hAnsi="Times New Roman" w:cs="Times New Roman"/>
          <w:b/>
          <w:sz w:val="24"/>
          <w:szCs w:val="24"/>
          <w:u w:val="single"/>
        </w:rPr>
        <w:t>Herbert Kabunga Traders vs. Stanbic Bank</w:t>
      </w:r>
      <w:r w:rsidRPr="00847AC1">
        <w:rPr>
          <w:rFonts w:ascii="Times New Roman" w:hAnsi="Times New Roman" w:cs="Times New Roman"/>
          <w:sz w:val="24"/>
          <w:szCs w:val="24"/>
        </w:rPr>
        <w:t xml:space="preserve"> (supra) was inapplicable to the present application given the issue of the matrimonial home under consideration presently that did not arise in the cited case.  Counsel further argued that the MOU executed by the applicant was not binding upon her given that a pre-condition imposed upon the 2</w:t>
      </w:r>
      <w:r w:rsidRPr="00847AC1">
        <w:rPr>
          <w:rFonts w:ascii="Times New Roman" w:hAnsi="Times New Roman" w:cs="Times New Roman"/>
          <w:sz w:val="24"/>
          <w:szCs w:val="24"/>
          <w:vertAlign w:val="superscript"/>
        </w:rPr>
        <w:t>nd</w:t>
      </w:r>
      <w:r w:rsidRPr="00847AC1">
        <w:rPr>
          <w:rFonts w:ascii="Times New Roman" w:hAnsi="Times New Roman" w:cs="Times New Roman"/>
          <w:sz w:val="24"/>
          <w:szCs w:val="24"/>
        </w:rPr>
        <w:t xml:space="preserve"> respondent to make her a joint proprietor to the suit premises prior to her making repayments towards the mortgage had been flouted.  </w:t>
      </w:r>
    </w:p>
    <w:p w:rsidR="008B035E" w:rsidRPr="00847AC1" w:rsidRDefault="00864067" w:rsidP="00D637DF">
      <w:pPr>
        <w:jc w:val="both"/>
        <w:rPr>
          <w:rFonts w:ascii="Times New Roman" w:hAnsi="Times New Roman" w:cs="Times New Roman"/>
          <w:sz w:val="24"/>
          <w:szCs w:val="24"/>
        </w:rPr>
      </w:pPr>
      <w:r w:rsidRPr="00847AC1">
        <w:rPr>
          <w:rFonts w:ascii="Times New Roman" w:hAnsi="Times New Roman" w:cs="Times New Roman"/>
          <w:sz w:val="24"/>
          <w:szCs w:val="24"/>
        </w:rPr>
        <w:t xml:space="preserve">Order 41 rule 1(a) of the </w:t>
      </w:r>
      <w:r w:rsidR="00E95287" w:rsidRPr="00847AC1">
        <w:rPr>
          <w:rFonts w:ascii="Times New Roman" w:hAnsi="Times New Roman" w:cs="Times New Roman"/>
          <w:sz w:val="24"/>
          <w:szCs w:val="24"/>
        </w:rPr>
        <w:t>Civil Procedure Rules (</w:t>
      </w:r>
      <w:r w:rsidRPr="00847AC1">
        <w:rPr>
          <w:rFonts w:ascii="Times New Roman" w:hAnsi="Times New Roman" w:cs="Times New Roman"/>
          <w:sz w:val="24"/>
          <w:szCs w:val="24"/>
        </w:rPr>
        <w:t>CPR</w:t>
      </w:r>
      <w:r w:rsidR="00E95287" w:rsidRPr="00847AC1">
        <w:rPr>
          <w:rFonts w:ascii="Times New Roman" w:hAnsi="Times New Roman" w:cs="Times New Roman"/>
          <w:sz w:val="24"/>
          <w:szCs w:val="24"/>
        </w:rPr>
        <w:t>)</w:t>
      </w:r>
      <w:r w:rsidRPr="00847AC1">
        <w:rPr>
          <w:rFonts w:ascii="Times New Roman" w:hAnsi="Times New Roman" w:cs="Times New Roman"/>
          <w:sz w:val="24"/>
          <w:szCs w:val="24"/>
        </w:rPr>
        <w:t xml:space="preserve"> mandates courts to grant a temporary injunction to restrain any party to a suit from ‘wasting, damaging or alienating any property in dispute in a suit’.  </w:t>
      </w:r>
      <w:r w:rsidR="00397DE1" w:rsidRPr="00847AC1">
        <w:rPr>
          <w:rFonts w:ascii="Times New Roman" w:hAnsi="Times New Roman" w:cs="Times New Roman"/>
          <w:sz w:val="24"/>
          <w:szCs w:val="24"/>
        </w:rPr>
        <w:t xml:space="preserve">It is now well </w:t>
      </w:r>
      <w:r w:rsidR="00010175" w:rsidRPr="00847AC1">
        <w:rPr>
          <w:rFonts w:ascii="Times New Roman" w:hAnsi="Times New Roman" w:cs="Times New Roman"/>
          <w:sz w:val="24"/>
          <w:szCs w:val="24"/>
        </w:rPr>
        <w:t>settled</w:t>
      </w:r>
      <w:r w:rsidR="00397DE1" w:rsidRPr="00847AC1">
        <w:rPr>
          <w:rFonts w:ascii="Times New Roman" w:hAnsi="Times New Roman" w:cs="Times New Roman"/>
          <w:sz w:val="24"/>
          <w:szCs w:val="24"/>
        </w:rPr>
        <w:t xml:space="preserve"> law that t</w:t>
      </w:r>
      <w:r w:rsidR="00E737AD" w:rsidRPr="00847AC1">
        <w:rPr>
          <w:rFonts w:ascii="Times New Roman" w:hAnsi="Times New Roman" w:cs="Times New Roman"/>
          <w:sz w:val="24"/>
          <w:szCs w:val="24"/>
        </w:rPr>
        <w:t xml:space="preserve">he grant of a temporary injunction is </w:t>
      </w:r>
      <w:r w:rsidR="00397DE1" w:rsidRPr="00847AC1">
        <w:rPr>
          <w:rFonts w:ascii="Times New Roman" w:hAnsi="Times New Roman" w:cs="Times New Roman"/>
          <w:sz w:val="24"/>
          <w:szCs w:val="24"/>
        </w:rPr>
        <w:t xml:space="preserve">an exercise of judicial discretion </w:t>
      </w:r>
      <w:r w:rsidR="00E737AD" w:rsidRPr="00847AC1">
        <w:rPr>
          <w:rFonts w:ascii="Times New Roman" w:hAnsi="Times New Roman" w:cs="Times New Roman"/>
          <w:sz w:val="24"/>
          <w:szCs w:val="24"/>
        </w:rPr>
        <w:t xml:space="preserve">intended to preserve </w:t>
      </w:r>
      <w:r w:rsidRPr="00847AC1">
        <w:rPr>
          <w:rFonts w:ascii="Times New Roman" w:hAnsi="Times New Roman" w:cs="Times New Roman"/>
          <w:sz w:val="24"/>
          <w:szCs w:val="24"/>
        </w:rPr>
        <w:t>a</w:t>
      </w:r>
      <w:r w:rsidR="00E737AD" w:rsidRPr="00847AC1">
        <w:rPr>
          <w:rFonts w:ascii="Times New Roman" w:hAnsi="Times New Roman" w:cs="Times New Roman"/>
          <w:sz w:val="24"/>
          <w:szCs w:val="24"/>
        </w:rPr>
        <w:t xml:space="preserve"> </w:t>
      </w:r>
      <w:r w:rsidR="00E737AD" w:rsidRPr="00847AC1">
        <w:rPr>
          <w:rFonts w:ascii="Times New Roman" w:hAnsi="Times New Roman" w:cs="Times New Roman"/>
          <w:i/>
          <w:sz w:val="24"/>
          <w:szCs w:val="24"/>
        </w:rPr>
        <w:t>status quo</w:t>
      </w:r>
      <w:r w:rsidR="00E737AD" w:rsidRPr="00847AC1">
        <w:rPr>
          <w:rFonts w:ascii="Times New Roman" w:hAnsi="Times New Roman" w:cs="Times New Roman"/>
          <w:sz w:val="24"/>
          <w:szCs w:val="24"/>
        </w:rPr>
        <w:t xml:space="preserve"> until questions for determination in the substantive suit have been disposed of.</w:t>
      </w:r>
      <w:r w:rsidR="00397DE1" w:rsidRPr="00847AC1">
        <w:rPr>
          <w:rFonts w:ascii="Times New Roman" w:hAnsi="Times New Roman" w:cs="Times New Roman"/>
          <w:sz w:val="24"/>
          <w:szCs w:val="24"/>
        </w:rPr>
        <w:t xml:space="preserve">  An applicant must establish </w:t>
      </w:r>
      <w:r w:rsidRPr="00847AC1">
        <w:rPr>
          <w:rFonts w:ascii="Times New Roman" w:hAnsi="Times New Roman" w:cs="Times New Roman"/>
          <w:sz w:val="24"/>
          <w:szCs w:val="24"/>
        </w:rPr>
        <w:t>2 ingredients – first, the existence of a prima facie case or triable issue(s)</w:t>
      </w:r>
      <w:r w:rsidR="00397DE1" w:rsidRPr="00847AC1">
        <w:rPr>
          <w:rFonts w:ascii="Times New Roman" w:hAnsi="Times New Roman" w:cs="Times New Roman"/>
          <w:sz w:val="24"/>
          <w:szCs w:val="24"/>
        </w:rPr>
        <w:t xml:space="preserve"> in the substantive suit and</w:t>
      </w:r>
      <w:r w:rsidRPr="00847AC1">
        <w:rPr>
          <w:rFonts w:ascii="Times New Roman" w:hAnsi="Times New Roman" w:cs="Times New Roman"/>
          <w:sz w:val="24"/>
          <w:szCs w:val="24"/>
        </w:rPr>
        <w:t xml:space="preserve">, secondly, </w:t>
      </w:r>
      <w:r w:rsidR="00397DE1" w:rsidRPr="00847AC1">
        <w:rPr>
          <w:rFonts w:ascii="Times New Roman" w:hAnsi="Times New Roman" w:cs="Times New Roman"/>
          <w:sz w:val="24"/>
          <w:szCs w:val="24"/>
        </w:rPr>
        <w:t>that non-grant of the temporary injunction might expose him</w:t>
      </w:r>
      <w:r w:rsidRPr="00847AC1">
        <w:rPr>
          <w:rFonts w:ascii="Times New Roman" w:hAnsi="Times New Roman" w:cs="Times New Roman"/>
          <w:sz w:val="24"/>
          <w:szCs w:val="24"/>
        </w:rPr>
        <w:t>/ her</w:t>
      </w:r>
      <w:r w:rsidR="00397DE1" w:rsidRPr="00847AC1">
        <w:rPr>
          <w:rFonts w:ascii="Times New Roman" w:hAnsi="Times New Roman" w:cs="Times New Roman"/>
          <w:sz w:val="24"/>
          <w:szCs w:val="24"/>
        </w:rPr>
        <w:t xml:space="preserve"> to irreparable damage or loss that would not be justly compensated by award of damages; where the courts are in doubt as to proof of the foregoing </w:t>
      </w:r>
      <w:r w:rsidRPr="00847AC1">
        <w:rPr>
          <w:rFonts w:ascii="Times New Roman" w:hAnsi="Times New Roman" w:cs="Times New Roman"/>
          <w:sz w:val="24"/>
          <w:szCs w:val="24"/>
        </w:rPr>
        <w:t>ingredients</w:t>
      </w:r>
      <w:r w:rsidR="00397DE1" w:rsidRPr="00847AC1">
        <w:rPr>
          <w:rFonts w:ascii="Times New Roman" w:hAnsi="Times New Roman" w:cs="Times New Roman"/>
          <w:sz w:val="24"/>
          <w:szCs w:val="24"/>
        </w:rPr>
        <w:t xml:space="preserve"> by an applicant, they are enjoined to decide the application on the balance of convenience.  See </w:t>
      </w:r>
      <w:r w:rsidR="00397DE1" w:rsidRPr="00847AC1">
        <w:rPr>
          <w:rFonts w:ascii="Times New Roman" w:hAnsi="Times New Roman" w:cs="Times New Roman"/>
          <w:b/>
          <w:iCs/>
          <w:sz w:val="24"/>
          <w:szCs w:val="24"/>
          <w:u w:val="single"/>
        </w:rPr>
        <w:t>Giella vs. Casman Brown</w:t>
      </w:r>
      <w:r w:rsidR="00397DE1" w:rsidRPr="00847AC1">
        <w:rPr>
          <w:rFonts w:ascii="Times New Roman" w:hAnsi="Times New Roman" w:cs="Times New Roman"/>
          <w:b/>
          <w:sz w:val="24"/>
          <w:szCs w:val="24"/>
          <w:u w:val="single"/>
        </w:rPr>
        <w:t xml:space="preserve"> (1973) EA 358 </w:t>
      </w:r>
      <w:r w:rsidR="00397DE1" w:rsidRPr="00847AC1">
        <w:rPr>
          <w:rFonts w:ascii="Times New Roman" w:hAnsi="Times New Roman" w:cs="Times New Roman"/>
          <w:sz w:val="24"/>
          <w:szCs w:val="24"/>
        </w:rPr>
        <w:t xml:space="preserve">(CA) and </w:t>
      </w:r>
      <w:r w:rsidR="00397DE1" w:rsidRPr="00847AC1">
        <w:rPr>
          <w:rFonts w:ascii="Times New Roman" w:hAnsi="Times New Roman" w:cs="Times New Roman"/>
          <w:b/>
          <w:iCs/>
          <w:sz w:val="24"/>
          <w:szCs w:val="24"/>
          <w:u w:val="single"/>
        </w:rPr>
        <w:t xml:space="preserve">E.L.T Kiyimba-Kaggwa </w:t>
      </w:r>
      <w:r w:rsidR="00D637DF" w:rsidRPr="00847AC1">
        <w:rPr>
          <w:rFonts w:ascii="Times New Roman" w:hAnsi="Times New Roman" w:cs="Times New Roman"/>
          <w:b/>
          <w:iCs/>
          <w:sz w:val="24"/>
          <w:szCs w:val="24"/>
          <w:u w:val="single"/>
        </w:rPr>
        <w:t xml:space="preserve">vs. </w:t>
      </w:r>
      <w:r w:rsidR="00397DE1" w:rsidRPr="00847AC1">
        <w:rPr>
          <w:rFonts w:ascii="Times New Roman" w:hAnsi="Times New Roman" w:cs="Times New Roman"/>
          <w:b/>
          <w:iCs/>
          <w:sz w:val="24"/>
          <w:szCs w:val="24"/>
          <w:u w:val="single"/>
        </w:rPr>
        <w:t>Haji Abdu Nasser Katende</w:t>
      </w:r>
      <w:r w:rsidR="00D637DF" w:rsidRPr="00847AC1">
        <w:rPr>
          <w:rFonts w:ascii="Times New Roman" w:hAnsi="Times New Roman" w:cs="Times New Roman"/>
          <w:b/>
          <w:sz w:val="24"/>
          <w:szCs w:val="24"/>
          <w:u w:val="single"/>
        </w:rPr>
        <w:t xml:space="preserve"> (</w:t>
      </w:r>
      <w:r w:rsidR="00397DE1" w:rsidRPr="00847AC1">
        <w:rPr>
          <w:rFonts w:ascii="Times New Roman" w:hAnsi="Times New Roman" w:cs="Times New Roman"/>
          <w:b/>
          <w:sz w:val="24"/>
          <w:szCs w:val="24"/>
          <w:u w:val="single"/>
        </w:rPr>
        <w:t>1985</w:t>
      </w:r>
      <w:r w:rsidR="00D637DF" w:rsidRPr="00847AC1">
        <w:rPr>
          <w:rFonts w:ascii="Times New Roman" w:hAnsi="Times New Roman" w:cs="Times New Roman"/>
          <w:b/>
          <w:sz w:val="24"/>
          <w:szCs w:val="24"/>
          <w:u w:val="single"/>
        </w:rPr>
        <w:t>)</w:t>
      </w:r>
      <w:r w:rsidR="00397DE1" w:rsidRPr="00847AC1">
        <w:rPr>
          <w:rFonts w:ascii="Times New Roman" w:hAnsi="Times New Roman" w:cs="Times New Roman"/>
          <w:b/>
          <w:sz w:val="24"/>
          <w:szCs w:val="24"/>
          <w:u w:val="single"/>
        </w:rPr>
        <w:t xml:space="preserve"> HCB 43</w:t>
      </w:r>
      <w:r w:rsidR="00397DE1" w:rsidRPr="00847AC1">
        <w:rPr>
          <w:rFonts w:ascii="Times New Roman" w:hAnsi="Times New Roman" w:cs="Times New Roman"/>
          <w:sz w:val="24"/>
          <w:szCs w:val="24"/>
        </w:rPr>
        <w:t>.</w:t>
      </w:r>
      <w:r w:rsidR="00D637DF" w:rsidRPr="00847AC1">
        <w:rPr>
          <w:rFonts w:ascii="Times New Roman" w:hAnsi="Times New Roman" w:cs="Times New Roman"/>
          <w:sz w:val="24"/>
          <w:szCs w:val="24"/>
        </w:rPr>
        <w:t xml:space="preserve">  </w:t>
      </w:r>
    </w:p>
    <w:p w:rsidR="00D637DF" w:rsidRPr="00847AC1" w:rsidRDefault="00D637DF" w:rsidP="00D637DF">
      <w:pPr>
        <w:jc w:val="both"/>
        <w:rPr>
          <w:rFonts w:ascii="Times New Roman" w:hAnsi="Times New Roman" w:cs="Times New Roman"/>
          <w:sz w:val="24"/>
          <w:szCs w:val="24"/>
        </w:rPr>
      </w:pPr>
      <w:r w:rsidRPr="00847AC1">
        <w:rPr>
          <w:rFonts w:ascii="Times New Roman" w:hAnsi="Times New Roman" w:cs="Times New Roman"/>
          <w:sz w:val="24"/>
          <w:szCs w:val="24"/>
        </w:rPr>
        <w:t xml:space="preserve">In my view, what would amount to a triable </w:t>
      </w:r>
      <w:r w:rsidR="009C728D" w:rsidRPr="00847AC1">
        <w:rPr>
          <w:rFonts w:ascii="Times New Roman" w:hAnsi="Times New Roman" w:cs="Times New Roman"/>
          <w:sz w:val="24"/>
          <w:szCs w:val="24"/>
        </w:rPr>
        <w:t xml:space="preserve">issue </w:t>
      </w:r>
      <w:r w:rsidRPr="00847AC1">
        <w:rPr>
          <w:rFonts w:ascii="Times New Roman" w:hAnsi="Times New Roman" w:cs="Times New Roman"/>
          <w:sz w:val="24"/>
          <w:szCs w:val="24"/>
        </w:rPr>
        <w:t xml:space="preserve">for purposes of an application for temporary injunction is aptly summed up in </w:t>
      </w:r>
      <w:r w:rsidRPr="00847AC1">
        <w:rPr>
          <w:rFonts w:ascii="Times New Roman" w:hAnsi="Times New Roman" w:cs="Times New Roman"/>
          <w:b/>
          <w:sz w:val="24"/>
          <w:szCs w:val="24"/>
          <w:u w:val="single"/>
        </w:rPr>
        <w:t>Halsbury’s Laws of England, 4</w:t>
      </w:r>
      <w:r w:rsidRPr="00847AC1">
        <w:rPr>
          <w:rFonts w:ascii="Times New Roman" w:hAnsi="Times New Roman" w:cs="Times New Roman"/>
          <w:b/>
          <w:sz w:val="24"/>
          <w:szCs w:val="24"/>
          <w:u w:val="single"/>
          <w:vertAlign w:val="superscript"/>
        </w:rPr>
        <w:t>th</w:t>
      </w:r>
      <w:r w:rsidRPr="00847AC1">
        <w:rPr>
          <w:rFonts w:ascii="Times New Roman" w:hAnsi="Times New Roman" w:cs="Times New Roman"/>
          <w:b/>
          <w:sz w:val="24"/>
          <w:szCs w:val="24"/>
          <w:u w:val="single"/>
        </w:rPr>
        <w:t xml:space="preserve"> Edition, Vol. 24, para. 855</w:t>
      </w:r>
      <w:r w:rsidRPr="00847AC1">
        <w:rPr>
          <w:rFonts w:ascii="Times New Roman" w:hAnsi="Times New Roman" w:cs="Times New Roman"/>
          <w:sz w:val="24"/>
          <w:szCs w:val="24"/>
        </w:rPr>
        <w:t xml:space="preserve"> as follows: </w:t>
      </w:r>
    </w:p>
    <w:p w:rsidR="00D637DF" w:rsidRPr="00847AC1" w:rsidRDefault="00D637DF" w:rsidP="00D637DF">
      <w:pPr>
        <w:ind w:left="720"/>
        <w:jc w:val="both"/>
        <w:rPr>
          <w:rFonts w:ascii="Times New Roman" w:hAnsi="Times New Roman" w:cs="Times New Roman"/>
          <w:sz w:val="24"/>
          <w:szCs w:val="24"/>
        </w:rPr>
      </w:pPr>
      <w:r w:rsidRPr="00847AC1">
        <w:rPr>
          <w:rFonts w:ascii="Times New Roman" w:hAnsi="Times New Roman" w:cs="Times New Roman"/>
          <w:b/>
          <w:sz w:val="24"/>
          <w:szCs w:val="24"/>
        </w:rPr>
        <w:t xml:space="preserve">“On an application for an interlocutory injunction the </w:t>
      </w:r>
      <w:r w:rsidR="00864067" w:rsidRPr="00847AC1">
        <w:rPr>
          <w:rFonts w:ascii="Times New Roman" w:hAnsi="Times New Roman" w:cs="Times New Roman"/>
          <w:b/>
          <w:sz w:val="24"/>
          <w:szCs w:val="24"/>
          <w:u w:val="single"/>
        </w:rPr>
        <w:t>c</w:t>
      </w:r>
      <w:r w:rsidRPr="00847AC1">
        <w:rPr>
          <w:rFonts w:ascii="Times New Roman" w:hAnsi="Times New Roman" w:cs="Times New Roman"/>
          <w:b/>
          <w:sz w:val="24"/>
          <w:szCs w:val="24"/>
          <w:u w:val="single"/>
        </w:rPr>
        <w:t>ourt must be satisfied that there are serious questions to be tried</w:t>
      </w:r>
      <w:r w:rsidR="00864067" w:rsidRPr="00847AC1">
        <w:rPr>
          <w:rFonts w:ascii="Times New Roman" w:hAnsi="Times New Roman" w:cs="Times New Roman"/>
          <w:b/>
          <w:sz w:val="24"/>
          <w:szCs w:val="24"/>
          <w:u w:val="single"/>
        </w:rPr>
        <w:t>.  The material available to c</w:t>
      </w:r>
      <w:r w:rsidRPr="00847AC1">
        <w:rPr>
          <w:rFonts w:ascii="Times New Roman" w:hAnsi="Times New Roman" w:cs="Times New Roman"/>
          <w:b/>
          <w:sz w:val="24"/>
          <w:szCs w:val="24"/>
          <w:u w:val="single"/>
        </w:rPr>
        <w:t>ourt at the hearing of the application must disclose that the Plaintiff has real prospects for succeeding in his claim for a permanent injunction at the trial</w:t>
      </w:r>
      <w:r w:rsidRPr="00847AC1">
        <w:rPr>
          <w:rFonts w:ascii="Times New Roman" w:hAnsi="Times New Roman" w:cs="Times New Roman"/>
          <w:b/>
          <w:sz w:val="24"/>
          <w:szCs w:val="24"/>
        </w:rPr>
        <w:t>.”</w:t>
      </w:r>
      <w:r w:rsidRPr="00847AC1">
        <w:rPr>
          <w:rFonts w:ascii="Times New Roman" w:hAnsi="Times New Roman" w:cs="Times New Roman"/>
          <w:sz w:val="24"/>
          <w:szCs w:val="24"/>
        </w:rPr>
        <w:t xml:space="preserve">  </w:t>
      </w:r>
      <w:r w:rsidRPr="00847AC1">
        <w:rPr>
          <w:rFonts w:ascii="Times New Roman" w:hAnsi="Times New Roman" w:cs="Times New Roman"/>
          <w:i/>
          <w:sz w:val="24"/>
          <w:szCs w:val="24"/>
        </w:rPr>
        <w:t>(emphasis mine)</w:t>
      </w:r>
    </w:p>
    <w:p w:rsidR="008F4345" w:rsidRPr="00847AC1" w:rsidRDefault="009C728D" w:rsidP="00243BCF">
      <w:pPr>
        <w:jc w:val="both"/>
        <w:rPr>
          <w:rFonts w:ascii="Times New Roman" w:hAnsi="Times New Roman" w:cs="Times New Roman"/>
          <w:sz w:val="24"/>
          <w:szCs w:val="24"/>
        </w:rPr>
      </w:pPr>
      <w:r w:rsidRPr="00847AC1">
        <w:rPr>
          <w:rFonts w:ascii="Times New Roman" w:hAnsi="Times New Roman" w:cs="Times New Roman"/>
          <w:b/>
          <w:sz w:val="24"/>
          <w:szCs w:val="24"/>
          <w:u w:val="single"/>
        </w:rPr>
        <w:t>Halsbury’s Laws of England</w:t>
      </w:r>
      <w:r w:rsidRPr="00847AC1">
        <w:rPr>
          <w:rFonts w:ascii="Times New Roman" w:hAnsi="Times New Roman" w:cs="Times New Roman"/>
          <w:sz w:val="24"/>
          <w:szCs w:val="24"/>
        </w:rPr>
        <w:t xml:space="preserve"> (supra) posits that the grant of an injunction should </w:t>
      </w:r>
      <w:r w:rsidR="008F4345" w:rsidRPr="00847AC1">
        <w:rPr>
          <w:rFonts w:ascii="Times New Roman" w:hAnsi="Times New Roman" w:cs="Times New Roman"/>
          <w:sz w:val="24"/>
          <w:szCs w:val="24"/>
        </w:rPr>
        <w:t xml:space="preserve">not merely </w:t>
      </w:r>
      <w:r w:rsidRPr="00847AC1">
        <w:rPr>
          <w:rFonts w:ascii="Times New Roman" w:hAnsi="Times New Roman" w:cs="Times New Roman"/>
          <w:sz w:val="24"/>
          <w:szCs w:val="24"/>
        </w:rPr>
        <w:t xml:space="preserve">be premised on the existence of serious triable issues </w:t>
      </w:r>
      <w:r w:rsidR="008F4345" w:rsidRPr="00847AC1">
        <w:rPr>
          <w:rFonts w:ascii="Times New Roman" w:hAnsi="Times New Roman" w:cs="Times New Roman"/>
          <w:sz w:val="24"/>
          <w:szCs w:val="24"/>
        </w:rPr>
        <w:t>but also on the disclosure by the application of real prospects for success by the applicant in the substantive suit.  In the present case, read in isolation the application does disclose a triable issue with real prospects of success; but read together with the affidavit in reply for the 1</w:t>
      </w:r>
      <w:r w:rsidR="008F4345" w:rsidRPr="00847AC1">
        <w:rPr>
          <w:rFonts w:ascii="Times New Roman" w:hAnsi="Times New Roman" w:cs="Times New Roman"/>
          <w:sz w:val="24"/>
          <w:szCs w:val="24"/>
          <w:vertAlign w:val="superscript"/>
        </w:rPr>
        <w:t>st</w:t>
      </w:r>
      <w:r w:rsidR="008F4345" w:rsidRPr="00847AC1">
        <w:rPr>
          <w:rFonts w:ascii="Times New Roman" w:hAnsi="Times New Roman" w:cs="Times New Roman"/>
          <w:sz w:val="24"/>
          <w:szCs w:val="24"/>
        </w:rPr>
        <w:t xml:space="preserve"> respondent,</w:t>
      </w:r>
      <w:r w:rsidR="002A5758" w:rsidRPr="00847AC1">
        <w:rPr>
          <w:rFonts w:ascii="Times New Roman" w:hAnsi="Times New Roman" w:cs="Times New Roman"/>
          <w:sz w:val="24"/>
          <w:szCs w:val="24"/>
        </w:rPr>
        <w:t xml:space="preserve"> as well as supportive documentation </w:t>
      </w:r>
      <w:r w:rsidR="002A5758" w:rsidRPr="00847AC1">
        <w:rPr>
          <w:rFonts w:ascii="Times New Roman" w:hAnsi="Times New Roman" w:cs="Times New Roman"/>
          <w:sz w:val="24"/>
          <w:szCs w:val="24"/>
        </w:rPr>
        <w:lastRenderedPageBreak/>
        <w:t>appended thereto,</w:t>
      </w:r>
      <w:r w:rsidR="008F4345" w:rsidRPr="00847AC1">
        <w:rPr>
          <w:rFonts w:ascii="Times New Roman" w:hAnsi="Times New Roman" w:cs="Times New Roman"/>
          <w:sz w:val="24"/>
          <w:szCs w:val="24"/>
        </w:rPr>
        <w:t xml:space="preserve"> the suit’s probability of success </w:t>
      </w:r>
      <w:r w:rsidR="002A5758" w:rsidRPr="00847AC1">
        <w:rPr>
          <w:rFonts w:ascii="Times New Roman" w:hAnsi="Times New Roman" w:cs="Times New Roman"/>
          <w:sz w:val="24"/>
          <w:szCs w:val="24"/>
        </w:rPr>
        <w:t>becomes</w:t>
      </w:r>
      <w:r w:rsidR="008F4345" w:rsidRPr="00847AC1">
        <w:rPr>
          <w:rFonts w:ascii="Times New Roman" w:hAnsi="Times New Roman" w:cs="Times New Roman"/>
          <w:sz w:val="24"/>
          <w:szCs w:val="24"/>
        </w:rPr>
        <w:t xml:space="preserve"> </w:t>
      </w:r>
      <w:r w:rsidR="00524087" w:rsidRPr="00847AC1">
        <w:rPr>
          <w:rFonts w:ascii="Times New Roman" w:hAnsi="Times New Roman" w:cs="Times New Roman"/>
          <w:sz w:val="24"/>
          <w:szCs w:val="24"/>
        </w:rPr>
        <w:t>debatable</w:t>
      </w:r>
      <w:r w:rsidR="008F4345" w:rsidRPr="00847AC1">
        <w:rPr>
          <w:rFonts w:ascii="Times New Roman" w:hAnsi="Times New Roman" w:cs="Times New Roman"/>
          <w:sz w:val="24"/>
          <w:szCs w:val="24"/>
        </w:rPr>
        <w:t xml:space="preserve">.  </w:t>
      </w:r>
      <w:r w:rsidR="002A5758" w:rsidRPr="00847AC1">
        <w:rPr>
          <w:rFonts w:ascii="Times New Roman" w:hAnsi="Times New Roman" w:cs="Times New Roman"/>
          <w:sz w:val="24"/>
          <w:szCs w:val="24"/>
        </w:rPr>
        <w:t>Therefore the material available to this court at the hearing of this application is not conclusive on the substantive suit’s probability of success.</w:t>
      </w:r>
    </w:p>
    <w:p w:rsidR="003B4F34" w:rsidRPr="00847AC1" w:rsidRDefault="008F4345" w:rsidP="00243BCF">
      <w:pPr>
        <w:jc w:val="both"/>
        <w:rPr>
          <w:rFonts w:ascii="Times New Roman" w:hAnsi="Times New Roman" w:cs="Times New Roman"/>
          <w:sz w:val="24"/>
          <w:szCs w:val="24"/>
        </w:rPr>
      </w:pPr>
      <w:r w:rsidRPr="00847AC1">
        <w:rPr>
          <w:rFonts w:ascii="Times New Roman" w:hAnsi="Times New Roman" w:cs="Times New Roman"/>
          <w:sz w:val="24"/>
          <w:szCs w:val="24"/>
        </w:rPr>
        <w:t xml:space="preserve">Be that as it may, it would appear to me to be rather </w:t>
      </w:r>
      <w:r w:rsidR="00971144" w:rsidRPr="00847AC1">
        <w:rPr>
          <w:rFonts w:ascii="Times New Roman" w:hAnsi="Times New Roman" w:cs="Times New Roman"/>
          <w:sz w:val="24"/>
          <w:szCs w:val="24"/>
        </w:rPr>
        <w:t xml:space="preserve">premature and </w:t>
      </w:r>
      <w:r w:rsidRPr="00847AC1">
        <w:rPr>
          <w:rFonts w:ascii="Times New Roman" w:hAnsi="Times New Roman" w:cs="Times New Roman"/>
          <w:sz w:val="24"/>
          <w:szCs w:val="24"/>
        </w:rPr>
        <w:t xml:space="preserve">unjust to conclude on the basis of this issue alone that there is no merit in the present application.  </w:t>
      </w:r>
      <w:r w:rsidR="00AC283D" w:rsidRPr="00847AC1">
        <w:rPr>
          <w:rFonts w:ascii="Times New Roman" w:hAnsi="Times New Roman" w:cs="Times New Roman"/>
          <w:sz w:val="24"/>
          <w:szCs w:val="24"/>
        </w:rPr>
        <w:t xml:space="preserve">Quite clearly, the suit property is the subject of the present application.  </w:t>
      </w:r>
      <w:r w:rsidRPr="00847AC1">
        <w:rPr>
          <w:rFonts w:ascii="Times New Roman" w:hAnsi="Times New Roman" w:cs="Times New Roman"/>
          <w:sz w:val="24"/>
          <w:szCs w:val="24"/>
        </w:rPr>
        <w:t>In the substantive suit the applicant seeks a permanent injunction prohibiting the sale of her allegedly matrimonial home by the 1</w:t>
      </w:r>
      <w:r w:rsidRPr="00847AC1">
        <w:rPr>
          <w:rFonts w:ascii="Times New Roman" w:hAnsi="Times New Roman" w:cs="Times New Roman"/>
          <w:sz w:val="24"/>
          <w:szCs w:val="24"/>
          <w:vertAlign w:val="superscript"/>
        </w:rPr>
        <w:t>st</w:t>
      </w:r>
      <w:r w:rsidRPr="00847AC1">
        <w:rPr>
          <w:rFonts w:ascii="Times New Roman" w:hAnsi="Times New Roman" w:cs="Times New Roman"/>
          <w:sz w:val="24"/>
          <w:szCs w:val="24"/>
        </w:rPr>
        <w:t xml:space="preserve"> respondent.  </w:t>
      </w:r>
      <w:r w:rsidR="00AC283D" w:rsidRPr="00847AC1">
        <w:rPr>
          <w:rFonts w:ascii="Times New Roman" w:hAnsi="Times New Roman" w:cs="Times New Roman"/>
          <w:sz w:val="24"/>
          <w:szCs w:val="24"/>
        </w:rPr>
        <w:t xml:space="preserve">Non-grant of a temporary injunction would obviously render the substantive suit redundant should the respondent bank go ahead to sale off the suit property as it appears inclined to do.  </w:t>
      </w:r>
      <w:r w:rsidR="009F61A0" w:rsidRPr="00847AC1">
        <w:rPr>
          <w:rFonts w:ascii="Times New Roman" w:hAnsi="Times New Roman" w:cs="Times New Roman"/>
          <w:sz w:val="24"/>
          <w:szCs w:val="24"/>
        </w:rPr>
        <w:t xml:space="preserve">This court does not subscribe to the notion posited by learned respondent counsel that such sale would be adequately recompensed by an award of damages by the respondent bank.  In my view, the remedy sought by the applicant, namely, a permanent injunction against sale is quite instructive on the </w:t>
      </w:r>
      <w:r w:rsidR="009546B4" w:rsidRPr="00847AC1">
        <w:rPr>
          <w:rFonts w:ascii="Times New Roman" w:hAnsi="Times New Roman" w:cs="Times New Roman"/>
          <w:sz w:val="24"/>
          <w:szCs w:val="24"/>
        </w:rPr>
        <w:t>substantive</w:t>
      </w:r>
      <w:r w:rsidR="009F61A0" w:rsidRPr="00847AC1">
        <w:rPr>
          <w:rFonts w:ascii="Times New Roman" w:hAnsi="Times New Roman" w:cs="Times New Roman"/>
          <w:sz w:val="24"/>
          <w:szCs w:val="24"/>
        </w:rPr>
        <w:t xml:space="preserve"> justice she seeks from this court.  She seeks to avert the sale of the property.  Secondly, while this court is well aware that the respondent is in a position to recompense the applicant should the need so arise, it is also mindful of the familial value attached to matrimonial homes.  Indeed, section 3</w:t>
      </w:r>
      <w:r w:rsidR="00265950" w:rsidRPr="00847AC1">
        <w:rPr>
          <w:rFonts w:ascii="Times New Roman" w:hAnsi="Times New Roman" w:cs="Times New Roman"/>
          <w:sz w:val="24"/>
          <w:szCs w:val="24"/>
        </w:rPr>
        <w:t>9</w:t>
      </w:r>
      <w:r w:rsidR="009F61A0" w:rsidRPr="00847AC1">
        <w:rPr>
          <w:rFonts w:ascii="Times New Roman" w:hAnsi="Times New Roman" w:cs="Times New Roman"/>
          <w:sz w:val="24"/>
          <w:szCs w:val="24"/>
        </w:rPr>
        <w:t xml:space="preserve"> of the Land Act (as amended) would appear to </w:t>
      </w:r>
      <w:r w:rsidR="00616C8B" w:rsidRPr="00847AC1">
        <w:rPr>
          <w:rFonts w:ascii="Times New Roman" w:hAnsi="Times New Roman" w:cs="Times New Roman"/>
          <w:sz w:val="24"/>
          <w:szCs w:val="24"/>
        </w:rPr>
        <w:t xml:space="preserve">seek to </w:t>
      </w:r>
      <w:r w:rsidR="009F61A0" w:rsidRPr="00847AC1">
        <w:rPr>
          <w:rFonts w:ascii="Times New Roman" w:hAnsi="Times New Roman" w:cs="Times New Roman"/>
          <w:sz w:val="24"/>
          <w:szCs w:val="24"/>
        </w:rPr>
        <w:t xml:space="preserve">uphold this tenet of family values.  </w:t>
      </w:r>
      <w:r w:rsidR="00616C8B" w:rsidRPr="00847AC1">
        <w:rPr>
          <w:rFonts w:ascii="Times New Roman" w:hAnsi="Times New Roman" w:cs="Times New Roman"/>
          <w:sz w:val="24"/>
          <w:szCs w:val="24"/>
        </w:rPr>
        <w:t>No evidence was adduced by the respondent bank as would dispute the suit premises having been for residential purposes</w:t>
      </w:r>
      <w:r w:rsidR="00AF06E2" w:rsidRPr="00847AC1">
        <w:rPr>
          <w:rFonts w:ascii="Times New Roman" w:hAnsi="Times New Roman" w:cs="Times New Roman"/>
          <w:sz w:val="24"/>
          <w:szCs w:val="24"/>
        </w:rPr>
        <w:t xml:space="preserve"> and thus rebut the applicant’s assertion that she was living in the incomplete structure</w:t>
      </w:r>
      <w:r w:rsidR="00616C8B" w:rsidRPr="00847AC1">
        <w:rPr>
          <w:rFonts w:ascii="Times New Roman" w:hAnsi="Times New Roman" w:cs="Times New Roman"/>
          <w:sz w:val="24"/>
          <w:szCs w:val="24"/>
        </w:rPr>
        <w:t>.  The documentary evidence adduced by the 1</w:t>
      </w:r>
      <w:r w:rsidR="00616C8B" w:rsidRPr="00847AC1">
        <w:rPr>
          <w:rFonts w:ascii="Times New Roman" w:hAnsi="Times New Roman" w:cs="Times New Roman"/>
          <w:sz w:val="24"/>
          <w:szCs w:val="24"/>
          <w:vertAlign w:val="superscript"/>
        </w:rPr>
        <w:t>st</w:t>
      </w:r>
      <w:r w:rsidR="00616C8B" w:rsidRPr="00847AC1">
        <w:rPr>
          <w:rFonts w:ascii="Times New Roman" w:hAnsi="Times New Roman" w:cs="Times New Roman"/>
          <w:sz w:val="24"/>
          <w:szCs w:val="24"/>
        </w:rPr>
        <w:t xml:space="preserve"> respondent simply indicates that the said property was incomplete and inhabitable.  In my view, what would amount to an inhabitable structure is quite relative.  Indeed, whether </w:t>
      </w:r>
      <w:r w:rsidR="00AF06E2" w:rsidRPr="00847AC1">
        <w:rPr>
          <w:rFonts w:ascii="Times New Roman" w:hAnsi="Times New Roman" w:cs="Times New Roman"/>
          <w:sz w:val="24"/>
          <w:szCs w:val="24"/>
        </w:rPr>
        <w:t>or not</w:t>
      </w:r>
      <w:r w:rsidR="00616C8B" w:rsidRPr="00847AC1">
        <w:rPr>
          <w:rFonts w:ascii="Times New Roman" w:hAnsi="Times New Roman" w:cs="Times New Roman"/>
          <w:sz w:val="24"/>
          <w:szCs w:val="24"/>
        </w:rPr>
        <w:t xml:space="preserve"> the suit pr</w:t>
      </w:r>
      <w:r w:rsidR="00AF06E2" w:rsidRPr="00847AC1">
        <w:rPr>
          <w:rFonts w:ascii="Times New Roman" w:hAnsi="Times New Roman" w:cs="Times New Roman"/>
          <w:sz w:val="24"/>
          <w:szCs w:val="24"/>
        </w:rPr>
        <w:t xml:space="preserve">operty was </w:t>
      </w:r>
      <w:r w:rsidR="00616C8B" w:rsidRPr="00847AC1">
        <w:rPr>
          <w:rFonts w:ascii="Times New Roman" w:hAnsi="Times New Roman" w:cs="Times New Roman"/>
          <w:sz w:val="24"/>
          <w:szCs w:val="24"/>
        </w:rPr>
        <w:t xml:space="preserve">un-occupied can only be </w:t>
      </w:r>
      <w:r w:rsidR="009546B4" w:rsidRPr="00847AC1">
        <w:rPr>
          <w:rFonts w:ascii="Times New Roman" w:hAnsi="Times New Roman" w:cs="Times New Roman"/>
          <w:sz w:val="24"/>
          <w:szCs w:val="24"/>
        </w:rPr>
        <w:t xml:space="preserve">factually </w:t>
      </w:r>
      <w:r w:rsidR="00616C8B" w:rsidRPr="00847AC1">
        <w:rPr>
          <w:rFonts w:ascii="Times New Roman" w:hAnsi="Times New Roman" w:cs="Times New Roman"/>
          <w:sz w:val="24"/>
          <w:szCs w:val="24"/>
        </w:rPr>
        <w:t xml:space="preserve">established through more detailed evidence adduced at trial, the truth of which may be tested by cross examination.   </w:t>
      </w:r>
      <w:r w:rsidR="00AC283D" w:rsidRPr="00847AC1">
        <w:rPr>
          <w:rFonts w:ascii="Times New Roman" w:hAnsi="Times New Roman" w:cs="Times New Roman"/>
          <w:sz w:val="24"/>
          <w:szCs w:val="24"/>
        </w:rPr>
        <w:t>The</w:t>
      </w:r>
      <w:r w:rsidR="006B179F" w:rsidRPr="00847AC1">
        <w:rPr>
          <w:rFonts w:ascii="Times New Roman" w:hAnsi="Times New Roman" w:cs="Times New Roman"/>
          <w:sz w:val="24"/>
          <w:szCs w:val="24"/>
        </w:rPr>
        <w:t xml:space="preserve">refore, </w:t>
      </w:r>
      <w:r w:rsidR="00616C8B" w:rsidRPr="00847AC1">
        <w:rPr>
          <w:rFonts w:ascii="Times New Roman" w:hAnsi="Times New Roman" w:cs="Times New Roman"/>
          <w:sz w:val="24"/>
          <w:szCs w:val="24"/>
        </w:rPr>
        <w:t xml:space="preserve">I am unable to agree with learned respondent counsel that non-grant of the temporary injunction sought </w:t>
      </w:r>
      <w:r w:rsidR="00555603" w:rsidRPr="00847AC1">
        <w:rPr>
          <w:rFonts w:ascii="Times New Roman" w:hAnsi="Times New Roman" w:cs="Times New Roman"/>
          <w:sz w:val="24"/>
          <w:szCs w:val="24"/>
        </w:rPr>
        <w:t xml:space="preserve">would not cause irreparable damage to the applicant or </w:t>
      </w:r>
      <w:r w:rsidR="006B179F" w:rsidRPr="00847AC1">
        <w:rPr>
          <w:rFonts w:ascii="Times New Roman" w:hAnsi="Times New Roman" w:cs="Times New Roman"/>
          <w:sz w:val="24"/>
          <w:szCs w:val="24"/>
        </w:rPr>
        <w:t>in</w:t>
      </w:r>
      <w:r w:rsidR="00555603" w:rsidRPr="00847AC1">
        <w:rPr>
          <w:rFonts w:ascii="Times New Roman" w:hAnsi="Times New Roman" w:cs="Times New Roman"/>
          <w:sz w:val="24"/>
          <w:szCs w:val="24"/>
        </w:rPr>
        <w:t xml:space="preserve">deed that such damage can be adequately recompensed by an award of damages.  </w:t>
      </w:r>
      <w:r w:rsidR="006B179F" w:rsidRPr="00847AC1">
        <w:rPr>
          <w:rFonts w:ascii="Times New Roman" w:hAnsi="Times New Roman" w:cs="Times New Roman"/>
          <w:sz w:val="24"/>
          <w:szCs w:val="24"/>
        </w:rPr>
        <w:t xml:space="preserve"> </w:t>
      </w:r>
    </w:p>
    <w:p w:rsidR="009854E2" w:rsidRPr="00847AC1" w:rsidRDefault="009854E2" w:rsidP="009854E2">
      <w:pPr>
        <w:jc w:val="both"/>
        <w:rPr>
          <w:rFonts w:ascii="Times New Roman" w:hAnsi="Times New Roman" w:cs="Times New Roman"/>
          <w:sz w:val="24"/>
          <w:szCs w:val="24"/>
        </w:rPr>
      </w:pPr>
      <w:r w:rsidRPr="00847AC1">
        <w:rPr>
          <w:rFonts w:ascii="Times New Roman" w:hAnsi="Times New Roman" w:cs="Times New Roman"/>
          <w:sz w:val="24"/>
          <w:szCs w:val="24"/>
        </w:rPr>
        <w:t>The question</w:t>
      </w:r>
      <w:r w:rsidR="006B69A0" w:rsidRPr="00847AC1">
        <w:rPr>
          <w:rFonts w:ascii="Times New Roman" w:hAnsi="Times New Roman" w:cs="Times New Roman"/>
          <w:sz w:val="24"/>
          <w:szCs w:val="24"/>
        </w:rPr>
        <w:t xml:space="preserve">, then, </w:t>
      </w:r>
      <w:r w:rsidRPr="00847AC1">
        <w:rPr>
          <w:rFonts w:ascii="Times New Roman" w:hAnsi="Times New Roman" w:cs="Times New Roman"/>
          <w:sz w:val="24"/>
          <w:szCs w:val="24"/>
        </w:rPr>
        <w:t xml:space="preserve">would be how the ‘balance of convenience’ </w:t>
      </w:r>
      <w:r w:rsidR="006B69A0" w:rsidRPr="00847AC1">
        <w:rPr>
          <w:rFonts w:ascii="Times New Roman" w:hAnsi="Times New Roman" w:cs="Times New Roman"/>
          <w:sz w:val="24"/>
          <w:szCs w:val="24"/>
        </w:rPr>
        <w:t xml:space="preserve">may be </w:t>
      </w:r>
      <w:r w:rsidRPr="00847AC1">
        <w:rPr>
          <w:rFonts w:ascii="Times New Roman" w:hAnsi="Times New Roman" w:cs="Times New Roman"/>
          <w:sz w:val="24"/>
          <w:szCs w:val="24"/>
        </w:rPr>
        <w:t xml:space="preserve">determined </w:t>
      </w:r>
      <w:r w:rsidR="006B69A0" w:rsidRPr="00847AC1">
        <w:rPr>
          <w:rFonts w:ascii="Times New Roman" w:hAnsi="Times New Roman" w:cs="Times New Roman"/>
          <w:sz w:val="24"/>
          <w:szCs w:val="24"/>
        </w:rPr>
        <w:t>in the present application</w:t>
      </w:r>
      <w:r w:rsidRPr="00847AC1">
        <w:rPr>
          <w:rFonts w:ascii="Times New Roman" w:hAnsi="Times New Roman" w:cs="Times New Roman"/>
          <w:sz w:val="24"/>
          <w:szCs w:val="24"/>
        </w:rPr>
        <w:t xml:space="preserve">.  </w:t>
      </w:r>
      <w:r w:rsidR="006B69A0" w:rsidRPr="00847AC1">
        <w:rPr>
          <w:rFonts w:ascii="Times New Roman" w:hAnsi="Times New Roman" w:cs="Times New Roman"/>
          <w:sz w:val="24"/>
          <w:szCs w:val="24"/>
        </w:rPr>
        <w:t xml:space="preserve">It was learned respondent counsel’s contention that the balance of convenience tilted towards the respondent bank which stood to suffer more than the applicant if the temporary injunction sought was granted.  </w:t>
      </w:r>
      <w:r w:rsidRPr="00847AC1">
        <w:rPr>
          <w:rFonts w:ascii="Times New Roman" w:hAnsi="Times New Roman" w:cs="Times New Roman"/>
          <w:sz w:val="24"/>
          <w:szCs w:val="24"/>
        </w:rPr>
        <w:t xml:space="preserve">In my view, the answer to that question would lie in the </w:t>
      </w:r>
      <w:r w:rsidR="006B69A0" w:rsidRPr="00847AC1">
        <w:rPr>
          <w:rFonts w:ascii="Times New Roman" w:hAnsi="Times New Roman" w:cs="Times New Roman"/>
          <w:sz w:val="24"/>
          <w:szCs w:val="24"/>
        </w:rPr>
        <w:t xml:space="preserve">cardinal principle underlying the grant of injunctions, to wit the preservation of the </w:t>
      </w:r>
      <w:r w:rsidRPr="00847AC1">
        <w:rPr>
          <w:rFonts w:ascii="Times New Roman" w:hAnsi="Times New Roman" w:cs="Times New Roman"/>
          <w:sz w:val="24"/>
          <w:szCs w:val="24"/>
        </w:rPr>
        <w:t xml:space="preserve">status quo pending the determination of the substantive suit.  </w:t>
      </w:r>
      <w:r w:rsidR="00524087" w:rsidRPr="00847AC1">
        <w:rPr>
          <w:rFonts w:ascii="Times New Roman" w:hAnsi="Times New Roman" w:cs="Times New Roman"/>
          <w:sz w:val="24"/>
          <w:szCs w:val="24"/>
        </w:rPr>
        <w:t>Thus where, as is the case presently,</w:t>
      </w:r>
      <w:r w:rsidRPr="00847AC1">
        <w:rPr>
          <w:rFonts w:ascii="Times New Roman" w:hAnsi="Times New Roman" w:cs="Times New Roman"/>
          <w:sz w:val="24"/>
          <w:szCs w:val="24"/>
        </w:rPr>
        <w:t xml:space="preserve"> a trial court </w:t>
      </w:r>
      <w:r w:rsidR="00524087" w:rsidRPr="00847AC1">
        <w:rPr>
          <w:rFonts w:ascii="Times New Roman" w:hAnsi="Times New Roman" w:cs="Times New Roman"/>
          <w:sz w:val="24"/>
          <w:szCs w:val="24"/>
        </w:rPr>
        <w:t xml:space="preserve">can not judiciously determine on the basis of available affidavit evidence </w:t>
      </w:r>
      <w:r w:rsidRPr="00847AC1">
        <w:rPr>
          <w:rFonts w:ascii="Times New Roman" w:hAnsi="Times New Roman" w:cs="Times New Roman"/>
          <w:sz w:val="24"/>
          <w:szCs w:val="24"/>
        </w:rPr>
        <w:t xml:space="preserve">whether on the face of it (without recourse to the merits thereof) the substantive suit presents a triable issue </w:t>
      </w:r>
      <w:r w:rsidR="00524087" w:rsidRPr="00847AC1">
        <w:rPr>
          <w:rFonts w:ascii="Times New Roman" w:hAnsi="Times New Roman" w:cs="Times New Roman"/>
          <w:sz w:val="24"/>
          <w:szCs w:val="24"/>
        </w:rPr>
        <w:t xml:space="preserve">with strong prospects of success, </w:t>
      </w:r>
      <w:r w:rsidR="006B69A0" w:rsidRPr="00847AC1">
        <w:rPr>
          <w:rFonts w:ascii="Times New Roman" w:hAnsi="Times New Roman" w:cs="Times New Roman"/>
          <w:sz w:val="24"/>
          <w:szCs w:val="24"/>
        </w:rPr>
        <w:t xml:space="preserve">yet </w:t>
      </w:r>
      <w:r w:rsidRPr="00847AC1">
        <w:rPr>
          <w:rFonts w:ascii="Times New Roman" w:hAnsi="Times New Roman" w:cs="Times New Roman"/>
          <w:sz w:val="24"/>
          <w:szCs w:val="24"/>
        </w:rPr>
        <w:t xml:space="preserve">an award of damages </w:t>
      </w:r>
      <w:r w:rsidR="006B69A0" w:rsidRPr="00847AC1">
        <w:rPr>
          <w:rFonts w:ascii="Times New Roman" w:hAnsi="Times New Roman" w:cs="Times New Roman"/>
          <w:sz w:val="24"/>
          <w:szCs w:val="24"/>
        </w:rPr>
        <w:t xml:space="preserve">does not appear to represent adequate recompense </w:t>
      </w:r>
      <w:r w:rsidR="00524087" w:rsidRPr="00847AC1">
        <w:rPr>
          <w:rFonts w:ascii="Times New Roman" w:hAnsi="Times New Roman" w:cs="Times New Roman"/>
          <w:sz w:val="24"/>
          <w:szCs w:val="24"/>
        </w:rPr>
        <w:t xml:space="preserve">in the event that the plaintiff emerges </w:t>
      </w:r>
      <w:r w:rsidR="006B69A0" w:rsidRPr="00847AC1">
        <w:rPr>
          <w:rFonts w:ascii="Times New Roman" w:hAnsi="Times New Roman" w:cs="Times New Roman"/>
          <w:sz w:val="24"/>
          <w:szCs w:val="24"/>
        </w:rPr>
        <w:t xml:space="preserve">successful </w:t>
      </w:r>
      <w:r w:rsidR="00524087" w:rsidRPr="00847AC1">
        <w:rPr>
          <w:rFonts w:ascii="Times New Roman" w:hAnsi="Times New Roman" w:cs="Times New Roman"/>
          <w:sz w:val="24"/>
          <w:szCs w:val="24"/>
        </w:rPr>
        <w:t xml:space="preserve">in the substantive </w:t>
      </w:r>
      <w:r w:rsidRPr="00847AC1">
        <w:rPr>
          <w:rFonts w:ascii="Times New Roman" w:hAnsi="Times New Roman" w:cs="Times New Roman"/>
          <w:sz w:val="24"/>
          <w:szCs w:val="24"/>
        </w:rPr>
        <w:t xml:space="preserve">suit; then the balance of convenience should favour the preservation of the pre-application status quo.  </w:t>
      </w:r>
    </w:p>
    <w:p w:rsidR="00AF06E2" w:rsidRPr="00847AC1" w:rsidRDefault="00524087" w:rsidP="00243BCF">
      <w:pPr>
        <w:jc w:val="both"/>
        <w:rPr>
          <w:rFonts w:ascii="Times New Roman" w:hAnsi="Times New Roman" w:cs="Times New Roman"/>
          <w:sz w:val="24"/>
          <w:szCs w:val="24"/>
        </w:rPr>
      </w:pPr>
      <w:r w:rsidRPr="00847AC1">
        <w:rPr>
          <w:rFonts w:ascii="Times New Roman" w:hAnsi="Times New Roman" w:cs="Times New Roman"/>
          <w:sz w:val="24"/>
          <w:szCs w:val="24"/>
        </w:rPr>
        <w:t>In my judgment, the justice of the present application dictates that the issue of whether or not the mortgage</w:t>
      </w:r>
      <w:r w:rsidR="00AF06E2" w:rsidRPr="00847AC1">
        <w:rPr>
          <w:rFonts w:ascii="Times New Roman" w:hAnsi="Times New Roman" w:cs="Times New Roman"/>
          <w:sz w:val="24"/>
          <w:szCs w:val="24"/>
        </w:rPr>
        <w:t xml:space="preserve"> of the suit </w:t>
      </w:r>
      <w:r w:rsidRPr="00847AC1">
        <w:rPr>
          <w:rFonts w:ascii="Times New Roman" w:hAnsi="Times New Roman" w:cs="Times New Roman"/>
          <w:sz w:val="24"/>
          <w:szCs w:val="24"/>
        </w:rPr>
        <w:t xml:space="preserve">premises did require spousal consent, be determined at trial.  </w:t>
      </w:r>
      <w:r w:rsidR="00AF06E2" w:rsidRPr="00847AC1">
        <w:rPr>
          <w:rFonts w:ascii="Times New Roman" w:hAnsi="Times New Roman" w:cs="Times New Roman"/>
          <w:sz w:val="24"/>
          <w:szCs w:val="24"/>
        </w:rPr>
        <w:t xml:space="preserve">I would </w:t>
      </w:r>
      <w:r w:rsidR="00AF06E2" w:rsidRPr="00847AC1">
        <w:rPr>
          <w:rFonts w:ascii="Times New Roman" w:hAnsi="Times New Roman" w:cs="Times New Roman"/>
          <w:sz w:val="24"/>
          <w:szCs w:val="24"/>
        </w:rPr>
        <w:lastRenderedPageBreak/>
        <w:t>therefore exercise my judicial discretion in favour of a preservation of the pre-application status quo, and do hereby grant a temporary injunction in this matter subject to the following conditions:</w:t>
      </w:r>
    </w:p>
    <w:p w:rsidR="00243BCF" w:rsidRPr="00847AC1" w:rsidRDefault="003B4F34" w:rsidP="003B4F34">
      <w:pPr>
        <w:pStyle w:val="ListParagraph"/>
        <w:numPr>
          <w:ilvl w:val="0"/>
          <w:numId w:val="3"/>
        </w:numPr>
        <w:jc w:val="both"/>
        <w:rPr>
          <w:rFonts w:ascii="Times New Roman" w:hAnsi="Times New Roman" w:cs="Times New Roman"/>
          <w:sz w:val="24"/>
          <w:szCs w:val="24"/>
        </w:rPr>
      </w:pPr>
      <w:r w:rsidRPr="00847AC1">
        <w:rPr>
          <w:rFonts w:ascii="Times New Roman" w:hAnsi="Times New Roman" w:cs="Times New Roman"/>
          <w:sz w:val="24"/>
          <w:szCs w:val="24"/>
        </w:rPr>
        <w:t xml:space="preserve">The substantive suit shall be prosecuted within 2 months from the date hereof, </w:t>
      </w:r>
      <w:r w:rsidR="00AF06E2" w:rsidRPr="00847AC1">
        <w:rPr>
          <w:rFonts w:ascii="Times New Roman" w:hAnsi="Times New Roman" w:cs="Times New Roman"/>
          <w:sz w:val="24"/>
          <w:szCs w:val="24"/>
        </w:rPr>
        <w:t>failure there</w:t>
      </w:r>
      <w:r w:rsidRPr="00847AC1">
        <w:rPr>
          <w:rFonts w:ascii="Times New Roman" w:hAnsi="Times New Roman" w:cs="Times New Roman"/>
          <w:sz w:val="24"/>
          <w:szCs w:val="24"/>
        </w:rPr>
        <w:t xml:space="preserve">of at the instance of the </w:t>
      </w:r>
      <w:r w:rsidR="00F15BCB" w:rsidRPr="00847AC1">
        <w:rPr>
          <w:rFonts w:ascii="Times New Roman" w:hAnsi="Times New Roman" w:cs="Times New Roman"/>
          <w:sz w:val="24"/>
          <w:szCs w:val="24"/>
        </w:rPr>
        <w:t xml:space="preserve">applicant/ </w:t>
      </w:r>
      <w:r w:rsidRPr="00847AC1">
        <w:rPr>
          <w:rFonts w:ascii="Times New Roman" w:hAnsi="Times New Roman" w:cs="Times New Roman"/>
          <w:sz w:val="24"/>
          <w:szCs w:val="24"/>
        </w:rPr>
        <w:t>plaintiff, the temporary injunction shall lapse.</w:t>
      </w:r>
    </w:p>
    <w:p w:rsidR="003B4F34" w:rsidRPr="00847AC1" w:rsidRDefault="003B4F34" w:rsidP="003B4F34">
      <w:pPr>
        <w:pStyle w:val="ListParagraph"/>
        <w:numPr>
          <w:ilvl w:val="0"/>
          <w:numId w:val="3"/>
        </w:numPr>
        <w:jc w:val="both"/>
        <w:rPr>
          <w:rFonts w:ascii="Times New Roman" w:hAnsi="Times New Roman" w:cs="Times New Roman"/>
          <w:sz w:val="24"/>
          <w:szCs w:val="24"/>
        </w:rPr>
      </w:pPr>
      <w:r w:rsidRPr="00847AC1">
        <w:rPr>
          <w:rFonts w:ascii="Times New Roman" w:hAnsi="Times New Roman" w:cs="Times New Roman"/>
          <w:sz w:val="24"/>
          <w:szCs w:val="24"/>
        </w:rPr>
        <w:t>The temporary injunction shall be subject to periodic review during the prosecution of the substantive suit.</w:t>
      </w:r>
    </w:p>
    <w:p w:rsidR="00C764D5" w:rsidRPr="00847AC1" w:rsidRDefault="00C764D5" w:rsidP="00243BCF">
      <w:pPr>
        <w:jc w:val="both"/>
        <w:rPr>
          <w:rFonts w:ascii="Times New Roman" w:hAnsi="Times New Roman" w:cs="Times New Roman"/>
          <w:sz w:val="24"/>
          <w:szCs w:val="24"/>
        </w:rPr>
      </w:pPr>
    </w:p>
    <w:p w:rsidR="0074341E" w:rsidRPr="00847AC1" w:rsidRDefault="0074341E" w:rsidP="00B152AB">
      <w:pPr>
        <w:pStyle w:val="ListParagraph"/>
        <w:ind w:left="0"/>
        <w:jc w:val="both"/>
        <w:rPr>
          <w:rFonts w:ascii="Times New Roman" w:eastAsia="Calibri" w:hAnsi="Times New Roman" w:cs="Times New Roman"/>
          <w:b/>
          <w:bCs/>
          <w:sz w:val="24"/>
          <w:szCs w:val="24"/>
        </w:rPr>
      </w:pPr>
    </w:p>
    <w:p w:rsidR="00B152AB" w:rsidRPr="00847AC1" w:rsidRDefault="00B152AB" w:rsidP="00B152AB">
      <w:pPr>
        <w:pStyle w:val="ListParagraph"/>
        <w:ind w:left="0"/>
        <w:jc w:val="both"/>
        <w:rPr>
          <w:rFonts w:ascii="Times New Roman" w:eastAsia="Calibri" w:hAnsi="Times New Roman" w:cs="Times New Roman"/>
          <w:b/>
          <w:sz w:val="24"/>
          <w:szCs w:val="24"/>
        </w:rPr>
      </w:pPr>
      <w:r w:rsidRPr="00847AC1">
        <w:rPr>
          <w:rFonts w:ascii="Times New Roman" w:eastAsia="Calibri" w:hAnsi="Times New Roman" w:cs="Times New Roman"/>
          <w:b/>
          <w:bCs/>
          <w:sz w:val="24"/>
          <w:szCs w:val="24"/>
        </w:rPr>
        <w:t>Monica K. Mugenyi</w:t>
      </w:r>
      <w:r w:rsidRPr="00847AC1">
        <w:rPr>
          <w:rFonts w:ascii="Times New Roman" w:eastAsia="Calibri" w:hAnsi="Times New Roman" w:cs="Times New Roman"/>
          <w:b/>
          <w:sz w:val="24"/>
          <w:szCs w:val="24"/>
        </w:rPr>
        <w:t xml:space="preserve"> </w:t>
      </w:r>
    </w:p>
    <w:p w:rsidR="00B152AB" w:rsidRPr="00847AC1" w:rsidRDefault="00B152AB" w:rsidP="00B152AB">
      <w:pPr>
        <w:pStyle w:val="ListParagraph"/>
        <w:ind w:left="0"/>
        <w:jc w:val="both"/>
        <w:rPr>
          <w:rFonts w:ascii="Times New Roman" w:eastAsia="Calibri" w:hAnsi="Times New Roman" w:cs="Times New Roman"/>
          <w:b/>
          <w:sz w:val="24"/>
          <w:szCs w:val="24"/>
          <w:u w:val="single"/>
        </w:rPr>
      </w:pPr>
      <w:r w:rsidRPr="00847AC1">
        <w:rPr>
          <w:rFonts w:ascii="Times New Roman" w:eastAsia="Calibri" w:hAnsi="Times New Roman" w:cs="Times New Roman"/>
          <w:b/>
          <w:sz w:val="24"/>
          <w:szCs w:val="24"/>
          <w:u w:val="single"/>
        </w:rPr>
        <w:t>JUDGE</w:t>
      </w:r>
    </w:p>
    <w:p w:rsidR="00B152AB" w:rsidRPr="00847AC1" w:rsidRDefault="00AF06E2" w:rsidP="00C70E8C">
      <w:pPr>
        <w:jc w:val="both"/>
        <w:rPr>
          <w:rFonts w:ascii="Times New Roman" w:hAnsi="Times New Roman" w:cs="Times New Roman"/>
        </w:rPr>
      </w:pPr>
      <w:r w:rsidRPr="00847AC1">
        <w:rPr>
          <w:rFonts w:ascii="Times New Roman" w:hAnsi="Times New Roman" w:cs="Times New Roman"/>
          <w:sz w:val="24"/>
          <w:szCs w:val="24"/>
        </w:rPr>
        <w:t>13</w:t>
      </w:r>
      <w:r w:rsidR="00B152AB" w:rsidRPr="00847AC1">
        <w:rPr>
          <w:rFonts w:ascii="Times New Roman" w:hAnsi="Times New Roman" w:cs="Times New Roman"/>
          <w:sz w:val="24"/>
          <w:szCs w:val="24"/>
          <w:vertAlign w:val="superscript"/>
        </w:rPr>
        <w:t>th</w:t>
      </w:r>
      <w:r w:rsidR="00B152AB" w:rsidRPr="00847AC1">
        <w:rPr>
          <w:rFonts w:ascii="Times New Roman" w:hAnsi="Times New Roman" w:cs="Times New Roman"/>
          <w:sz w:val="24"/>
          <w:szCs w:val="24"/>
        </w:rPr>
        <w:t xml:space="preserve"> </w:t>
      </w:r>
      <w:r w:rsidR="003B4F34" w:rsidRPr="00847AC1">
        <w:rPr>
          <w:rFonts w:ascii="Times New Roman" w:hAnsi="Times New Roman" w:cs="Times New Roman"/>
          <w:sz w:val="24"/>
          <w:szCs w:val="24"/>
        </w:rPr>
        <w:t>September</w:t>
      </w:r>
      <w:r w:rsidR="00B152AB" w:rsidRPr="00847AC1">
        <w:rPr>
          <w:rFonts w:ascii="Times New Roman" w:eastAsia="Calibri" w:hAnsi="Times New Roman" w:cs="Times New Roman"/>
          <w:sz w:val="24"/>
          <w:szCs w:val="24"/>
        </w:rPr>
        <w:t>, 201</w:t>
      </w:r>
      <w:r w:rsidR="003B4F34" w:rsidRPr="00847AC1">
        <w:rPr>
          <w:rFonts w:ascii="Times New Roman" w:eastAsia="Calibri" w:hAnsi="Times New Roman" w:cs="Times New Roman"/>
          <w:sz w:val="24"/>
          <w:szCs w:val="24"/>
        </w:rPr>
        <w:t>3</w:t>
      </w:r>
    </w:p>
    <w:sectPr w:rsidR="00B152AB" w:rsidRPr="00847AC1" w:rsidSect="00D418A2">
      <w:head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06CB" w:rsidRDefault="00CA06CB" w:rsidP="003B4F34">
      <w:pPr>
        <w:spacing w:after="0" w:line="240" w:lineRule="auto"/>
      </w:pPr>
      <w:r>
        <w:separator/>
      </w:r>
    </w:p>
  </w:endnote>
  <w:endnote w:type="continuationSeparator" w:id="1">
    <w:p w:rsidR="00CA06CB" w:rsidRDefault="00CA06CB" w:rsidP="003B4F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06CB" w:rsidRDefault="00CA06CB" w:rsidP="003B4F34">
      <w:pPr>
        <w:spacing w:after="0" w:line="240" w:lineRule="auto"/>
      </w:pPr>
      <w:r>
        <w:separator/>
      </w:r>
    </w:p>
  </w:footnote>
  <w:footnote w:type="continuationSeparator" w:id="1">
    <w:p w:rsidR="00CA06CB" w:rsidRDefault="00CA06CB" w:rsidP="003B4F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9A0" w:rsidRDefault="006B69A0">
    <w:pPr>
      <w:pStyle w:val="Header"/>
      <w:jc w:val="center"/>
    </w:pPr>
  </w:p>
  <w:p w:rsidR="006B69A0" w:rsidRDefault="006B69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87639"/>
    <w:multiLevelType w:val="hybridMultilevel"/>
    <w:tmpl w:val="64E2B9A0"/>
    <w:lvl w:ilvl="0" w:tplc="E7066412">
      <w:start w:val="1"/>
      <w:numFmt w:val="lowerLetter"/>
      <w:lvlText w:val="%1."/>
      <w:lvlJc w:val="left"/>
      <w:pPr>
        <w:ind w:left="735" w:hanging="375"/>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576A4D12"/>
    <w:multiLevelType w:val="hybridMultilevel"/>
    <w:tmpl w:val="C3AE7D7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nsid w:val="5C6602CE"/>
    <w:multiLevelType w:val="hybridMultilevel"/>
    <w:tmpl w:val="F6D04ADC"/>
    <w:lvl w:ilvl="0" w:tplc="FEE06D1A">
      <w:start w:val="1"/>
      <w:numFmt w:val="lowerRoman"/>
      <w:lvlText w:val="%1."/>
      <w:lvlJc w:val="left"/>
      <w:pPr>
        <w:ind w:left="1455" w:hanging="720"/>
      </w:pPr>
      <w:rPr>
        <w:rFonts w:hint="default"/>
      </w:rPr>
    </w:lvl>
    <w:lvl w:ilvl="1" w:tplc="10090019" w:tentative="1">
      <w:start w:val="1"/>
      <w:numFmt w:val="lowerLetter"/>
      <w:lvlText w:val="%2."/>
      <w:lvlJc w:val="left"/>
      <w:pPr>
        <w:ind w:left="1815" w:hanging="360"/>
      </w:pPr>
    </w:lvl>
    <w:lvl w:ilvl="2" w:tplc="1009001B" w:tentative="1">
      <w:start w:val="1"/>
      <w:numFmt w:val="lowerRoman"/>
      <w:lvlText w:val="%3."/>
      <w:lvlJc w:val="right"/>
      <w:pPr>
        <w:ind w:left="2535" w:hanging="180"/>
      </w:pPr>
    </w:lvl>
    <w:lvl w:ilvl="3" w:tplc="1009000F" w:tentative="1">
      <w:start w:val="1"/>
      <w:numFmt w:val="decimal"/>
      <w:lvlText w:val="%4."/>
      <w:lvlJc w:val="left"/>
      <w:pPr>
        <w:ind w:left="3255" w:hanging="360"/>
      </w:pPr>
    </w:lvl>
    <w:lvl w:ilvl="4" w:tplc="10090019" w:tentative="1">
      <w:start w:val="1"/>
      <w:numFmt w:val="lowerLetter"/>
      <w:lvlText w:val="%5."/>
      <w:lvlJc w:val="left"/>
      <w:pPr>
        <w:ind w:left="3975" w:hanging="360"/>
      </w:pPr>
    </w:lvl>
    <w:lvl w:ilvl="5" w:tplc="1009001B" w:tentative="1">
      <w:start w:val="1"/>
      <w:numFmt w:val="lowerRoman"/>
      <w:lvlText w:val="%6."/>
      <w:lvlJc w:val="right"/>
      <w:pPr>
        <w:ind w:left="4695" w:hanging="180"/>
      </w:pPr>
    </w:lvl>
    <w:lvl w:ilvl="6" w:tplc="1009000F" w:tentative="1">
      <w:start w:val="1"/>
      <w:numFmt w:val="decimal"/>
      <w:lvlText w:val="%7."/>
      <w:lvlJc w:val="left"/>
      <w:pPr>
        <w:ind w:left="5415" w:hanging="360"/>
      </w:pPr>
    </w:lvl>
    <w:lvl w:ilvl="7" w:tplc="10090019" w:tentative="1">
      <w:start w:val="1"/>
      <w:numFmt w:val="lowerLetter"/>
      <w:lvlText w:val="%8."/>
      <w:lvlJc w:val="left"/>
      <w:pPr>
        <w:ind w:left="6135" w:hanging="360"/>
      </w:pPr>
    </w:lvl>
    <w:lvl w:ilvl="8" w:tplc="1009001B" w:tentative="1">
      <w:start w:val="1"/>
      <w:numFmt w:val="lowerRoman"/>
      <w:lvlText w:val="%9."/>
      <w:lvlJc w:val="right"/>
      <w:pPr>
        <w:ind w:left="6855"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20"/>
  <w:characterSpacingControl w:val="doNotCompress"/>
  <w:footnotePr>
    <w:footnote w:id="0"/>
    <w:footnote w:id="1"/>
  </w:footnotePr>
  <w:endnotePr>
    <w:endnote w:id="0"/>
    <w:endnote w:id="1"/>
  </w:endnotePr>
  <w:compat/>
  <w:rsids>
    <w:rsidRoot w:val="00B152AB"/>
    <w:rsid w:val="00010175"/>
    <w:rsid w:val="000569A3"/>
    <w:rsid w:val="00061BE7"/>
    <w:rsid w:val="00063CEC"/>
    <w:rsid w:val="00073B54"/>
    <w:rsid w:val="000A5A95"/>
    <w:rsid w:val="000C6FF9"/>
    <w:rsid w:val="000F5B86"/>
    <w:rsid w:val="00155BB9"/>
    <w:rsid w:val="00243BCF"/>
    <w:rsid w:val="00245688"/>
    <w:rsid w:val="00265950"/>
    <w:rsid w:val="002779A5"/>
    <w:rsid w:val="002A5758"/>
    <w:rsid w:val="002F7FF0"/>
    <w:rsid w:val="0039280C"/>
    <w:rsid w:val="00397AAA"/>
    <w:rsid w:val="00397DE1"/>
    <w:rsid w:val="003B4F34"/>
    <w:rsid w:val="00402DF4"/>
    <w:rsid w:val="004107D3"/>
    <w:rsid w:val="00461787"/>
    <w:rsid w:val="004D0E06"/>
    <w:rsid w:val="004E5108"/>
    <w:rsid w:val="00524087"/>
    <w:rsid w:val="00555603"/>
    <w:rsid w:val="005604A8"/>
    <w:rsid w:val="005A2F34"/>
    <w:rsid w:val="005C1288"/>
    <w:rsid w:val="005E071C"/>
    <w:rsid w:val="00616C8B"/>
    <w:rsid w:val="006233A4"/>
    <w:rsid w:val="00652B41"/>
    <w:rsid w:val="00655589"/>
    <w:rsid w:val="006B179F"/>
    <w:rsid w:val="006B69A0"/>
    <w:rsid w:val="0070223A"/>
    <w:rsid w:val="0074341E"/>
    <w:rsid w:val="00755EAF"/>
    <w:rsid w:val="0078441F"/>
    <w:rsid w:val="00832A14"/>
    <w:rsid w:val="00847AC1"/>
    <w:rsid w:val="00864067"/>
    <w:rsid w:val="008B0281"/>
    <w:rsid w:val="008B035E"/>
    <w:rsid w:val="008F4345"/>
    <w:rsid w:val="00933C06"/>
    <w:rsid w:val="009467DA"/>
    <w:rsid w:val="009546B4"/>
    <w:rsid w:val="00971144"/>
    <w:rsid w:val="009854E2"/>
    <w:rsid w:val="009A514E"/>
    <w:rsid w:val="009C728D"/>
    <w:rsid w:val="009F61A0"/>
    <w:rsid w:val="00A02ACD"/>
    <w:rsid w:val="00A54BFF"/>
    <w:rsid w:val="00AB7BF2"/>
    <w:rsid w:val="00AC283D"/>
    <w:rsid w:val="00AC509C"/>
    <w:rsid w:val="00AF06E2"/>
    <w:rsid w:val="00AF79CB"/>
    <w:rsid w:val="00B152AB"/>
    <w:rsid w:val="00B335AE"/>
    <w:rsid w:val="00BC2C4A"/>
    <w:rsid w:val="00BC5269"/>
    <w:rsid w:val="00C40AD7"/>
    <w:rsid w:val="00C673DE"/>
    <w:rsid w:val="00C70964"/>
    <w:rsid w:val="00C70E8C"/>
    <w:rsid w:val="00C764D5"/>
    <w:rsid w:val="00CA06CB"/>
    <w:rsid w:val="00D418A2"/>
    <w:rsid w:val="00D637DF"/>
    <w:rsid w:val="00DA5C66"/>
    <w:rsid w:val="00DF54F6"/>
    <w:rsid w:val="00E737AD"/>
    <w:rsid w:val="00E95287"/>
    <w:rsid w:val="00EB5F79"/>
    <w:rsid w:val="00F15BCB"/>
    <w:rsid w:val="00F23445"/>
    <w:rsid w:val="00F402A1"/>
    <w:rsid w:val="00F42EFA"/>
    <w:rsid w:val="00FC2E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2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52A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B152AB"/>
    <w:pPr>
      <w:ind w:left="720"/>
      <w:contextualSpacing/>
    </w:pPr>
  </w:style>
  <w:style w:type="paragraph" w:styleId="Header">
    <w:name w:val="header"/>
    <w:basedOn w:val="Normal"/>
    <w:link w:val="HeaderChar"/>
    <w:uiPriority w:val="99"/>
    <w:unhideWhenUsed/>
    <w:rsid w:val="003B4F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F34"/>
  </w:style>
  <w:style w:type="paragraph" w:styleId="Footer">
    <w:name w:val="footer"/>
    <w:basedOn w:val="Normal"/>
    <w:link w:val="FooterChar"/>
    <w:uiPriority w:val="99"/>
    <w:unhideWhenUsed/>
    <w:rsid w:val="003B4F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F3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1487</Words>
  <Characters>8479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mmugenyi</dc:creator>
  <cp:lastModifiedBy>jmugala</cp:lastModifiedBy>
  <cp:revision>2</cp:revision>
  <cp:lastPrinted>2013-09-03T08:19:00Z</cp:lastPrinted>
  <dcterms:created xsi:type="dcterms:W3CDTF">2013-09-27T06:37:00Z</dcterms:created>
  <dcterms:modified xsi:type="dcterms:W3CDTF">2013-09-27T06:37:00Z</dcterms:modified>
</cp:coreProperties>
</file>