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C" w:rsidRPr="00832F19" w:rsidRDefault="000E2E97" w:rsidP="00832F19">
      <w:pPr>
        <w:pStyle w:val="Heading10"/>
        <w:keepNext/>
        <w:keepLines/>
        <w:shd w:val="clear" w:color="auto" w:fill="auto"/>
        <w:spacing w:after="27" w:line="360" w:lineRule="auto"/>
        <w:ind w:left="340"/>
        <w:jc w:val="both"/>
        <w:rPr>
          <w:sz w:val="24"/>
          <w:szCs w:val="24"/>
        </w:rPr>
      </w:pPr>
      <w:bookmarkStart w:id="0" w:name="bookmark0"/>
      <w:r w:rsidRPr="00832F19">
        <w:rPr>
          <w:rStyle w:val="Heading11"/>
          <w:sz w:val="24"/>
          <w:szCs w:val="24"/>
        </w:rPr>
        <w:t>THE REPUBLIC OF UGANDA</w:t>
      </w:r>
      <w:bookmarkEnd w:id="0"/>
    </w:p>
    <w:p w:rsidR="000E2E97" w:rsidRPr="00832F19" w:rsidRDefault="000E2E97" w:rsidP="00832F19">
      <w:pPr>
        <w:pStyle w:val="BodyText4"/>
        <w:shd w:val="clear" w:color="auto" w:fill="auto"/>
        <w:spacing w:before="0" w:after="518" w:line="360" w:lineRule="auto"/>
        <w:ind w:left="2280" w:right="1500"/>
        <w:jc w:val="both"/>
        <w:rPr>
          <w:rStyle w:val="BodyText1"/>
          <w:sz w:val="24"/>
          <w:szCs w:val="24"/>
        </w:rPr>
      </w:pPr>
      <w:proofErr w:type="gramStart"/>
      <w:r w:rsidRPr="00832F19">
        <w:rPr>
          <w:rStyle w:val="BodyText1"/>
          <w:sz w:val="24"/>
          <w:szCs w:val="24"/>
        </w:rPr>
        <w:t>IN THE HIGH COURT OF UGANDA HOLDEN AT KAMPALA MISC.APPLICATION NO.</w:t>
      </w:r>
      <w:proofErr w:type="gramEnd"/>
      <w:r w:rsidRPr="00832F19">
        <w:rPr>
          <w:rStyle w:val="BodyText1"/>
          <w:sz w:val="24"/>
          <w:szCs w:val="24"/>
        </w:rPr>
        <w:t xml:space="preserve"> 161 OF 2004 </w:t>
      </w:r>
    </w:p>
    <w:p w:rsidR="00B01D3C" w:rsidRPr="00832F19" w:rsidRDefault="000E2E97" w:rsidP="00832F19">
      <w:pPr>
        <w:pStyle w:val="BodyText4"/>
        <w:shd w:val="clear" w:color="auto" w:fill="auto"/>
        <w:spacing w:before="0" w:after="518" w:line="360" w:lineRule="auto"/>
        <w:ind w:left="2280" w:right="150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 xml:space="preserve">                        (Arising from Civil Suit No. 719 of 2003)</w:t>
      </w:r>
    </w:p>
    <w:p w:rsidR="00B01D3C" w:rsidRPr="00832F19" w:rsidRDefault="000E2E97" w:rsidP="00832F19">
      <w:pPr>
        <w:pStyle w:val="BodyText4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360" w:lineRule="auto"/>
        <w:ind w:left="4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BALIKUDDEMBE ERISHA</w:t>
      </w:r>
    </w:p>
    <w:p w:rsidR="00B01D3C" w:rsidRPr="00832F19" w:rsidRDefault="000E2E97" w:rsidP="00832F19">
      <w:pPr>
        <w:pStyle w:val="BodyText4"/>
        <w:numPr>
          <w:ilvl w:val="0"/>
          <w:numId w:val="1"/>
        </w:numPr>
        <w:shd w:val="clear" w:color="auto" w:fill="auto"/>
        <w:tabs>
          <w:tab w:val="left" w:pos="405"/>
          <w:tab w:val="left" w:leader="dot" w:pos="5622"/>
        </w:tabs>
        <w:spacing w:before="0" w:after="0" w:line="360" w:lineRule="auto"/>
        <w:ind w:left="4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SEBULIBA BUSULWA SAM</w:t>
      </w:r>
      <w:r w:rsidRPr="00832F19">
        <w:rPr>
          <w:rStyle w:val="BodyText1"/>
          <w:sz w:val="24"/>
          <w:szCs w:val="24"/>
        </w:rPr>
        <w:tab/>
      </w:r>
      <w:r w:rsidRPr="00832F19">
        <w:rPr>
          <w:rStyle w:val="BodyText2"/>
          <w:sz w:val="24"/>
          <w:szCs w:val="24"/>
        </w:rPr>
        <w:t>APPLICANTS/PLAINTIFFS</w:t>
      </w:r>
    </w:p>
    <w:p w:rsidR="00B01D3C" w:rsidRPr="00832F19" w:rsidRDefault="000E2E97" w:rsidP="00832F19">
      <w:pPr>
        <w:pStyle w:val="BodyText4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 w:line="360" w:lineRule="auto"/>
        <w:ind w:left="4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NAMIREMBE HARRIET</w:t>
      </w:r>
    </w:p>
    <w:p w:rsidR="00B01D3C" w:rsidRPr="00832F19" w:rsidRDefault="000E2E97" w:rsidP="00832F19">
      <w:pPr>
        <w:pStyle w:val="BodyText4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360" w:lineRule="auto"/>
        <w:ind w:left="4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BUSULWA KAYONGO</w:t>
      </w:r>
    </w:p>
    <w:p w:rsidR="00B01D3C" w:rsidRPr="00832F19" w:rsidRDefault="000E2E97" w:rsidP="00832F19">
      <w:pPr>
        <w:pStyle w:val="BodyText4"/>
        <w:shd w:val="clear" w:color="auto" w:fill="auto"/>
        <w:spacing w:before="0" w:after="338" w:line="360" w:lineRule="auto"/>
        <w:ind w:left="34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Versus</w:t>
      </w:r>
    </w:p>
    <w:p w:rsidR="00B01D3C" w:rsidRPr="00832F19" w:rsidRDefault="000E2E97" w:rsidP="00832F19">
      <w:pPr>
        <w:pStyle w:val="BodyText4"/>
        <w:shd w:val="clear" w:color="auto" w:fill="auto"/>
        <w:tabs>
          <w:tab w:val="left" w:leader="dot" w:pos="5406"/>
        </w:tabs>
        <w:spacing w:before="0" w:after="537" w:line="360" w:lineRule="auto"/>
        <w:ind w:left="4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NAKAMATE CURAIMETI</w:t>
      </w:r>
      <w:r w:rsidRPr="00832F19">
        <w:rPr>
          <w:rStyle w:val="BodyText1"/>
          <w:sz w:val="24"/>
          <w:szCs w:val="24"/>
        </w:rPr>
        <w:tab/>
      </w:r>
      <w:r w:rsidRPr="00832F19">
        <w:rPr>
          <w:rStyle w:val="BodyText2"/>
          <w:sz w:val="24"/>
          <w:szCs w:val="24"/>
        </w:rPr>
        <w:t xml:space="preserve">RESPONDENT/DEFENDANT </w:t>
      </w:r>
      <w:r w:rsidRPr="00832F19">
        <w:rPr>
          <w:rStyle w:val="BodytextBold"/>
          <w:sz w:val="24"/>
          <w:szCs w:val="24"/>
        </w:rPr>
        <w:t>\</w:t>
      </w:r>
    </w:p>
    <w:p w:rsidR="00B01D3C" w:rsidRPr="00832F19" w:rsidRDefault="000E2E97" w:rsidP="00832F19">
      <w:pPr>
        <w:pStyle w:val="Heading20"/>
        <w:keepNext/>
        <w:keepLines/>
        <w:shd w:val="clear" w:color="auto" w:fill="auto"/>
        <w:spacing w:before="0" w:after="400" w:line="360" w:lineRule="auto"/>
        <w:ind w:left="340"/>
        <w:jc w:val="both"/>
        <w:rPr>
          <w:sz w:val="24"/>
          <w:szCs w:val="24"/>
        </w:rPr>
      </w:pPr>
      <w:bookmarkStart w:id="1" w:name="bookmark1"/>
      <w:r w:rsidRPr="00832F19">
        <w:rPr>
          <w:rStyle w:val="Heading21"/>
          <w:b/>
          <w:bCs/>
          <w:sz w:val="24"/>
          <w:szCs w:val="24"/>
        </w:rPr>
        <w:t>RULING</w:t>
      </w:r>
      <w:bookmarkEnd w:id="1"/>
    </w:p>
    <w:p w:rsidR="00B01D3C" w:rsidRPr="00832F19" w:rsidRDefault="000E2E97" w:rsidP="00832F19">
      <w:pPr>
        <w:pStyle w:val="BodyText4"/>
        <w:shd w:val="clear" w:color="auto" w:fill="auto"/>
        <w:spacing w:before="0" w:line="360" w:lineRule="auto"/>
        <w:ind w:left="40" w:right="32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 xml:space="preserve">This is an application for a temporary injunction brought under </w:t>
      </w:r>
      <w:r w:rsidRPr="00832F19">
        <w:rPr>
          <w:rStyle w:val="BodyText2"/>
          <w:sz w:val="24"/>
          <w:szCs w:val="24"/>
        </w:rPr>
        <w:t xml:space="preserve">0.37 rules 1 2 and 9 of </w:t>
      </w:r>
      <w:r w:rsidRPr="00832F19">
        <w:rPr>
          <w:rStyle w:val="BodyText1"/>
          <w:sz w:val="24"/>
          <w:szCs w:val="24"/>
        </w:rPr>
        <w:t xml:space="preserve">the C.P.R. Although the application was filed by the Legal Aid on </w:t>
      </w:r>
      <w:r w:rsidRPr="00832F19">
        <w:rPr>
          <w:rStyle w:val="BodyText2"/>
          <w:sz w:val="24"/>
          <w:szCs w:val="24"/>
        </w:rPr>
        <w:t xml:space="preserve">behalf of the </w:t>
      </w:r>
      <w:r w:rsidRPr="00832F19">
        <w:rPr>
          <w:rStyle w:val="BodyText1"/>
          <w:sz w:val="24"/>
          <w:szCs w:val="24"/>
        </w:rPr>
        <w:t xml:space="preserve">applicants who are the plaintiff in Civil Suit No. 719/2003, the main </w:t>
      </w:r>
      <w:r w:rsidRPr="00832F19">
        <w:rPr>
          <w:rStyle w:val="BodyText2"/>
          <w:sz w:val="24"/>
          <w:szCs w:val="24"/>
        </w:rPr>
        <w:t xml:space="preserve">suit, it was presented </w:t>
      </w:r>
      <w:r w:rsidRPr="00832F19">
        <w:rPr>
          <w:rStyle w:val="BodyText1"/>
          <w:sz w:val="24"/>
          <w:szCs w:val="24"/>
        </w:rPr>
        <w:t xml:space="preserve">by the fourth respondent </w:t>
      </w:r>
      <w:r w:rsidRPr="00832F19">
        <w:rPr>
          <w:rStyle w:val="BodyText2"/>
          <w:sz w:val="24"/>
          <w:szCs w:val="24"/>
        </w:rPr>
        <w:t xml:space="preserve">in </w:t>
      </w:r>
      <w:r w:rsidRPr="00832F19">
        <w:rPr>
          <w:rStyle w:val="BodyText1"/>
          <w:sz w:val="24"/>
          <w:szCs w:val="24"/>
        </w:rPr>
        <w:t xml:space="preserve">person after the counsel who had handled </w:t>
      </w:r>
      <w:r w:rsidRPr="00832F19">
        <w:rPr>
          <w:rStyle w:val="BodyText2"/>
          <w:sz w:val="24"/>
          <w:szCs w:val="24"/>
        </w:rPr>
        <w:t xml:space="preserve">his case in the </w:t>
      </w:r>
      <w:r w:rsidRPr="00832F19">
        <w:rPr>
          <w:rStyle w:val="BodyText1"/>
          <w:sz w:val="24"/>
          <w:szCs w:val="24"/>
        </w:rPr>
        <w:t>Legal Aid Project had left that organisation for another employment.</w:t>
      </w:r>
    </w:p>
    <w:p w:rsidR="00B01D3C" w:rsidRPr="00832F19" w:rsidRDefault="000E2E97" w:rsidP="00832F19">
      <w:pPr>
        <w:pStyle w:val="BodyText4"/>
        <w:shd w:val="clear" w:color="auto" w:fill="auto"/>
        <w:spacing w:before="0" w:after="364" w:line="360" w:lineRule="auto"/>
        <w:ind w:left="40" w:right="32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 xml:space="preserve">When the application came for hearing counsel for the respondent </w:t>
      </w:r>
      <w:r w:rsidRPr="00832F19">
        <w:rPr>
          <w:rStyle w:val="BodyText2"/>
          <w:sz w:val="24"/>
          <w:szCs w:val="24"/>
        </w:rPr>
        <w:t xml:space="preserve">raised </w:t>
      </w:r>
      <w:r w:rsidRPr="00832F19">
        <w:rPr>
          <w:rStyle w:val="BodyText1"/>
          <w:sz w:val="24"/>
          <w:szCs w:val="24"/>
        </w:rPr>
        <w:t xml:space="preserve">a </w:t>
      </w:r>
      <w:r w:rsidRPr="00832F19">
        <w:rPr>
          <w:rStyle w:val="BodyText2"/>
          <w:sz w:val="24"/>
          <w:szCs w:val="24"/>
        </w:rPr>
        <w:t xml:space="preserve">preliminary </w:t>
      </w:r>
      <w:r w:rsidRPr="00832F19">
        <w:rPr>
          <w:rStyle w:val="BodyText1"/>
          <w:sz w:val="24"/>
          <w:szCs w:val="24"/>
        </w:rPr>
        <w:t xml:space="preserve">objection that the affidavit in support of the application </w:t>
      </w:r>
      <w:r w:rsidRPr="00832F19">
        <w:rPr>
          <w:rStyle w:val="BodyText2"/>
          <w:sz w:val="24"/>
          <w:szCs w:val="24"/>
        </w:rPr>
        <w:t xml:space="preserve">was defective </w:t>
      </w:r>
      <w:r w:rsidRPr="00832F19">
        <w:rPr>
          <w:rStyle w:val="BodyText1"/>
          <w:sz w:val="24"/>
          <w:szCs w:val="24"/>
        </w:rPr>
        <w:t xml:space="preserve">in that </w:t>
      </w:r>
      <w:r w:rsidRPr="00832F19">
        <w:rPr>
          <w:rStyle w:val="BodyText2"/>
          <w:sz w:val="24"/>
          <w:szCs w:val="24"/>
        </w:rPr>
        <w:t xml:space="preserve">it did not </w:t>
      </w:r>
      <w:r w:rsidRPr="00832F19">
        <w:rPr>
          <w:rStyle w:val="BodyText1"/>
          <w:sz w:val="24"/>
          <w:szCs w:val="24"/>
        </w:rPr>
        <w:t xml:space="preserve">conform to Jurat contained in the Commissioner’s for Oaths </w:t>
      </w:r>
      <w:r w:rsidRPr="00832F19">
        <w:rPr>
          <w:rStyle w:val="BodyText2"/>
          <w:sz w:val="24"/>
          <w:szCs w:val="24"/>
        </w:rPr>
        <w:t xml:space="preserve">(Advocate) (section 5 and j </w:t>
      </w:r>
      <w:r w:rsidRPr="00832F19">
        <w:rPr>
          <w:rStyle w:val="BodyText1"/>
          <w:sz w:val="24"/>
          <w:szCs w:val="24"/>
        </w:rPr>
        <w:t xml:space="preserve">Rule 9 of Chapter 5 of Laws of Uganda.) The applicant in reply, </w:t>
      </w:r>
      <w:proofErr w:type="gramStart"/>
      <w:r w:rsidRPr="00832F19">
        <w:rPr>
          <w:rStyle w:val="BodyText2"/>
          <w:sz w:val="24"/>
          <w:szCs w:val="24"/>
        </w:rPr>
        <w:t>prayed,</w:t>
      </w:r>
      <w:proofErr w:type="gramEnd"/>
      <w:r w:rsidRPr="00832F19">
        <w:rPr>
          <w:rStyle w:val="BodyText2"/>
          <w:sz w:val="24"/>
          <w:szCs w:val="24"/>
        </w:rPr>
        <w:t xml:space="preserve"> court to proceed </w:t>
      </w:r>
      <w:r w:rsidRPr="00832F19">
        <w:rPr>
          <w:rStyle w:val="BodyText1"/>
          <w:sz w:val="24"/>
          <w:szCs w:val="24"/>
        </w:rPr>
        <w:t>with the application despite the irregularity in his affidavit.</w:t>
      </w:r>
    </w:p>
    <w:p w:rsidR="00B01D3C" w:rsidRPr="00832F19" w:rsidRDefault="000E2E97" w:rsidP="00832F19">
      <w:pPr>
        <w:pStyle w:val="BodyText4"/>
        <w:shd w:val="clear" w:color="auto" w:fill="auto"/>
        <w:spacing w:before="0" w:after="0" w:line="360" w:lineRule="auto"/>
        <w:ind w:left="40" w:right="32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 xml:space="preserve">It has been said in several cases that an irregularity, once detected </w:t>
      </w:r>
      <w:r w:rsidRPr="00832F19">
        <w:rPr>
          <w:rStyle w:val="BodyText2"/>
          <w:sz w:val="24"/>
          <w:szCs w:val="24"/>
        </w:rPr>
        <w:t xml:space="preserve">by the court, should </w:t>
      </w:r>
      <w:r w:rsidRPr="00832F19">
        <w:rPr>
          <w:rStyle w:val="BodyText1"/>
          <w:sz w:val="24"/>
          <w:szCs w:val="24"/>
        </w:rPr>
        <w:t xml:space="preserve">not </w:t>
      </w:r>
      <w:r w:rsidRPr="00832F19">
        <w:rPr>
          <w:rStyle w:val="BodyText1"/>
          <w:sz w:val="24"/>
          <w:szCs w:val="24"/>
        </w:rPr>
        <w:lastRenderedPageBreak/>
        <w:t>ignored it.</w:t>
      </w:r>
    </w:p>
    <w:p w:rsidR="00B01D3C" w:rsidRPr="00832F19" w:rsidRDefault="000E2E97" w:rsidP="00832F19">
      <w:pPr>
        <w:pStyle w:val="Bodytext21"/>
        <w:shd w:val="clear" w:color="auto" w:fill="auto"/>
        <w:spacing w:after="410" w:line="360" w:lineRule="auto"/>
        <w:ind w:left="60"/>
        <w:rPr>
          <w:sz w:val="24"/>
          <w:szCs w:val="24"/>
        </w:rPr>
      </w:pPr>
      <w:r w:rsidRPr="00832F19">
        <w:rPr>
          <w:rStyle w:val="Bodytext22"/>
          <w:b/>
          <w:bCs/>
          <w:i/>
          <w:iCs/>
          <w:sz w:val="24"/>
          <w:szCs w:val="24"/>
        </w:rPr>
        <w:t>See: Makula International</w:t>
      </w:r>
      <w:r w:rsidRPr="00832F19">
        <w:rPr>
          <w:rStyle w:val="Bodytext2NotBold"/>
          <w:sz w:val="24"/>
          <w:szCs w:val="24"/>
        </w:rPr>
        <w:t xml:space="preserve"> vs. </w:t>
      </w:r>
      <w:r w:rsidRPr="00832F19">
        <w:rPr>
          <w:rStyle w:val="Bodytext22"/>
          <w:b/>
          <w:bCs/>
          <w:i/>
          <w:iCs/>
          <w:sz w:val="24"/>
          <w:szCs w:val="24"/>
        </w:rPr>
        <w:t>Cardinal Nsubuga</w:t>
      </w:r>
      <w:r w:rsidRPr="00832F19">
        <w:rPr>
          <w:rStyle w:val="Bodytext2NotBold"/>
          <w:sz w:val="24"/>
          <w:szCs w:val="24"/>
        </w:rPr>
        <w:t xml:space="preserve"> - </w:t>
      </w:r>
      <w:r w:rsidRPr="00832F19">
        <w:rPr>
          <w:rStyle w:val="Bodytext22"/>
          <w:b/>
          <w:bCs/>
          <w:i/>
          <w:iCs/>
          <w:sz w:val="24"/>
          <w:szCs w:val="24"/>
        </w:rPr>
        <w:t>Civil Appeal 4/1981 (C.A.) (1982) HCB 11</w:t>
      </w:r>
    </w:p>
    <w:p w:rsidR="00B01D3C" w:rsidRPr="00832F19" w:rsidRDefault="000E2E97" w:rsidP="00832F19">
      <w:pPr>
        <w:pStyle w:val="BodyText4"/>
        <w:shd w:val="clear" w:color="auto" w:fill="auto"/>
        <w:spacing w:before="0" w:after="0" w:line="360" w:lineRule="auto"/>
        <w:ind w:left="60" w:right="380" w:firstLine="0"/>
        <w:jc w:val="both"/>
        <w:rPr>
          <w:sz w:val="24"/>
          <w:szCs w:val="24"/>
        </w:rPr>
      </w:pPr>
      <w:r w:rsidRPr="00832F19">
        <w:rPr>
          <w:rStyle w:val="BodyText2"/>
          <w:sz w:val="24"/>
          <w:szCs w:val="24"/>
        </w:rPr>
        <w:t xml:space="preserve">I must </w:t>
      </w:r>
      <w:r w:rsidRPr="00832F19">
        <w:rPr>
          <w:rStyle w:val="BodyText1"/>
          <w:sz w:val="24"/>
          <w:szCs w:val="24"/>
        </w:rPr>
        <w:t xml:space="preserve">add the defect in this affidavit is an irregularity and </w:t>
      </w:r>
      <w:r w:rsidRPr="00832F19">
        <w:rPr>
          <w:rStyle w:val="BodyText2"/>
          <w:sz w:val="24"/>
          <w:szCs w:val="24"/>
        </w:rPr>
        <w:t xml:space="preserve">not </w:t>
      </w:r>
      <w:r w:rsidRPr="00832F19">
        <w:rPr>
          <w:rStyle w:val="BodyText1"/>
          <w:sz w:val="24"/>
          <w:szCs w:val="24"/>
        </w:rPr>
        <w:t xml:space="preserve">an </w:t>
      </w:r>
      <w:r w:rsidRPr="00832F19">
        <w:rPr>
          <w:rStyle w:val="BodyText2"/>
          <w:sz w:val="24"/>
          <w:szCs w:val="24"/>
        </w:rPr>
        <w:t xml:space="preserve">illegality. All the same, </w:t>
      </w:r>
      <w:r w:rsidRPr="00832F19">
        <w:rPr>
          <w:rStyle w:val="BodyText1"/>
          <w:sz w:val="24"/>
          <w:szCs w:val="24"/>
        </w:rPr>
        <w:t xml:space="preserve">the court cannot close its eyes to it. The irregularity in </w:t>
      </w:r>
      <w:r w:rsidRPr="00832F19">
        <w:rPr>
          <w:rStyle w:val="BodyText2"/>
          <w:sz w:val="24"/>
          <w:szCs w:val="24"/>
        </w:rPr>
        <w:t>this case arises from non</w:t>
      </w:r>
      <w:r w:rsidRPr="00832F19">
        <w:rPr>
          <w:rStyle w:val="BodyText2"/>
          <w:sz w:val="24"/>
          <w:szCs w:val="24"/>
        </w:rPr>
        <w:softHyphen/>
      </w:r>
      <w:r w:rsidRPr="00832F19">
        <w:rPr>
          <w:rStyle w:val="BodyText1"/>
          <w:sz w:val="24"/>
          <w:szCs w:val="24"/>
        </w:rPr>
        <w:t xml:space="preserve">compliance with section 5 (formerly 6) which requires the </w:t>
      </w:r>
      <w:r w:rsidRPr="00832F19">
        <w:rPr>
          <w:rStyle w:val="BodyText2"/>
          <w:sz w:val="24"/>
          <w:szCs w:val="24"/>
        </w:rPr>
        <w:t xml:space="preserve">affidavit “To state truly </w:t>
      </w:r>
      <w:r w:rsidRPr="00832F19">
        <w:rPr>
          <w:rStyle w:val="BodyText1"/>
          <w:sz w:val="24"/>
          <w:szCs w:val="24"/>
        </w:rPr>
        <w:t xml:space="preserve">in </w:t>
      </w:r>
      <w:r w:rsidRPr="00832F19">
        <w:rPr>
          <w:rStyle w:val="BodyText2"/>
          <w:sz w:val="24"/>
          <w:szCs w:val="24"/>
        </w:rPr>
        <w:t xml:space="preserve">the jurat </w:t>
      </w:r>
      <w:r w:rsidRPr="00832F19">
        <w:rPr>
          <w:rStyle w:val="BodyText1"/>
          <w:sz w:val="24"/>
          <w:szCs w:val="24"/>
        </w:rPr>
        <w:t xml:space="preserve">or attestation, at what place and on what date the Oath </w:t>
      </w:r>
      <w:r w:rsidRPr="00832F19">
        <w:rPr>
          <w:rStyle w:val="BodyText2"/>
          <w:sz w:val="24"/>
          <w:szCs w:val="24"/>
        </w:rPr>
        <w:t xml:space="preserve">or affidavit is taken or </w:t>
      </w:r>
      <w:r w:rsidRPr="00832F19">
        <w:rPr>
          <w:rStyle w:val="Bodytext45pt"/>
          <w:sz w:val="24"/>
          <w:szCs w:val="24"/>
          <w:vertAlign w:val="superscript"/>
        </w:rPr>
        <w:t>;</w:t>
      </w:r>
      <w:r w:rsidRPr="00832F19">
        <w:rPr>
          <w:rStyle w:val="Bodytext45pt"/>
          <w:sz w:val="24"/>
          <w:szCs w:val="24"/>
        </w:rPr>
        <w:t xml:space="preserve">j </w:t>
      </w:r>
      <w:r w:rsidRPr="00832F19">
        <w:rPr>
          <w:rStyle w:val="BodyText2"/>
          <w:sz w:val="24"/>
          <w:szCs w:val="24"/>
        </w:rPr>
        <w:t xml:space="preserve">made”. </w:t>
      </w:r>
      <w:r w:rsidRPr="00832F19">
        <w:rPr>
          <w:rStyle w:val="BodyText1"/>
          <w:sz w:val="24"/>
          <w:szCs w:val="24"/>
        </w:rPr>
        <w:t>The jurat under that section in the following form:-</w:t>
      </w:r>
    </w:p>
    <w:p w:rsidR="00B01D3C" w:rsidRPr="00832F19" w:rsidRDefault="000E2E97" w:rsidP="00832F19">
      <w:pPr>
        <w:pStyle w:val="BodyText4"/>
        <w:shd w:val="clear" w:color="auto" w:fill="auto"/>
        <w:tabs>
          <w:tab w:val="left" w:leader="dot" w:pos="3838"/>
          <w:tab w:val="left" w:leader="dot" w:pos="5210"/>
          <w:tab w:val="left" w:leader="dot" w:pos="6794"/>
          <w:tab w:val="left" w:leader="dot" w:pos="8657"/>
        </w:tabs>
        <w:spacing w:before="0" w:after="938" w:line="360" w:lineRule="auto"/>
        <w:ind w:left="6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Swom/Declared before me</w:t>
      </w:r>
      <w:r w:rsidRPr="00832F19">
        <w:rPr>
          <w:rStyle w:val="BodyText1"/>
          <w:sz w:val="24"/>
          <w:szCs w:val="24"/>
        </w:rPr>
        <w:tab/>
        <w:t>this</w:t>
      </w:r>
      <w:r w:rsidRPr="00832F19">
        <w:rPr>
          <w:rStyle w:val="BodyText1"/>
          <w:sz w:val="24"/>
          <w:szCs w:val="24"/>
        </w:rPr>
        <w:tab/>
        <w:t>day of</w:t>
      </w:r>
      <w:r w:rsidRPr="00832F19">
        <w:rPr>
          <w:rStyle w:val="BodyText2"/>
          <w:sz w:val="24"/>
          <w:szCs w:val="24"/>
        </w:rPr>
        <w:tab/>
        <w:t>year at</w:t>
      </w:r>
      <w:r w:rsidRPr="00832F19">
        <w:rPr>
          <w:rStyle w:val="BodyText2"/>
          <w:sz w:val="24"/>
          <w:szCs w:val="24"/>
        </w:rPr>
        <w:tab/>
      </w:r>
    </w:p>
    <w:p w:rsidR="00B01D3C" w:rsidRPr="00832F19" w:rsidRDefault="000E2E97" w:rsidP="00832F19">
      <w:pPr>
        <w:pStyle w:val="Bodytext30"/>
        <w:shd w:val="clear" w:color="auto" w:fill="auto"/>
        <w:spacing w:before="0" w:after="399" w:line="360" w:lineRule="auto"/>
        <w:ind w:left="5140"/>
        <w:jc w:val="both"/>
        <w:rPr>
          <w:sz w:val="24"/>
          <w:szCs w:val="24"/>
        </w:rPr>
      </w:pPr>
      <w:r w:rsidRPr="00832F19">
        <w:rPr>
          <w:rStyle w:val="Bodytext31"/>
          <w:b/>
          <w:bCs/>
          <w:sz w:val="24"/>
          <w:szCs w:val="24"/>
        </w:rPr>
        <w:t>Commissioner for Oaths</w:t>
      </w:r>
    </w:p>
    <w:p w:rsidR="00B01D3C" w:rsidRPr="00832F19" w:rsidRDefault="000E2E97" w:rsidP="00832F19">
      <w:pPr>
        <w:pStyle w:val="Bodytext21"/>
        <w:shd w:val="clear" w:color="auto" w:fill="auto"/>
        <w:spacing w:after="0" w:line="360" w:lineRule="auto"/>
        <w:ind w:left="60" w:right="380"/>
        <w:rPr>
          <w:sz w:val="24"/>
          <w:szCs w:val="24"/>
        </w:rPr>
      </w:pPr>
      <w:r w:rsidRPr="00832F19">
        <w:rPr>
          <w:rStyle w:val="Bodytext2NotBold0"/>
          <w:sz w:val="24"/>
          <w:szCs w:val="24"/>
        </w:rPr>
        <w:t xml:space="preserve">I </w:t>
      </w:r>
      <w:r w:rsidRPr="00832F19">
        <w:rPr>
          <w:rStyle w:val="Bodytext2NotBold"/>
          <w:sz w:val="24"/>
          <w:szCs w:val="24"/>
        </w:rPr>
        <w:t xml:space="preserve">agree with the holding of my brother </w:t>
      </w:r>
      <w:r w:rsidRPr="00832F19">
        <w:rPr>
          <w:rStyle w:val="Bodytext22"/>
          <w:b/>
          <w:bCs/>
          <w:i/>
          <w:iCs/>
          <w:sz w:val="24"/>
          <w:szCs w:val="24"/>
        </w:rPr>
        <w:t xml:space="preserve">Akii-Kiiza J in Misc. Application. </w:t>
      </w:r>
      <w:r w:rsidRPr="00832F19">
        <w:rPr>
          <w:rStyle w:val="Bodytext23"/>
          <w:b/>
          <w:bCs/>
          <w:i/>
          <w:iCs/>
          <w:sz w:val="24"/>
          <w:szCs w:val="24"/>
        </w:rPr>
        <w:t xml:space="preserve">No.267/1998, </w:t>
      </w:r>
      <w:r w:rsidRPr="00832F19">
        <w:rPr>
          <w:rStyle w:val="Bodytext22"/>
          <w:b/>
          <w:bCs/>
          <w:i/>
          <w:iCs/>
          <w:sz w:val="24"/>
          <w:szCs w:val="24"/>
        </w:rPr>
        <w:t>arising from H.C.S.C. 529 OF 1994,</w:t>
      </w:r>
      <w:r w:rsidRPr="00832F19">
        <w:rPr>
          <w:rStyle w:val="Bodytext2NotBold"/>
          <w:sz w:val="24"/>
          <w:szCs w:val="24"/>
        </w:rPr>
        <w:t xml:space="preserve"> where he held:</w:t>
      </w:r>
    </w:p>
    <w:p w:rsidR="00B01D3C" w:rsidRPr="00832F19" w:rsidRDefault="000E2E97" w:rsidP="00832F19">
      <w:pPr>
        <w:pStyle w:val="BodyText4"/>
        <w:shd w:val="clear" w:color="auto" w:fill="auto"/>
        <w:spacing w:before="0" w:after="0" w:line="360" w:lineRule="auto"/>
        <w:ind w:left="840" w:right="380" w:hanging="780"/>
        <w:jc w:val="both"/>
        <w:rPr>
          <w:sz w:val="24"/>
          <w:szCs w:val="24"/>
        </w:rPr>
      </w:pPr>
      <w:r w:rsidRPr="00832F19">
        <w:rPr>
          <w:rStyle w:val="BodyText2"/>
          <w:sz w:val="24"/>
          <w:szCs w:val="24"/>
        </w:rPr>
        <w:t xml:space="preserve">(iii) </w:t>
      </w:r>
      <w:proofErr w:type="gramStart"/>
      <w:r w:rsidRPr="00832F19">
        <w:rPr>
          <w:rStyle w:val="BodyText1"/>
          <w:sz w:val="24"/>
          <w:szCs w:val="24"/>
        </w:rPr>
        <w:t>that</w:t>
      </w:r>
      <w:proofErr w:type="gramEnd"/>
      <w:r w:rsidRPr="00832F19">
        <w:rPr>
          <w:rStyle w:val="BodyText1"/>
          <w:sz w:val="24"/>
          <w:szCs w:val="24"/>
        </w:rPr>
        <w:t xml:space="preserve"> section 8 </w:t>
      </w:r>
      <w:r w:rsidR="00832F19" w:rsidRPr="00832F19">
        <w:rPr>
          <w:rStyle w:val="BodyText1"/>
          <w:sz w:val="24"/>
          <w:szCs w:val="24"/>
        </w:rPr>
        <w:t>(in</w:t>
      </w:r>
      <w:r w:rsidRPr="00832F19">
        <w:rPr>
          <w:rStyle w:val="BodyText1"/>
          <w:sz w:val="24"/>
          <w:szCs w:val="24"/>
        </w:rPr>
        <w:t xml:space="preserve"> the unrevised edition-) (now section </w:t>
      </w:r>
      <w:r w:rsidRPr="00832F19">
        <w:rPr>
          <w:rStyle w:val="BodyText2"/>
          <w:sz w:val="24"/>
          <w:szCs w:val="24"/>
        </w:rPr>
        <w:t xml:space="preserve">5) </w:t>
      </w:r>
      <w:r w:rsidRPr="00832F19">
        <w:rPr>
          <w:rStyle w:val="BodyText1"/>
          <w:sz w:val="24"/>
          <w:szCs w:val="24"/>
        </w:rPr>
        <w:t xml:space="preserve">of </w:t>
      </w:r>
      <w:r w:rsidRPr="00832F19">
        <w:rPr>
          <w:rStyle w:val="BodyText2"/>
          <w:sz w:val="24"/>
          <w:szCs w:val="24"/>
        </w:rPr>
        <w:t xml:space="preserve">the Oaths </w:t>
      </w:r>
      <w:r w:rsidRPr="00832F19">
        <w:rPr>
          <w:rStyle w:val="BodyText1"/>
          <w:sz w:val="24"/>
          <w:szCs w:val="24"/>
        </w:rPr>
        <w:t xml:space="preserve">Act </w:t>
      </w:r>
      <w:r w:rsidRPr="00832F19">
        <w:rPr>
          <w:rStyle w:val="BodyText2"/>
          <w:sz w:val="24"/>
          <w:szCs w:val="24"/>
        </w:rPr>
        <w:t xml:space="preserve">which </w:t>
      </w:r>
      <w:r w:rsidRPr="00832F19">
        <w:rPr>
          <w:rStyle w:val="BodyText1"/>
          <w:sz w:val="24"/>
          <w:szCs w:val="24"/>
        </w:rPr>
        <w:t xml:space="preserve">provides that the name of the place where the affidavit </w:t>
      </w:r>
      <w:r w:rsidRPr="00832F19">
        <w:rPr>
          <w:rStyle w:val="BodyText2"/>
          <w:sz w:val="24"/>
          <w:szCs w:val="24"/>
        </w:rPr>
        <w:t xml:space="preserve">was </w:t>
      </w:r>
      <w:r w:rsidRPr="00832F19">
        <w:rPr>
          <w:rStyle w:val="BodyText1"/>
          <w:sz w:val="24"/>
          <w:szCs w:val="24"/>
        </w:rPr>
        <w:t xml:space="preserve">deponed </w:t>
      </w:r>
      <w:r w:rsidRPr="00832F19">
        <w:rPr>
          <w:rStyle w:val="BodyText2"/>
          <w:sz w:val="24"/>
          <w:szCs w:val="24"/>
        </w:rPr>
        <w:t xml:space="preserve">from is </w:t>
      </w:r>
      <w:r w:rsidRPr="00832F19">
        <w:rPr>
          <w:rStyle w:val="BodyText1"/>
          <w:sz w:val="24"/>
          <w:szCs w:val="24"/>
        </w:rPr>
        <w:t xml:space="preserve">mandatory. Failure to comply with the same renders </w:t>
      </w:r>
      <w:r w:rsidRPr="00832F19">
        <w:rPr>
          <w:rStyle w:val="BodyText2"/>
          <w:sz w:val="24"/>
          <w:szCs w:val="24"/>
        </w:rPr>
        <w:t xml:space="preserve">the affidavit, incurably </w:t>
      </w:r>
      <w:r w:rsidRPr="00832F19">
        <w:rPr>
          <w:rStyle w:val="BodyText1"/>
          <w:sz w:val="24"/>
          <w:szCs w:val="24"/>
        </w:rPr>
        <w:t>defective.</w:t>
      </w:r>
    </w:p>
    <w:p w:rsidR="00B01D3C" w:rsidRPr="00832F19" w:rsidRDefault="000E2E97" w:rsidP="00832F19">
      <w:pPr>
        <w:pStyle w:val="Bodytext21"/>
        <w:shd w:val="clear" w:color="auto" w:fill="auto"/>
        <w:spacing w:after="0" w:line="360" w:lineRule="auto"/>
        <w:ind w:left="60"/>
        <w:rPr>
          <w:sz w:val="24"/>
          <w:szCs w:val="24"/>
        </w:rPr>
      </w:pPr>
      <w:r w:rsidRPr="00832F19">
        <w:rPr>
          <w:rStyle w:val="Bodytext22"/>
          <w:b/>
          <w:bCs/>
          <w:i/>
          <w:iCs/>
          <w:sz w:val="24"/>
          <w:szCs w:val="24"/>
        </w:rPr>
        <w:t>See also: (1) Teddy Namazzi</w:t>
      </w:r>
      <w:r w:rsidRPr="00832F19">
        <w:rPr>
          <w:rStyle w:val="Bodytext2NotBold"/>
          <w:sz w:val="24"/>
          <w:szCs w:val="24"/>
        </w:rPr>
        <w:t xml:space="preserve"> vs. </w:t>
      </w:r>
      <w:r w:rsidRPr="00832F19">
        <w:rPr>
          <w:rStyle w:val="Bodytext22"/>
          <w:b/>
          <w:bCs/>
          <w:i/>
          <w:iCs/>
          <w:sz w:val="24"/>
          <w:szCs w:val="24"/>
        </w:rPr>
        <w:t>Sibo (1986) HCB 58.</w:t>
      </w:r>
    </w:p>
    <w:p w:rsidR="00B01D3C" w:rsidRPr="00832F19" w:rsidRDefault="000E2E97" w:rsidP="00832F19">
      <w:pPr>
        <w:pStyle w:val="Bodytext21"/>
        <w:shd w:val="clear" w:color="auto" w:fill="auto"/>
        <w:spacing w:after="399" w:line="360" w:lineRule="auto"/>
        <w:ind w:left="840"/>
        <w:rPr>
          <w:sz w:val="24"/>
          <w:szCs w:val="24"/>
        </w:rPr>
      </w:pPr>
      <w:r w:rsidRPr="00832F19">
        <w:rPr>
          <w:rStyle w:val="Bodytext22"/>
          <w:b/>
          <w:bCs/>
          <w:i/>
          <w:iCs/>
          <w:sz w:val="24"/>
          <w:szCs w:val="24"/>
        </w:rPr>
        <w:t>(2) Sembeguya vs. Reliable Trustees - H. C. Civil Suit 601 of 1992.</w:t>
      </w:r>
    </w:p>
    <w:p w:rsidR="00B01D3C" w:rsidRPr="00832F19" w:rsidRDefault="000E2E97" w:rsidP="00832F19">
      <w:pPr>
        <w:pStyle w:val="BodyText4"/>
        <w:shd w:val="clear" w:color="auto" w:fill="auto"/>
        <w:spacing w:before="0" w:line="360" w:lineRule="auto"/>
        <w:ind w:left="60" w:right="38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 xml:space="preserve">In the same way as my brother judges held in the above </w:t>
      </w:r>
      <w:r w:rsidRPr="00832F19">
        <w:rPr>
          <w:rStyle w:val="BodyText32"/>
          <w:sz w:val="24"/>
          <w:szCs w:val="24"/>
        </w:rPr>
        <w:t xml:space="preserve">- </w:t>
      </w:r>
      <w:r w:rsidRPr="00832F19">
        <w:rPr>
          <w:rStyle w:val="BodyText1"/>
          <w:sz w:val="24"/>
          <w:szCs w:val="24"/>
        </w:rPr>
        <w:t xml:space="preserve">cited </w:t>
      </w:r>
      <w:r w:rsidRPr="00832F19">
        <w:rPr>
          <w:rStyle w:val="BodyText2"/>
          <w:sz w:val="24"/>
          <w:szCs w:val="24"/>
        </w:rPr>
        <w:t xml:space="preserve">cases; I also find the </w:t>
      </w:r>
      <w:r w:rsidRPr="00832F19">
        <w:rPr>
          <w:rStyle w:val="BodyText1"/>
          <w:sz w:val="24"/>
          <w:szCs w:val="24"/>
        </w:rPr>
        <w:t>affidavit of the first applicant incurably defective.</w:t>
      </w:r>
    </w:p>
    <w:p w:rsidR="00B01D3C" w:rsidRPr="00832F19" w:rsidRDefault="000E2E97" w:rsidP="00832F19">
      <w:pPr>
        <w:pStyle w:val="BodyText4"/>
        <w:shd w:val="clear" w:color="auto" w:fill="auto"/>
        <w:spacing w:before="0" w:after="352" w:line="360" w:lineRule="auto"/>
        <w:ind w:left="60" w:right="38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t>The application of the applicants states “</w:t>
      </w:r>
      <w:proofErr w:type="gramStart"/>
      <w:r w:rsidRPr="00832F19">
        <w:rPr>
          <w:rStyle w:val="BodyText1"/>
          <w:sz w:val="24"/>
          <w:szCs w:val="24"/>
        </w:rPr>
        <w:t>This</w:t>
      </w:r>
      <w:proofErr w:type="gramEnd"/>
      <w:r w:rsidRPr="00832F19">
        <w:rPr>
          <w:rStyle w:val="BodyText1"/>
          <w:sz w:val="24"/>
          <w:szCs w:val="24"/>
        </w:rPr>
        <w:t xml:space="preserve"> application is supported </w:t>
      </w:r>
      <w:r w:rsidRPr="00832F19">
        <w:rPr>
          <w:rStyle w:val="BodyText2"/>
          <w:sz w:val="24"/>
          <w:szCs w:val="24"/>
        </w:rPr>
        <w:t xml:space="preserve">by the affidavit of | </w:t>
      </w:r>
      <w:r w:rsidRPr="00832F19">
        <w:rPr>
          <w:rStyle w:val="BodyText1"/>
          <w:sz w:val="24"/>
          <w:szCs w:val="24"/>
        </w:rPr>
        <w:t xml:space="preserve">Busuulwa Kayongo which shall be read and relied upon at the hearing’” </w:t>
      </w:r>
      <w:r w:rsidRPr="00832F19">
        <w:rPr>
          <w:rStyle w:val="BodyText2"/>
          <w:sz w:val="24"/>
          <w:szCs w:val="24"/>
        </w:rPr>
        <w:t xml:space="preserve">The affidavit is </w:t>
      </w:r>
      <w:r w:rsidRPr="00832F19">
        <w:rPr>
          <w:rStyle w:val="Bodytext45pt"/>
          <w:sz w:val="24"/>
          <w:szCs w:val="24"/>
        </w:rPr>
        <w:t xml:space="preserve">j </w:t>
      </w:r>
      <w:r w:rsidRPr="00832F19">
        <w:rPr>
          <w:rStyle w:val="BodyText1"/>
          <w:sz w:val="24"/>
          <w:szCs w:val="24"/>
        </w:rPr>
        <w:t xml:space="preserve">therefore part and parcel of the application. Where an application </w:t>
      </w:r>
      <w:r w:rsidRPr="00832F19">
        <w:rPr>
          <w:rStyle w:val="BodyText2"/>
          <w:sz w:val="24"/>
          <w:szCs w:val="24"/>
        </w:rPr>
        <w:t xml:space="preserve">is grounded on an </w:t>
      </w:r>
      <w:r w:rsidRPr="00832F19">
        <w:rPr>
          <w:rStyle w:val="BodyText1"/>
          <w:sz w:val="24"/>
          <w:szCs w:val="24"/>
        </w:rPr>
        <w:t xml:space="preserve">affidavit which is declared to be defective, the application </w:t>
      </w:r>
      <w:r w:rsidRPr="00832F19">
        <w:rPr>
          <w:rStyle w:val="BodyText2"/>
          <w:sz w:val="24"/>
          <w:szCs w:val="24"/>
        </w:rPr>
        <w:t>must also fail.</w:t>
      </w:r>
    </w:p>
    <w:p w:rsidR="00B01D3C" w:rsidRPr="00832F19" w:rsidRDefault="000E2E97" w:rsidP="00832F19">
      <w:pPr>
        <w:pStyle w:val="BodyText4"/>
        <w:shd w:val="clear" w:color="auto" w:fill="auto"/>
        <w:spacing w:before="0" w:after="0" w:line="360" w:lineRule="auto"/>
        <w:ind w:left="60" w:right="380" w:firstLine="0"/>
        <w:jc w:val="both"/>
        <w:rPr>
          <w:sz w:val="24"/>
          <w:szCs w:val="24"/>
        </w:rPr>
      </w:pPr>
      <w:r w:rsidRPr="00832F19">
        <w:rPr>
          <w:rStyle w:val="BodyText1"/>
          <w:sz w:val="24"/>
          <w:szCs w:val="24"/>
        </w:rPr>
        <w:lastRenderedPageBreak/>
        <w:t xml:space="preserve">The affidavit in this application was evidence of the facts which the applicant </w:t>
      </w:r>
      <w:r w:rsidRPr="00832F19">
        <w:rPr>
          <w:rStyle w:val="BodyText2"/>
          <w:sz w:val="24"/>
          <w:szCs w:val="24"/>
        </w:rPr>
        <w:t xml:space="preserve">intended to J </w:t>
      </w:r>
      <w:r w:rsidRPr="00832F19">
        <w:rPr>
          <w:rStyle w:val="BodyText1"/>
          <w:sz w:val="24"/>
          <w:szCs w:val="24"/>
        </w:rPr>
        <w:t xml:space="preserve">rely on in support of their application. Since the affidavit is now </w:t>
      </w:r>
      <w:r w:rsidRPr="00832F19">
        <w:rPr>
          <w:rStyle w:val="BodyText2"/>
          <w:sz w:val="24"/>
          <w:szCs w:val="24"/>
        </w:rPr>
        <w:t xml:space="preserve">found to </w:t>
      </w:r>
      <w:r w:rsidRPr="00832F19">
        <w:rPr>
          <w:rStyle w:val="BodyText1"/>
          <w:sz w:val="24"/>
          <w:szCs w:val="24"/>
        </w:rPr>
        <w:t xml:space="preserve">be </w:t>
      </w:r>
      <w:r w:rsidRPr="00832F19">
        <w:rPr>
          <w:rStyle w:val="BodyText2"/>
          <w:sz w:val="24"/>
          <w:szCs w:val="24"/>
        </w:rPr>
        <w:t>defective,</w:t>
      </w:r>
      <w:r w:rsidRPr="00832F19">
        <w:rPr>
          <w:sz w:val="24"/>
          <w:szCs w:val="24"/>
        </w:rPr>
        <w:br w:type="page"/>
      </w:r>
    </w:p>
    <w:p w:rsidR="00B01D3C" w:rsidRPr="00832F19" w:rsidRDefault="000E2E97" w:rsidP="00832F19">
      <w:pPr>
        <w:pStyle w:val="BodyText4"/>
        <w:shd w:val="clear" w:color="auto" w:fill="auto"/>
        <w:spacing w:before="0" w:line="360" w:lineRule="auto"/>
        <w:ind w:left="40" w:right="20" w:firstLine="0"/>
        <w:jc w:val="both"/>
        <w:rPr>
          <w:sz w:val="24"/>
          <w:szCs w:val="24"/>
        </w:rPr>
      </w:pPr>
      <w:proofErr w:type="gramStart"/>
      <w:r w:rsidRPr="00832F19">
        <w:rPr>
          <w:rStyle w:val="BodyText2"/>
          <w:sz w:val="24"/>
          <w:szCs w:val="24"/>
        </w:rPr>
        <w:lastRenderedPageBreak/>
        <w:t>the</w:t>
      </w:r>
      <w:proofErr w:type="gramEnd"/>
      <w:r w:rsidRPr="00832F19">
        <w:rPr>
          <w:rStyle w:val="BodyText2"/>
          <w:sz w:val="24"/>
          <w:szCs w:val="24"/>
        </w:rPr>
        <w:t xml:space="preserve"> </w:t>
      </w:r>
      <w:r w:rsidRPr="00832F19">
        <w:rPr>
          <w:rStyle w:val="BodyText1"/>
          <w:sz w:val="24"/>
          <w:szCs w:val="24"/>
        </w:rPr>
        <w:t xml:space="preserve">application it sought to support remains without the </w:t>
      </w:r>
      <w:r w:rsidRPr="00832F19">
        <w:rPr>
          <w:rStyle w:val="BodyText2"/>
          <w:sz w:val="24"/>
          <w:szCs w:val="24"/>
        </w:rPr>
        <w:t xml:space="preserve">necessary facts/evidence to prove it. The </w:t>
      </w:r>
      <w:r w:rsidRPr="00832F19">
        <w:rPr>
          <w:rStyle w:val="BodyText1"/>
          <w:sz w:val="24"/>
          <w:szCs w:val="24"/>
        </w:rPr>
        <w:t xml:space="preserve">application is similarly defective for lacking the </w:t>
      </w:r>
      <w:r w:rsidRPr="00832F19">
        <w:rPr>
          <w:rStyle w:val="BodyText2"/>
          <w:sz w:val="24"/>
          <w:szCs w:val="24"/>
        </w:rPr>
        <w:t xml:space="preserve">evidence to substantiate the allegations </w:t>
      </w:r>
      <w:r w:rsidRPr="00832F19">
        <w:rPr>
          <w:rStyle w:val="BodyText1"/>
          <w:sz w:val="24"/>
          <w:szCs w:val="24"/>
        </w:rPr>
        <w:t>raised in the application.</w:t>
      </w:r>
    </w:p>
    <w:p w:rsidR="00B01D3C" w:rsidRPr="00832F19" w:rsidRDefault="000E2E97" w:rsidP="00832F19">
      <w:pPr>
        <w:pStyle w:val="BodyText4"/>
        <w:shd w:val="clear" w:color="auto" w:fill="auto"/>
        <w:spacing w:before="0" w:after="0" w:line="360" w:lineRule="auto"/>
        <w:ind w:left="40" w:right="20" w:firstLine="0"/>
        <w:jc w:val="both"/>
        <w:rPr>
          <w:sz w:val="24"/>
          <w:szCs w:val="24"/>
        </w:rPr>
      </w:pPr>
      <w:r w:rsidRPr="00832F19">
        <w:rPr>
          <w:rStyle w:val="BodyText2"/>
          <w:sz w:val="24"/>
          <w:szCs w:val="24"/>
        </w:rPr>
        <w:t xml:space="preserve">If the </w:t>
      </w:r>
      <w:r w:rsidRPr="00832F19">
        <w:rPr>
          <w:rStyle w:val="BodyText1"/>
          <w:sz w:val="24"/>
          <w:szCs w:val="24"/>
        </w:rPr>
        <w:t xml:space="preserve">application were grounded on matters of law only, this </w:t>
      </w:r>
      <w:r w:rsidRPr="00832F19">
        <w:rPr>
          <w:rStyle w:val="BodyText2"/>
          <w:sz w:val="24"/>
          <w:szCs w:val="24"/>
        </w:rPr>
        <w:t xml:space="preserve">affidavit could be ignored or dispensed </w:t>
      </w:r>
      <w:r w:rsidRPr="00832F19">
        <w:rPr>
          <w:rStyle w:val="BodyText1"/>
          <w:sz w:val="24"/>
          <w:szCs w:val="24"/>
        </w:rPr>
        <w:t>with and the application would remain unaffected.</w:t>
      </w:r>
    </w:p>
    <w:p w:rsidR="00B01D3C" w:rsidRPr="00832F19" w:rsidRDefault="000E2E97" w:rsidP="00832F19">
      <w:pPr>
        <w:pStyle w:val="Bodytext41"/>
        <w:shd w:val="clear" w:color="auto" w:fill="auto"/>
        <w:spacing w:after="347" w:line="360" w:lineRule="auto"/>
        <w:ind w:left="40"/>
        <w:rPr>
          <w:sz w:val="24"/>
          <w:szCs w:val="24"/>
        </w:rPr>
      </w:pPr>
      <w:r w:rsidRPr="00832F19">
        <w:rPr>
          <w:rStyle w:val="Bodytext42"/>
          <w:b/>
          <w:bCs/>
          <w:i/>
          <w:iCs/>
          <w:sz w:val="24"/>
          <w:szCs w:val="24"/>
        </w:rPr>
        <w:t xml:space="preserve">See: </w:t>
      </w:r>
      <w:r w:rsidRPr="00832F19">
        <w:rPr>
          <w:rStyle w:val="Bodytext43"/>
          <w:b/>
          <w:bCs/>
          <w:i/>
          <w:iCs/>
          <w:sz w:val="24"/>
          <w:szCs w:val="24"/>
        </w:rPr>
        <w:t>Odongokara vs. Kamanda (1968) EA 21. Also reported in</w:t>
      </w:r>
      <w:r w:rsidR="00832F19" w:rsidRPr="00832F19">
        <w:rPr>
          <w:rStyle w:val="Bodytext43"/>
          <w:b/>
          <w:bCs/>
          <w:i/>
          <w:iCs/>
          <w:sz w:val="24"/>
          <w:szCs w:val="24"/>
        </w:rPr>
        <w:t xml:space="preserve"> </w:t>
      </w:r>
      <w:r w:rsidRPr="00832F19">
        <w:rPr>
          <w:rStyle w:val="Bodytext43"/>
          <w:b/>
          <w:bCs/>
          <w:i/>
          <w:iCs/>
          <w:sz w:val="24"/>
          <w:szCs w:val="24"/>
        </w:rPr>
        <w:t>(1971) HCB 156.</w:t>
      </w:r>
      <w:bookmarkStart w:id="2" w:name="_GoBack"/>
      <w:bookmarkEnd w:id="2"/>
    </w:p>
    <w:p w:rsidR="00B01D3C" w:rsidRPr="00832F19" w:rsidRDefault="000E2E97" w:rsidP="00832F19">
      <w:pPr>
        <w:pStyle w:val="BodyText4"/>
        <w:shd w:val="clear" w:color="auto" w:fill="auto"/>
        <w:spacing w:before="0" w:after="356" w:line="360" w:lineRule="auto"/>
        <w:ind w:left="40" w:right="20" w:firstLine="0"/>
        <w:jc w:val="both"/>
        <w:rPr>
          <w:sz w:val="24"/>
          <w:szCs w:val="24"/>
        </w:rPr>
      </w:pPr>
      <w:r w:rsidRPr="00832F19">
        <w:rPr>
          <w:rStyle w:val="BodyText2"/>
          <w:sz w:val="24"/>
          <w:szCs w:val="24"/>
        </w:rPr>
        <w:t xml:space="preserve">On </w:t>
      </w:r>
      <w:r w:rsidRPr="00832F19">
        <w:rPr>
          <w:rStyle w:val="BodyText1"/>
          <w:sz w:val="24"/>
          <w:szCs w:val="24"/>
        </w:rPr>
        <w:t xml:space="preserve">the basis of what I have discussed above, and applying the law to </w:t>
      </w:r>
      <w:r w:rsidRPr="00832F19">
        <w:rPr>
          <w:rStyle w:val="BodyText2"/>
          <w:sz w:val="24"/>
          <w:szCs w:val="24"/>
        </w:rPr>
        <w:t xml:space="preserve">the present case, the </w:t>
      </w:r>
      <w:r w:rsidRPr="00832F19">
        <w:rPr>
          <w:rStyle w:val="BodyText1"/>
          <w:sz w:val="24"/>
          <w:szCs w:val="24"/>
        </w:rPr>
        <w:t xml:space="preserve">application is found to be defective. Consequently it (application) </w:t>
      </w:r>
      <w:r w:rsidRPr="00832F19">
        <w:rPr>
          <w:rStyle w:val="BodyText2"/>
          <w:sz w:val="24"/>
          <w:szCs w:val="24"/>
        </w:rPr>
        <w:t>is struck out.</w:t>
      </w:r>
    </w:p>
    <w:p w:rsidR="00B01D3C" w:rsidRPr="00832F19" w:rsidRDefault="000E2E97" w:rsidP="00832F19">
      <w:pPr>
        <w:pStyle w:val="BodyText4"/>
        <w:shd w:val="clear" w:color="auto" w:fill="auto"/>
        <w:spacing w:before="0" w:after="0" w:line="360" w:lineRule="auto"/>
        <w:ind w:left="40" w:right="20" w:firstLine="0"/>
        <w:jc w:val="both"/>
        <w:rPr>
          <w:sz w:val="24"/>
          <w:szCs w:val="24"/>
        </w:rPr>
      </w:pPr>
      <w:proofErr w:type="gramStart"/>
      <w:r w:rsidRPr="00832F19">
        <w:rPr>
          <w:rStyle w:val="BodyText1"/>
          <w:sz w:val="24"/>
          <w:szCs w:val="24"/>
        </w:rPr>
        <w:t>Although Counsel for the respondent asked me for costs.</w:t>
      </w:r>
      <w:proofErr w:type="gramEnd"/>
      <w:r w:rsidRPr="00832F19">
        <w:rPr>
          <w:rStyle w:val="BodyText1"/>
          <w:sz w:val="24"/>
          <w:szCs w:val="24"/>
        </w:rPr>
        <w:t xml:space="preserve"> I shall not </w:t>
      </w:r>
      <w:r w:rsidRPr="00832F19">
        <w:rPr>
          <w:rStyle w:val="BodyText2"/>
          <w:sz w:val="24"/>
          <w:szCs w:val="24"/>
        </w:rPr>
        <w:t xml:space="preserve">grant them to him for </w:t>
      </w:r>
      <w:r w:rsidRPr="00832F19">
        <w:rPr>
          <w:rStyle w:val="BodyText1"/>
          <w:sz w:val="24"/>
          <w:szCs w:val="24"/>
        </w:rPr>
        <w:t>two reasons</w:t>
      </w:r>
    </w:p>
    <w:p w:rsidR="00B01D3C" w:rsidRPr="00832F19" w:rsidRDefault="000E2E97" w:rsidP="00832F19">
      <w:pPr>
        <w:pStyle w:val="BodyText4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360" w:lineRule="auto"/>
        <w:ind w:left="440" w:right="20" w:hanging="400"/>
        <w:jc w:val="both"/>
        <w:rPr>
          <w:sz w:val="24"/>
          <w:szCs w:val="24"/>
        </w:rPr>
      </w:pPr>
      <w:proofErr w:type="gramStart"/>
      <w:r w:rsidRPr="00832F19">
        <w:rPr>
          <w:rStyle w:val="BodyText2"/>
          <w:sz w:val="24"/>
          <w:szCs w:val="24"/>
        </w:rPr>
        <w:t>the</w:t>
      </w:r>
      <w:proofErr w:type="gramEnd"/>
      <w:r w:rsidRPr="00832F19">
        <w:rPr>
          <w:rStyle w:val="BodyText2"/>
          <w:sz w:val="24"/>
          <w:szCs w:val="24"/>
        </w:rPr>
        <w:t xml:space="preserve"> </w:t>
      </w:r>
      <w:r w:rsidRPr="00832F19">
        <w:rPr>
          <w:rStyle w:val="BodyText1"/>
          <w:sz w:val="24"/>
          <w:szCs w:val="24"/>
        </w:rPr>
        <w:t>applicants are not blame</w:t>
      </w:r>
      <w:r w:rsidR="00832F19" w:rsidRPr="00832F19">
        <w:rPr>
          <w:rStyle w:val="BodyText1"/>
          <w:sz w:val="24"/>
          <w:szCs w:val="24"/>
        </w:rPr>
        <w:t xml:space="preserve"> </w:t>
      </w:r>
      <w:r w:rsidRPr="00832F19">
        <w:rPr>
          <w:rStyle w:val="BodyText1"/>
          <w:sz w:val="24"/>
          <w:szCs w:val="24"/>
        </w:rPr>
        <w:t xml:space="preserve">able for filing a defective </w:t>
      </w:r>
      <w:r w:rsidRPr="00832F19">
        <w:rPr>
          <w:rStyle w:val="BodyText2"/>
          <w:sz w:val="24"/>
          <w:szCs w:val="24"/>
        </w:rPr>
        <w:t xml:space="preserve">affidavit which has rendered the </w:t>
      </w:r>
      <w:r w:rsidRPr="00832F19">
        <w:rPr>
          <w:rStyle w:val="BodyText1"/>
          <w:sz w:val="24"/>
          <w:szCs w:val="24"/>
        </w:rPr>
        <w:t>whole application defective and rejectable.</w:t>
      </w:r>
    </w:p>
    <w:p w:rsidR="00B01D3C" w:rsidRPr="00832F19" w:rsidRDefault="000E2E97" w:rsidP="00832F19">
      <w:pPr>
        <w:pStyle w:val="BodyText4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360" w:lineRule="auto"/>
        <w:ind w:left="440" w:right="20" w:hanging="400"/>
        <w:jc w:val="both"/>
        <w:rPr>
          <w:sz w:val="24"/>
          <w:szCs w:val="24"/>
        </w:rPr>
      </w:pPr>
      <w:proofErr w:type="gramStart"/>
      <w:r w:rsidRPr="00832F19">
        <w:rPr>
          <w:rStyle w:val="BodyText1"/>
          <w:sz w:val="24"/>
          <w:szCs w:val="24"/>
        </w:rPr>
        <w:t>the</w:t>
      </w:r>
      <w:proofErr w:type="gramEnd"/>
      <w:r w:rsidRPr="00832F19">
        <w:rPr>
          <w:rStyle w:val="BodyText1"/>
          <w:sz w:val="24"/>
          <w:szCs w:val="24"/>
        </w:rPr>
        <w:t xml:space="preserve"> blame for filing a defective affidavit lay with their </w:t>
      </w:r>
      <w:r w:rsidRPr="00832F19">
        <w:rPr>
          <w:rStyle w:val="BodyText2"/>
          <w:sz w:val="24"/>
          <w:szCs w:val="24"/>
        </w:rPr>
        <w:t xml:space="preserve">Counsel from Legal Aid </w:t>
      </w:r>
      <w:r w:rsidRPr="00832F19">
        <w:rPr>
          <w:rStyle w:val="BodyText1"/>
          <w:sz w:val="24"/>
          <w:szCs w:val="24"/>
        </w:rPr>
        <w:t>Project and the Commissioner for Oaths.</w:t>
      </w:r>
    </w:p>
    <w:p w:rsidR="00B01D3C" w:rsidRPr="00832F19" w:rsidRDefault="000E2E97" w:rsidP="00832F19">
      <w:pPr>
        <w:pStyle w:val="BodyText4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360" w:lineRule="auto"/>
        <w:ind w:left="40" w:firstLine="0"/>
        <w:jc w:val="both"/>
        <w:rPr>
          <w:rStyle w:val="BodyText1"/>
          <w:sz w:val="24"/>
          <w:szCs w:val="24"/>
        </w:rPr>
      </w:pPr>
      <w:proofErr w:type="gramStart"/>
      <w:r w:rsidRPr="00832F19">
        <w:rPr>
          <w:rStyle w:val="BodyText1"/>
          <w:sz w:val="24"/>
          <w:szCs w:val="24"/>
        </w:rPr>
        <w:t>the</w:t>
      </w:r>
      <w:proofErr w:type="gramEnd"/>
      <w:r w:rsidRPr="00832F19">
        <w:rPr>
          <w:rStyle w:val="BodyText1"/>
          <w:sz w:val="24"/>
          <w:szCs w:val="24"/>
        </w:rPr>
        <w:t xml:space="preserve"> suit is yet to be heard on merits.</w:t>
      </w:r>
    </w:p>
    <w:p w:rsidR="00832F19" w:rsidRPr="00832F19" w:rsidRDefault="00832F19" w:rsidP="00832F19">
      <w:pPr>
        <w:pStyle w:val="BodyText4"/>
        <w:shd w:val="clear" w:color="auto" w:fill="auto"/>
        <w:tabs>
          <w:tab w:val="left" w:pos="410"/>
        </w:tabs>
        <w:spacing w:before="0" w:after="0" w:line="360" w:lineRule="auto"/>
        <w:ind w:firstLine="0"/>
        <w:jc w:val="both"/>
        <w:rPr>
          <w:rStyle w:val="BodyText1"/>
          <w:sz w:val="24"/>
          <w:szCs w:val="24"/>
        </w:rPr>
      </w:pPr>
    </w:p>
    <w:p w:rsidR="00832F19" w:rsidRPr="00832F19" w:rsidRDefault="00832F19" w:rsidP="00832F19">
      <w:pPr>
        <w:pStyle w:val="BodyText4"/>
        <w:shd w:val="clear" w:color="auto" w:fill="auto"/>
        <w:tabs>
          <w:tab w:val="left" w:pos="410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832F19">
        <w:rPr>
          <w:sz w:val="24"/>
          <w:szCs w:val="24"/>
        </w:rPr>
        <w:t>V.a.r.Rwamisazi –Kagaba</w:t>
      </w:r>
    </w:p>
    <w:p w:rsidR="00832F19" w:rsidRPr="00832F19" w:rsidRDefault="00832F19" w:rsidP="00832F19">
      <w:pPr>
        <w:pStyle w:val="BodyText4"/>
        <w:shd w:val="clear" w:color="auto" w:fill="auto"/>
        <w:tabs>
          <w:tab w:val="left" w:pos="410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832F19">
        <w:rPr>
          <w:sz w:val="24"/>
          <w:szCs w:val="24"/>
        </w:rPr>
        <w:t>Judge</w:t>
      </w:r>
    </w:p>
    <w:p w:rsidR="00832F19" w:rsidRPr="00832F19" w:rsidRDefault="00832F19" w:rsidP="00832F19">
      <w:pPr>
        <w:pStyle w:val="BodyText4"/>
        <w:shd w:val="clear" w:color="auto" w:fill="auto"/>
        <w:tabs>
          <w:tab w:val="left" w:pos="410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832F19">
        <w:rPr>
          <w:sz w:val="24"/>
          <w:szCs w:val="24"/>
        </w:rPr>
        <w:t>2/4/2004</w:t>
      </w:r>
    </w:p>
    <w:sectPr w:rsidR="00832F19" w:rsidRPr="00832F19">
      <w:type w:val="continuous"/>
      <w:pgSz w:w="12240" w:h="15840"/>
      <w:pgMar w:top="1982" w:right="1526" w:bottom="1473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97" w:rsidRDefault="000E2E97">
      <w:r>
        <w:separator/>
      </w:r>
    </w:p>
  </w:endnote>
  <w:endnote w:type="continuationSeparator" w:id="0">
    <w:p w:rsidR="000E2E97" w:rsidRDefault="000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97" w:rsidRDefault="000E2E97"/>
  </w:footnote>
  <w:footnote w:type="continuationSeparator" w:id="0">
    <w:p w:rsidR="000E2E97" w:rsidRDefault="000E2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542"/>
    <w:multiLevelType w:val="multilevel"/>
    <w:tmpl w:val="AFDA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F6F85"/>
    <w:multiLevelType w:val="multilevel"/>
    <w:tmpl w:val="3192FC9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3C"/>
    <w:rsid w:val="000E2E97"/>
    <w:rsid w:val="00832F19"/>
    <w:rsid w:val="00B01D3C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0">
    <w:name w:val="Picture caption Exact"/>
    <w:basedOn w:val="Picturecaption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Bodytext3NotBold">
    <w:name w:val="Body text (3) + Not Bold"/>
    <w:aliases w:val="Spacing 0 pt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Bodytext6CordiaUPC">
    <w:name w:val="Body text (6) + CordiaUPC"/>
    <w:aliases w:val="15 pt,Spacing 0 pt Exact"/>
    <w:basedOn w:val="Bodytext6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Bodytext">
    <w:name w:val="Body text_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">
    <w:name w:val="Body text + Bold"/>
    <w:aliases w:val="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NotBold">
    <w:name w:val="Body text (2) + Not Bold"/>
    <w:aliases w:val="Not 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5pt">
    <w:name w:val="Body text + 4.5 pt"/>
    <w:aliases w:val="Bold,Scale 2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9"/>
      <w:szCs w:val="9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NotBold0">
    <w:name w:val="Body text (2) + Not Bold"/>
    <w:aliases w:val="Not 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3">
    <w:name w:val="Body text (4)"/>
    <w:basedOn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80"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240" w:after="360" w:line="408" w:lineRule="exact"/>
      <w:ind w:hanging="1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0">
    <w:name w:val="Picture caption Exact"/>
    <w:basedOn w:val="Picturecaption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Bodytext3NotBold">
    <w:name w:val="Body text (3) + Not Bold"/>
    <w:aliases w:val="Spacing 0 pt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en-US"/>
    </w:rPr>
  </w:style>
  <w:style w:type="character" w:customStyle="1" w:styleId="Bodytext6CordiaUPC">
    <w:name w:val="Body text (6) + CordiaUPC"/>
    <w:aliases w:val="15 pt,Spacing 0 pt Exact"/>
    <w:basedOn w:val="Bodytext6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en-US"/>
    </w:rPr>
  </w:style>
  <w:style w:type="character" w:customStyle="1" w:styleId="Bodytext">
    <w:name w:val="Body text_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Bold">
    <w:name w:val="Body text + Bold"/>
    <w:aliases w:val="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NotBold">
    <w:name w:val="Body text (2) + Not Bold"/>
    <w:aliases w:val="Not 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5pt">
    <w:name w:val="Body text + 4.5 pt"/>
    <w:aliases w:val="Bold,Scale 20%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9"/>
      <w:szCs w:val="9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NotBold0">
    <w:name w:val="Body text (2) + Not Bold"/>
    <w:aliases w:val="Not 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2">
    <w:name w:val="Body text (4)"/>
    <w:basedOn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43">
    <w:name w:val="Body text (4)"/>
    <w:basedOn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80" w:after="6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240" w:after="360" w:line="408" w:lineRule="exact"/>
      <w:ind w:hanging="1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2016-06-16T08:15:00Z</dcterms:created>
  <dcterms:modified xsi:type="dcterms:W3CDTF">2016-06-16T08:15:00Z</dcterms:modified>
</cp:coreProperties>
</file>