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88" w:rsidRPr="00786C88" w:rsidRDefault="00786C88" w:rsidP="00786C88">
      <w:pPr>
        <w:pStyle w:val="BodyText4"/>
        <w:shd w:val="clear" w:color="auto" w:fill="auto"/>
        <w:spacing w:line="360" w:lineRule="auto"/>
        <w:ind w:right="80" w:firstLine="0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THE OF REPUBLIC OF UGANDA</w:t>
      </w:r>
    </w:p>
    <w:p w:rsidR="00786C88" w:rsidRPr="00786C88" w:rsidRDefault="00786C88" w:rsidP="00786C88">
      <w:pPr>
        <w:pStyle w:val="BodyText4"/>
        <w:shd w:val="clear" w:color="auto" w:fill="auto"/>
        <w:spacing w:line="360" w:lineRule="auto"/>
        <w:ind w:right="80" w:firstLine="0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IN THE HIGH COURT OF UGANDA AT KAMPALA</w:t>
      </w:r>
    </w:p>
    <w:p w:rsidR="00E232C6" w:rsidRPr="00786C88" w:rsidRDefault="00E419DC" w:rsidP="00786C88">
      <w:pPr>
        <w:pStyle w:val="BodyText4"/>
        <w:shd w:val="clear" w:color="auto" w:fill="auto"/>
        <w:spacing w:line="360" w:lineRule="auto"/>
        <w:ind w:right="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Sirasi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Bitaitana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&amp; 4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Ors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. Emanuel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Kananura</w:t>
      </w:r>
      <w:proofErr w:type="spellEnd"/>
    </w:p>
    <w:p w:rsidR="00E232C6" w:rsidRPr="00786C88" w:rsidRDefault="00786C88" w:rsidP="00786C88">
      <w:pPr>
        <w:pStyle w:val="BodyText4"/>
        <w:shd w:val="clear" w:color="auto" w:fill="auto"/>
        <w:spacing w:line="360" w:lineRule="auto"/>
        <w:ind w:right="80" w:firstLine="0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9DC"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(Civil Appeal No. 47 of 1976)</w:t>
      </w:r>
    </w:p>
    <w:p w:rsidR="00786C88" w:rsidRPr="00786C88" w:rsidRDefault="00786C88" w:rsidP="00786C88">
      <w:pPr>
        <w:pStyle w:val="BodyText4"/>
        <w:shd w:val="clear" w:color="auto" w:fill="auto"/>
        <w:spacing w:line="360" w:lineRule="auto"/>
        <w:ind w:right="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Judgement</w:t>
      </w:r>
      <w:proofErr w:type="spellEnd"/>
    </w:p>
    <w:p w:rsidR="00E232C6" w:rsidRPr="00786C88" w:rsidRDefault="00E419DC" w:rsidP="00786C88">
      <w:pPr>
        <w:pStyle w:val="BodyText4"/>
        <w:shd w:val="clear" w:color="auto" w:fill="auto"/>
        <w:spacing w:after="244" w:line="360" w:lineRule="auto"/>
        <w:ind w:left="1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Civil Procedure - Applications - Application will be dismissed if the affidavit supporting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such application is false.</w:t>
      </w:r>
    </w:p>
    <w:p w:rsidR="00E232C6" w:rsidRPr="00786C88" w:rsidRDefault="00E419DC" w:rsidP="00786C88">
      <w:pPr>
        <w:pStyle w:val="BodyText4"/>
        <w:shd w:val="clear" w:color="auto" w:fill="auto"/>
        <w:spacing w:after="240" w:line="360" w:lineRule="auto"/>
        <w:ind w:left="1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3"/>
          <w:rFonts w:ascii="Times New Roman" w:hAnsi="Times New Roman" w:cs="Times New Roman"/>
          <w:b/>
          <w:bCs/>
          <w:sz w:val="24"/>
          <w:szCs w:val="24"/>
        </w:rPr>
        <w:t xml:space="preserve">Civil </w:t>
      </w: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 xml:space="preserve">Procedure - </w:t>
      </w: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Effect of non-entrance of appearance - if party does not enter an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 xml:space="preserve">appearance in response to summons to enter appearance, the party so failing puts </w:t>
      </w:r>
      <w:proofErr w:type="gramStart"/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itself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C88">
        <w:rPr>
          <w:rFonts w:ascii="Times New Roman" w:hAnsi="Times New Roman" w:cs="Times New Roman"/>
          <w:sz w:val="24"/>
          <w:szCs w:val="24"/>
        </w:rPr>
        <w:t xml:space="preserve"> </w:t>
      </w:r>
      <w:r w:rsidRPr="00786C88">
        <w:rPr>
          <w:rStyle w:val="BodyText3"/>
          <w:rFonts w:ascii="Times New Roman" w:hAnsi="Times New Roman" w:cs="Times New Roman"/>
          <w:b/>
          <w:bCs/>
          <w:sz w:val="24"/>
          <w:szCs w:val="24"/>
        </w:rPr>
        <w:t>out</w:t>
      </w:r>
      <w:proofErr w:type="gramEnd"/>
      <w:r w:rsidRPr="00786C88">
        <w:rPr>
          <w:rStyle w:val="BodyText3"/>
          <w:rFonts w:ascii="Times New Roman" w:hAnsi="Times New Roman" w:cs="Times New Roman"/>
          <w:b/>
          <w:bCs/>
          <w:sz w:val="24"/>
          <w:szCs w:val="24"/>
        </w:rPr>
        <w:t xml:space="preserve"> of court and has no locus </w:t>
      </w:r>
      <w:proofErr w:type="spellStart"/>
      <w:r w:rsidRPr="00786C88">
        <w:rPr>
          <w:rStyle w:val="BodyText3"/>
          <w:rFonts w:ascii="Times New Roman" w:hAnsi="Times New Roman" w:cs="Times New Roman"/>
          <w:b/>
          <w:bCs/>
          <w:sz w:val="24"/>
          <w:szCs w:val="24"/>
        </w:rPr>
        <w:t>standi</w:t>
      </w:r>
      <w:proofErr w:type="spellEnd"/>
      <w:r w:rsidRPr="00786C88">
        <w:rPr>
          <w:rStyle w:val="BodyText3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232C6" w:rsidRPr="00786C88" w:rsidRDefault="00E419DC" w:rsidP="00786C88">
      <w:pPr>
        <w:pStyle w:val="BodyText4"/>
        <w:shd w:val="clear" w:color="auto" w:fill="auto"/>
        <w:spacing w:after="240" w:line="360" w:lineRule="auto"/>
        <w:ind w:left="1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Evidence - Affidavits - an affidavit is a serious document onc</w:t>
      </w: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e it contains falsehood in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C88">
        <w:rPr>
          <w:rStyle w:val="BodyText3"/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part, the whole becomes suspect.</w:t>
      </w:r>
    </w:p>
    <w:p w:rsidR="00E232C6" w:rsidRPr="00786C88" w:rsidRDefault="00E419DC" w:rsidP="00786C88">
      <w:pPr>
        <w:pStyle w:val="BodyText4"/>
        <w:shd w:val="clear" w:color="auto" w:fill="auto"/>
        <w:spacing w:after="244" w:line="360" w:lineRule="auto"/>
        <w:ind w:left="1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This was an appeal against the ruling of the Magistrate Grade 1 at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Mbarara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on 9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February, in which he dismissed applications by the present five appellants/defendants to set aside an ex-part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judgement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entered against them.</w:t>
      </w:r>
    </w:p>
    <w:p w:rsidR="00E232C6" w:rsidRPr="00786C88" w:rsidRDefault="00E419DC" w:rsidP="00786C88">
      <w:pPr>
        <w:pStyle w:val="BodyText4"/>
        <w:shd w:val="clear" w:color="auto" w:fill="auto"/>
        <w:spacing w:after="240" w:line="360" w:lineRule="auto"/>
        <w:ind w:left="1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The respondent/plaintiff had sued for the return of his weighing scale or its value (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Shs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. 1,500/=) and general damages for its unlawful seizure and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detinue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by the five appellants. This suit followed criminal proceedings ag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ainst the appellants in the same matter. The trial magistrate gave judgment after hearing formal proof in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favour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of the respondent/plaintiff for the scale or their value of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Shs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. 1,500/- and Shs.200/- general damages and costs. The appellants never entered 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an appearance after being served and no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defence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was filed.</w:t>
      </w:r>
    </w:p>
    <w:p w:rsidR="00E232C6" w:rsidRPr="00786C88" w:rsidRDefault="00E419DC" w:rsidP="00786C88">
      <w:pPr>
        <w:pStyle w:val="BodyText4"/>
        <w:shd w:val="clear" w:color="auto" w:fill="auto"/>
        <w:spacing w:after="240" w:line="360" w:lineRule="auto"/>
        <w:ind w:left="1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The appellants then filed a notice of motion to set aside the ex-parte judgment and applying for stay of execution supported by the affidavit of one of the appellants which was adopted by each of t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he other appellants. The magistrate who heard that application found the affidavit to be false on the grounds that paragraph six of the 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lastRenderedPageBreak/>
        <w:t>affidavit was inconsistent with paragraph two of the notice of motion which it purported to support. He held that the li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e in the affidavit went to the root of the application.</w:t>
      </w:r>
    </w:p>
    <w:p w:rsidR="00E232C6" w:rsidRPr="00786C88" w:rsidRDefault="00E419DC" w:rsidP="00786C88">
      <w:pPr>
        <w:pStyle w:val="BodyText4"/>
        <w:shd w:val="clear" w:color="auto" w:fill="auto"/>
        <w:spacing w:after="236" w:line="360" w:lineRule="auto"/>
        <w:ind w:left="1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On appeal it was suggested for the appellants that the inconsistency be ignored and the application be decided upon other paragraphs. It was, however, a contention of the respondents that since the ap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plicants were served with summons to enter appearance and failed to enter an appearance or file a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defence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, there was no merit in the application.</w:t>
      </w:r>
    </w:p>
    <w:p w:rsidR="00E232C6" w:rsidRPr="00786C88" w:rsidRDefault="00E419DC" w:rsidP="00786C88">
      <w:pPr>
        <w:pStyle w:val="BodyText4"/>
        <w:shd w:val="clear" w:color="auto" w:fill="auto"/>
        <w:spacing w:line="360" w:lineRule="auto"/>
        <w:ind w:left="740" w:right="20" w:hanging="62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Held: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gram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inconsistencies in affidavits cannot be ignored however minor, since a swo</w:t>
      </w:r>
      <w:r w:rsid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rn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affidavit is not a document to be treated lightly. If it contains an obvious falsehood, then it all naturally becomes suspect.</w:t>
      </w:r>
    </w:p>
    <w:p w:rsidR="00E232C6" w:rsidRPr="00786C88" w:rsidRDefault="00E419DC" w:rsidP="00786C88">
      <w:pPr>
        <w:pStyle w:val="BodyText4"/>
        <w:numPr>
          <w:ilvl w:val="0"/>
          <w:numId w:val="1"/>
        </w:numPr>
        <w:shd w:val="clear" w:color="auto" w:fill="auto"/>
        <w:tabs>
          <w:tab w:val="left" w:pos="1062"/>
        </w:tabs>
        <w:spacing w:after="240" w:line="360" w:lineRule="auto"/>
        <w:ind w:left="76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An application supported by a false affidavit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is bound to fail because </w:t>
      </w:r>
      <w:proofErr w:type="spellStart"/>
      <w:r w:rsidRPr="00786C88">
        <w:rPr>
          <w:rStyle w:val="Bodytext12pt"/>
          <w:rFonts w:ascii="Times New Roman" w:hAnsi="Times New Roman" w:cs="Times New Roman"/>
          <w:b/>
          <w:bCs/>
        </w:rPr>
        <w:t>tf</w:t>
      </w:r>
      <w:proofErr w:type="spellEnd"/>
      <w:r w:rsidRPr="00786C88">
        <w:rPr>
          <w:rStyle w:val="Bodytext12pt"/>
          <w:rFonts w:ascii="Times New Roman" w:hAnsi="Times New Roman" w:cs="Times New Roman"/>
          <w:b/>
          <w:bCs/>
        </w:rPr>
        <w:t xml:space="preserve"> 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applicant in such a case does not go to court with clean hands and tell the truth.</w:t>
      </w:r>
    </w:p>
    <w:p w:rsidR="00E232C6" w:rsidRPr="00786C88" w:rsidRDefault="00E419DC" w:rsidP="00786C88">
      <w:pPr>
        <w:pStyle w:val="BodyText4"/>
        <w:numPr>
          <w:ilvl w:val="0"/>
          <w:numId w:val="1"/>
        </w:numPr>
        <w:shd w:val="clear" w:color="auto" w:fill="auto"/>
        <w:tabs>
          <w:tab w:val="left" w:pos="1038"/>
        </w:tabs>
        <w:spacing w:after="233" w:line="360" w:lineRule="auto"/>
        <w:ind w:left="76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Since the appellants had been served with summons to enter appearance they failed to respond to them, then they had, by that failure put themsel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ves ou</w:t>
      </w:r>
      <w:r w:rsid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t of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court and had no locus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standi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232C6" w:rsidRPr="00786C88" w:rsidRDefault="00E419DC" w:rsidP="00786C88">
      <w:pPr>
        <w:pStyle w:val="BodyText4"/>
        <w:numPr>
          <w:ilvl w:val="0"/>
          <w:numId w:val="1"/>
        </w:numPr>
        <w:shd w:val="clear" w:color="auto" w:fill="auto"/>
        <w:tabs>
          <w:tab w:val="left" w:pos="1139"/>
        </w:tabs>
        <w:spacing w:after="207" w:line="360" w:lineRule="auto"/>
        <w:ind w:left="76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Ignorance of the procedure is no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defence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, except in very exceptional cas</w:t>
      </w:r>
      <w:r w:rsid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es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especially constitutional ones - </w:t>
      </w:r>
      <w:proofErr w:type="spellStart"/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Katikiro</w:t>
      </w:r>
      <w:proofErr w:type="spellEnd"/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 xml:space="preserve"> of Buganda v. Attorney General </w:t>
      </w:r>
      <w:r w:rsid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of</w:t>
      </w:r>
      <w:r w:rsidRPr="00786C88">
        <w:rPr>
          <w:rStyle w:val="BodytextNotBold0"/>
          <w:rFonts w:ascii="Times New Roman" w:hAnsi="Times New Roman" w:cs="Times New Roman"/>
          <w:sz w:val="24"/>
          <w:szCs w:val="24"/>
        </w:rPr>
        <w:t xml:space="preserve"> </w:t>
      </w: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 xml:space="preserve">Uganda. </w:t>
      </w:r>
      <w:r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[</w:t>
      </w: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1958</w:t>
      </w:r>
      <w:r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]</w:t>
      </w: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 xml:space="preserve"> E.A. 765.</w:t>
      </w:r>
    </w:p>
    <w:p w:rsidR="00E232C6" w:rsidRPr="00786C88" w:rsidRDefault="00E419DC" w:rsidP="00786C88">
      <w:pPr>
        <w:pStyle w:val="BodyText4"/>
        <w:shd w:val="clear" w:color="auto" w:fill="auto"/>
        <w:spacing w:after="93" w:line="360" w:lineRule="auto"/>
        <w:ind w:right="140" w:firstLine="0"/>
        <w:jc w:val="both"/>
        <w:rPr>
          <w:rStyle w:val="BodyText2"/>
          <w:rFonts w:ascii="Times New Roman" w:hAnsi="Times New Roman" w:cs="Times New Roman"/>
          <w:b/>
          <w:bCs/>
          <w:sz w:val="24"/>
          <w:szCs w:val="24"/>
        </w:rPr>
      </w:pP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Appeal dismissed with costs.</w:t>
      </w:r>
    </w:p>
    <w:p w:rsidR="00786C88" w:rsidRPr="00786C88" w:rsidRDefault="00786C88" w:rsidP="00786C88">
      <w:pPr>
        <w:pStyle w:val="BodyText4"/>
        <w:shd w:val="clear" w:color="auto" w:fill="auto"/>
        <w:spacing w:line="360" w:lineRule="auto"/>
        <w:ind w:right="80" w:firstLine="0"/>
        <w:jc w:val="both"/>
        <w:rPr>
          <w:rStyle w:val="BodyText1"/>
          <w:rFonts w:ascii="Times New Roman" w:hAnsi="Times New Roman" w:cs="Times New Roman"/>
          <w:b/>
          <w:bCs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Allen, J</w:t>
      </w:r>
    </w:p>
    <w:p w:rsidR="00786C88" w:rsidRPr="00786C88" w:rsidRDefault="00786C88" w:rsidP="00786C88">
      <w:pPr>
        <w:pStyle w:val="BodyText4"/>
        <w:shd w:val="clear" w:color="auto" w:fill="auto"/>
        <w:spacing w:line="360" w:lineRule="auto"/>
        <w:ind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January 20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, 1977</w:t>
      </w:r>
    </w:p>
    <w:p w:rsidR="00786C88" w:rsidRPr="00786C88" w:rsidRDefault="00786C88" w:rsidP="00786C88">
      <w:pPr>
        <w:pStyle w:val="BodyText4"/>
        <w:shd w:val="clear" w:color="auto" w:fill="auto"/>
        <w:spacing w:after="93" w:line="360" w:lineRule="auto"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9DC" w:rsidRDefault="00E419DC" w:rsidP="00E419DC">
      <w:pPr>
        <w:pStyle w:val="BodyText4"/>
        <w:shd w:val="clear" w:color="auto" w:fill="auto"/>
        <w:spacing w:after="102" w:line="360" w:lineRule="auto"/>
        <w:ind w:left="760"/>
        <w:jc w:val="both"/>
        <w:rPr>
          <w:rStyle w:val="BodyText2"/>
          <w:rFonts w:ascii="Times New Roman" w:hAnsi="Times New Roman" w:cs="Times New Roman"/>
          <w:b/>
          <w:bCs/>
          <w:sz w:val="24"/>
          <w:szCs w:val="24"/>
        </w:rPr>
      </w:pPr>
      <w:r w:rsidRPr="00786C88">
        <w:rPr>
          <w:rStyle w:val="BodyText2"/>
          <w:rFonts w:ascii="Times New Roman" w:hAnsi="Times New Roman" w:cs="Times New Roman"/>
          <w:b/>
          <w:bCs/>
          <w:sz w:val="24"/>
          <w:szCs w:val="24"/>
        </w:rPr>
        <w:t>Cases Cited:</w:t>
      </w:r>
    </w:p>
    <w:p w:rsidR="00E232C6" w:rsidRPr="00786C88" w:rsidRDefault="00E419DC" w:rsidP="00E419DC">
      <w:pPr>
        <w:pStyle w:val="BodyText4"/>
        <w:shd w:val="clear" w:color="auto" w:fill="auto"/>
        <w:spacing w:after="102" w:line="36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Dyson v. Att. Gen., [1911] 1 K.B. 410</w:t>
      </w:r>
    </w:p>
    <w:p w:rsidR="00E232C6" w:rsidRPr="00786C88" w:rsidRDefault="00E419DC" w:rsidP="00E419DC">
      <w:pPr>
        <w:pStyle w:val="BodyText4"/>
        <w:shd w:val="clear" w:color="auto" w:fill="auto"/>
        <w:tabs>
          <w:tab w:val="left" w:pos="760"/>
        </w:tabs>
        <w:spacing w:after="98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2.</w:t>
      </w:r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K</w:t>
      </w:r>
      <w:bookmarkStart w:id="0" w:name="_GoBack"/>
      <w:bookmarkEnd w:id="0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atikiro of Buganda v. </w:t>
      </w:r>
      <w:proofErr w:type="spell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Att.Gen</w:t>
      </w:r>
      <w:proofErr w:type="spell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Pr="00786C88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Uganda, [1958] E.A. 765.</w:t>
      </w:r>
    </w:p>
    <w:sectPr w:rsidR="00E232C6" w:rsidRPr="00786C88">
      <w:type w:val="continuous"/>
      <w:pgSz w:w="12240" w:h="15840"/>
      <w:pgMar w:top="2260" w:right="1716" w:bottom="1713" w:left="1716" w:header="0" w:footer="3" w:gutter="24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88" w:rsidRDefault="00786C88">
      <w:r>
        <w:separator/>
      </w:r>
    </w:p>
  </w:endnote>
  <w:endnote w:type="continuationSeparator" w:id="0">
    <w:p w:rsidR="00786C88" w:rsidRDefault="0078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88" w:rsidRDefault="00786C88"/>
  </w:footnote>
  <w:footnote w:type="continuationSeparator" w:id="0">
    <w:p w:rsidR="00786C88" w:rsidRDefault="00786C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2DC"/>
    <w:multiLevelType w:val="multilevel"/>
    <w:tmpl w:val="523C49F6"/>
    <w:lvl w:ilvl="0">
      <w:start w:val="1"/>
      <w:numFmt w:val="decimal"/>
      <w:lvlText w:val="%1.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E5651"/>
    <w:multiLevelType w:val="multilevel"/>
    <w:tmpl w:val="5E541918"/>
    <w:lvl w:ilvl="0">
      <w:start w:val="2"/>
      <w:numFmt w:val="decimal"/>
      <w:lvlText w:val="%1.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C6"/>
    <w:rsid w:val="00786C88"/>
    <w:rsid w:val="00E232C6"/>
    <w:rsid w:val="00E4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4"/>
    <w:rPr>
      <w:rFonts w:ascii="AngsanaUPC" w:eastAsia="AngsanaUPC" w:hAnsi="AngsanaUPC" w:cs="Angsan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1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Headerorfooter1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Headerorfooter2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en-US"/>
    </w:rPr>
  </w:style>
  <w:style w:type="character" w:customStyle="1" w:styleId="Headerorfooter3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en-US"/>
    </w:rPr>
  </w:style>
  <w:style w:type="character" w:customStyle="1" w:styleId="Headerorfooter4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BodyText2">
    <w:name w:val="Body Text2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BodyText3">
    <w:name w:val="Body Text3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Bodytext12pt">
    <w:name w:val="Body text + 12 pt"/>
    <w:aliases w:val="Scale 40%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40"/>
      <w:position w:val="0"/>
      <w:sz w:val="24"/>
      <w:szCs w:val="24"/>
      <w:u w:val="none"/>
      <w:lang w:val="en-US"/>
    </w:rPr>
  </w:style>
  <w:style w:type="character" w:customStyle="1" w:styleId="Headerorfooter16pt">
    <w:name w:val="Header or footer + 16 pt"/>
    <w:aliases w:val="Bold"/>
    <w:basedOn w:val="Headerorfooter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Headerorfooter16pt0">
    <w:name w:val="Header or footer + 16 pt"/>
    <w:aliases w:val="Bold"/>
    <w:basedOn w:val="Headerorfooter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dytextNotBold">
    <w:name w:val="Body text + Not Bold"/>
    <w:aliases w:val="Spacing 0 pt,Scale 60%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10"/>
      <w:w w:val="60"/>
      <w:position w:val="0"/>
      <w:sz w:val="32"/>
      <w:szCs w:val="32"/>
      <w:u w:val="single"/>
      <w:lang w:val="en-US"/>
    </w:rPr>
  </w:style>
  <w:style w:type="character" w:customStyle="1" w:styleId="BodytextNotBold0">
    <w:name w:val="Body text + Not Bold"/>
    <w:aliases w:val="Spacing 0 pt,Scale 60%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10"/>
      <w:w w:val="60"/>
      <w:position w:val="0"/>
      <w:sz w:val="32"/>
      <w:szCs w:val="32"/>
      <w:u w:val="none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line="547" w:lineRule="exact"/>
      <w:ind w:hanging="720"/>
      <w:jc w:val="center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ngsanaUPC" w:eastAsia="AngsanaUPC" w:hAnsi="AngsanaUPC" w:cs="AngsanaUPC"/>
      <w:sz w:val="33"/>
      <w:szCs w:val="33"/>
    </w:rPr>
  </w:style>
  <w:style w:type="paragraph" w:styleId="Footer">
    <w:name w:val="footer"/>
    <w:basedOn w:val="Normal"/>
    <w:link w:val="FooterChar"/>
    <w:uiPriority w:val="99"/>
    <w:unhideWhenUsed/>
    <w:rsid w:val="0078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88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41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4"/>
    <w:rPr>
      <w:rFonts w:ascii="AngsanaUPC" w:eastAsia="AngsanaUPC" w:hAnsi="AngsanaUPC" w:cs="Angsan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1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Headerorfooter1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Headerorfooter2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en-US"/>
    </w:rPr>
  </w:style>
  <w:style w:type="character" w:customStyle="1" w:styleId="Headerorfooter3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en-US"/>
    </w:rPr>
  </w:style>
  <w:style w:type="character" w:customStyle="1" w:styleId="Headerorfooter4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BodyText2">
    <w:name w:val="Body Text2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BodyText3">
    <w:name w:val="Body Text3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Bodytext12pt">
    <w:name w:val="Body text + 12 pt"/>
    <w:aliases w:val="Scale 40%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40"/>
      <w:position w:val="0"/>
      <w:sz w:val="24"/>
      <w:szCs w:val="24"/>
      <w:u w:val="none"/>
      <w:lang w:val="en-US"/>
    </w:rPr>
  </w:style>
  <w:style w:type="character" w:customStyle="1" w:styleId="Headerorfooter16pt">
    <w:name w:val="Header or footer + 16 pt"/>
    <w:aliases w:val="Bold"/>
    <w:basedOn w:val="Headerorfooter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/>
    </w:rPr>
  </w:style>
  <w:style w:type="character" w:customStyle="1" w:styleId="Headerorfooter16pt0">
    <w:name w:val="Header or footer + 16 pt"/>
    <w:aliases w:val="Bold"/>
    <w:basedOn w:val="Headerorfooter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dytextNotBold">
    <w:name w:val="Body text + Not Bold"/>
    <w:aliases w:val="Spacing 0 pt,Scale 60%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10"/>
      <w:w w:val="60"/>
      <w:position w:val="0"/>
      <w:sz w:val="32"/>
      <w:szCs w:val="32"/>
      <w:u w:val="single"/>
      <w:lang w:val="en-US"/>
    </w:rPr>
  </w:style>
  <w:style w:type="character" w:customStyle="1" w:styleId="BodytextNotBold0">
    <w:name w:val="Body text + Not Bold"/>
    <w:aliases w:val="Spacing 0 pt,Scale 60%"/>
    <w:basedOn w:val="Bodytext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10"/>
      <w:w w:val="60"/>
      <w:position w:val="0"/>
      <w:sz w:val="32"/>
      <w:szCs w:val="32"/>
      <w:u w:val="none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line="547" w:lineRule="exact"/>
      <w:ind w:hanging="720"/>
      <w:jc w:val="center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ngsanaUPC" w:eastAsia="AngsanaUPC" w:hAnsi="AngsanaUPC" w:cs="AngsanaUPC"/>
      <w:sz w:val="33"/>
      <w:szCs w:val="33"/>
    </w:rPr>
  </w:style>
  <w:style w:type="paragraph" w:styleId="Footer">
    <w:name w:val="footer"/>
    <w:basedOn w:val="Normal"/>
    <w:link w:val="FooterChar"/>
    <w:uiPriority w:val="99"/>
    <w:unhideWhenUsed/>
    <w:rsid w:val="00786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88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41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2016-04-25T08:20:00Z</dcterms:created>
  <dcterms:modified xsi:type="dcterms:W3CDTF">2016-04-25T08:33:00Z</dcterms:modified>
</cp:coreProperties>
</file>