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C9F8" w14:textId="1052E9B3" w:rsidR="00317ABE" w:rsidRDefault="00632EE3" w:rsidP="00391997">
      <w:pPr>
        <w:spacing w:line="240" w:lineRule="auto"/>
        <w:jc w:val="center"/>
        <w:rPr>
          <w:b/>
          <w:bCs/>
          <w:sz w:val="28"/>
          <w:szCs w:val="28"/>
          <w:lang w:val="en-GB"/>
        </w:rPr>
      </w:pPr>
      <w:r>
        <w:rPr>
          <w:b/>
          <w:bCs/>
          <w:sz w:val="28"/>
          <w:szCs w:val="28"/>
          <w:lang w:val="en-GB"/>
        </w:rPr>
        <w:t>THE REPUBLIC OF UGANDA</w:t>
      </w:r>
      <w:r w:rsidR="009B58CB">
        <w:rPr>
          <w:b/>
          <w:bCs/>
          <w:sz w:val="28"/>
          <w:szCs w:val="28"/>
          <w:lang w:val="en-GB"/>
        </w:rPr>
        <w:t xml:space="preserve"> </w:t>
      </w:r>
    </w:p>
    <w:p w14:paraId="486A402D" w14:textId="3AB30448" w:rsidR="002C1CC1" w:rsidRDefault="002C1CC1" w:rsidP="00391997">
      <w:pPr>
        <w:spacing w:line="240" w:lineRule="auto"/>
        <w:jc w:val="center"/>
        <w:rPr>
          <w:b/>
          <w:bCs/>
          <w:sz w:val="28"/>
          <w:szCs w:val="28"/>
          <w:lang w:val="en-GB"/>
        </w:rPr>
      </w:pPr>
      <w:r>
        <w:rPr>
          <w:b/>
          <w:bCs/>
          <w:sz w:val="28"/>
          <w:szCs w:val="28"/>
          <w:lang w:val="en-GB"/>
        </w:rPr>
        <w:t>IN THE HIGH COURT OF UGANDA AT FORT PORTAL</w:t>
      </w:r>
    </w:p>
    <w:p w14:paraId="30834E90" w14:textId="3B9923BA" w:rsidR="002C1CC1" w:rsidRDefault="00CA44AD" w:rsidP="00391997">
      <w:pPr>
        <w:spacing w:line="240" w:lineRule="auto"/>
        <w:jc w:val="center"/>
        <w:rPr>
          <w:b/>
          <w:bCs/>
          <w:sz w:val="28"/>
          <w:szCs w:val="28"/>
          <w:lang w:val="en-GB"/>
        </w:rPr>
      </w:pPr>
      <w:r>
        <w:rPr>
          <w:b/>
          <w:bCs/>
          <w:sz w:val="28"/>
          <w:szCs w:val="28"/>
          <w:lang w:val="en-GB"/>
        </w:rPr>
        <w:t>MISCELLANEOUS APPLICATION NO. 072 OF 2023</w:t>
      </w:r>
    </w:p>
    <w:p w14:paraId="7D068B94" w14:textId="6E7E912A" w:rsidR="00CA44AD" w:rsidRDefault="00CA44AD" w:rsidP="00391997">
      <w:pPr>
        <w:spacing w:line="240" w:lineRule="auto"/>
        <w:jc w:val="center"/>
        <w:rPr>
          <w:b/>
          <w:bCs/>
          <w:sz w:val="28"/>
          <w:szCs w:val="28"/>
          <w:lang w:val="en-GB"/>
        </w:rPr>
      </w:pPr>
      <w:r>
        <w:rPr>
          <w:b/>
          <w:bCs/>
          <w:sz w:val="28"/>
          <w:szCs w:val="28"/>
          <w:lang w:val="en-GB"/>
        </w:rPr>
        <w:t>(ARISING FROM CIVIL APPEAL NO.</w:t>
      </w:r>
      <w:r w:rsidR="00391997">
        <w:rPr>
          <w:b/>
          <w:bCs/>
          <w:sz w:val="28"/>
          <w:szCs w:val="28"/>
          <w:lang w:val="en-GB"/>
        </w:rPr>
        <w:t xml:space="preserve"> 002 of 2016)</w:t>
      </w:r>
    </w:p>
    <w:p w14:paraId="767F6F2C" w14:textId="6A3875A4" w:rsidR="00391997" w:rsidRDefault="00391997" w:rsidP="00391997">
      <w:pPr>
        <w:spacing w:line="240" w:lineRule="auto"/>
        <w:jc w:val="center"/>
        <w:rPr>
          <w:b/>
          <w:bCs/>
          <w:sz w:val="28"/>
          <w:szCs w:val="28"/>
          <w:lang w:val="en-GB"/>
        </w:rPr>
      </w:pPr>
      <w:r>
        <w:rPr>
          <w:b/>
          <w:bCs/>
          <w:sz w:val="28"/>
          <w:szCs w:val="28"/>
          <w:lang w:val="en-GB"/>
        </w:rPr>
        <w:t>(ALL ARISING FROM KASESE CHIEF MAGISTRATE CIVIL SUIT NO. 201 OF 2013)</w:t>
      </w:r>
    </w:p>
    <w:p w14:paraId="3252041C" w14:textId="77777777" w:rsidR="00477344" w:rsidRDefault="00477344" w:rsidP="00045911">
      <w:pPr>
        <w:jc w:val="center"/>
        <w:rPr>
          <w:b/>
          <w:bCs/>
          <w:sz w:val="28"/>
          <w:szCs w:val="28"/>
          <w:lang w:val="en-GB"/>
        </w:rPr>
      </w:pPr>
    </w:p>
    <w:p w14:paraId="0057A7AF" w14:textId="25F0DAEB" w:rsidR="00477344" w:rsidRDefault="00391997" w:rsidP="00477344">
      <w:pPr>
        <w:jc w:val="both"/>
        <w:rPr>
          <w:b/>
          <w:bCs/>
          <w:sz w:val="28"/>
          <w:szCs w:val="28"/>
          <w:lang w:val="en-GB"/>
        </w:rPr>
      </w:pPr>
      <w:r>
        <w:rPr>
          <w:b/>
          <w:bCs/>
          <w:sz w:val="28"/>
          <w:szCs w:val="28"/>
          <w:lang w:val="en-GB"/>
        </w:rPr>
        <w:t>NEW UGANDA SECURIKO LTD===========================</w:t>
      </w:r>
      <w:r w:rsidR="008F20E4">
        <w:rPr>
          <w:b/>
          <w:bCs/>
          <w:sz w:val="28"/>
          <w:szCs w:val="28"/>
          <w:lang w:val="en-GB"/>
        </w:rPr>
        <w:t>APPLICANTS</w:t>
      </w:r>
    </w:p>
    <w:p w14:paraId="77C7B7F1" w14:textId="77777777" w:rsidR="00085735" w:rsidRDefault="00085735" w:rsidP="00477344">
      <w:pPr>
        <w:jc w:val="both"/>
        <w:rPr>
          <w:b/>
          <w:bCs/>
          <w:sz w:val="28"/>
          <w:szCs w:val="28"/>
          <w:lang w:val="en-GB"/>
        </w:rPr>
      </w:pPr>
    </w:p>
    <w:p w14:paraId="4A227959" w14:textId="0ED49375" w:rsidR="00085735" w:rsidRDefault="00FC29C2" w:rsidP="00FC29C2">
      <w:pPr>
        <w:jc w:val="center"/>
        <w:rPr>
          <w:b/>
          <w:bCs/>
          <w:sz w:val="28"/>
          <w:szCs w:val="28"/>
          <w:lang w:val="en-GB"/>
        </w:rPr>
      </w:pPr>
      <w:r>
        <w:rPr>
          <w:b/>
          <w:bCs/>
          <w:sz w:val="28"/>
          <w:szCs w:val="28"/>
          <w:lang w:val="en-GB"/>
        </w:rPr>
        <w:t>VERSUS</w:t>
      </w:r>
    </w:p>
    <w:p w14:paraId="37E4E03F" w14:textId="77777777" w:rsidR="00FC29C2" w:rsidRDefault="00FC29C2" w:rsidP="00FC29C2">
      <w:pPr>
        <w:jc w:val="center"/>
        <w:rPr>
          <w:b/>
          <w:bCs/>
          <w:sz w:val="28"/>
          <w:szCs w:val="28"/>
          <w:lang w:val="en-GB"/>
        </w:rPr>
      </w:pPr>
    </w:p>
    <w:p w14:paraId="3ECCE22C" w14:textId="4C607726" w:rsidR="00FC29C2" w:rsidRDefault="00391997" w:rsidP="00FC29C2">
      <w:pPr>
        <w:jc w:val="both"/>
        <w:rPr>
          <w:b/>
          <w:bCs/>
          <w:sz w:val="28"/>
          <w:szCs w:val="28"/>
          <w:lang w:val="en-GB"/>
        </w:rPr>
      </w:pPr>
      <w:r>
        <w:rPr>
          <w:b/>
          <w:bCs/>
          <w:sz w:val="28"/>
          <w:szCs w:val="28"/>
          <w:lang w:val="en-GB"/>
        </w:rPr>
        <w:t>BAKWANYE TRADING CO. LTD===========================</w:t>
      </w:r>
      <w:r w:rsidR="008F20E4">
        <w:rPr>
          <w:b/>
          <w:bCs/>
          <w:sz w:val="28"/>
          <w:szCs w:val="28"/>
          <w:lang w:val="en-GB"/>
        </w:rPr>
        <w:t>RESPONDENTS</w:t>
      </w:r>
    </w:p>
    <w:p w14:paraId="43165A75" w14:textId="77777777" w:rsidR="005D3FA4" w:rsidRDefault="005D3FA4" w:rsidP="00FC29C2">
      <w:pPr>
        <w:jc w:val="both"/>
        <w:rPr>
          <w:b/>
          <w:bCs/>
          <w:sz w:val="28"/>
          <w:szCs w:val="28"/>
          <w:lang w:val="en-GB"/>
        </w:rPr>
      </w:pPr>
    </w:p>
    <w:p w14:paraId="59D5A178" w14:textId="2B874556" w:rsidR="00693FBF" w:rsidRDefault="0023444B" w:rsidP="00693FBF">
      <w:pPr>
        <w:jc w:val="center"/>
        <w:rPr>
          <w:b/>
          <w:bCs/>
          <w:sz w:val="28"/>
          <w:szCs w:val="28"/>
          <w:u w:val="single"/>
          <w:lang w:val="en-GB"/>
        </w:rPr>
      </w:pPr>
      <w:r w:rsidRPr="00B1066C">
        <w:rPr>
          <w:b/>
          <w:bCs/>
          <w:sz w:val="28"/>
          <w:szCs w:val="28"/>
          <w:u w:val="single"/>
          <w:lang w:val="en-GB"/>
        </w:rPr>
        <w:t>BEFORE HON. JUSTICE</w:t>
      </w:r>
      <w:r w:rsidR="00241500" w:rsidRPr="00B1066C">
        <w:rPr>
          <w:b/>
          <w:bCs/>
          <w:sz w:val="28"/>
          <w:szCs w:val="28"/>
          <w:u w:val="single"/>
          <w:lang w:val="en-GB"/>
        </w:rPr>
        <w:t xml:space="preserve"> DAVID S.L. MAKUMBI</w:t>
      </w:r>
    </w:p>
    <w:p w14:paraId="57A63C27" w14:textId="77777777" w:rsidR="00693FBF" w:rsidRDefault="00693FBF" w:rsidP="00693FBF">
      <w:pPr>
        <w:rPr>
          <w:sz w:val="28"/>
          <w:szCs w:val="28"/>
          <w:lang w:val="en-GB"/>
        </w:rPr>
      </w:pPr>
    </w:p>
    <w:p w14:paraId="5C77899F" w14:textId="6E90DA78" w:rsidR="00693FBF" w:rsidRDefault="00391997" w:rsidP="00693FBF">
      <w:pPr>
        <w:rPr>
          <w:sz w:val="28"/>
          <w:szCs w:val="28"/>
          <w:lang w:val="en-GB"/>
        </w:rPr>
      </w:pPr>
      <w:r>
        <w:rPr>
          <w:sz w:val="28"/>
          <w:szCs w:val="28"/>
          <w:lang w:val="en-GB"/>
        </w:rPr>
        <w:t>Applicant</w:t>
      </w:r>
      <w:r w:rsidR="00693FBF">
        <w:rPr>
          <w:sz w:val="28"/>
          <w:szCs w:val="28"/>
          <w:lang w:val="en-GB"/>
        </w:rPr>
        <w:t xml:space="preserve"> represented by </w:t>
      </w:r>
      <w:r w:rsidR="000F736D">
        <w:rPr>
          <w:sz w:val="28"/>
          <w:szCs w:val="28"/>
          <w:lang w:val="en-GB"/>
        </w:rPr>
        <w:t>Mwesigye, Mugisha and Co. Advocates</w:t>
      </w:r>
      <w:r w:rsidR="000F736D">
        <w:rPr>
          <w:sz w:val="28"/>
          <w:szCs w:val="28"/>
          <w:lang w:val="en-GB"/>
        </w:rPr>
        <w:t xml:space="preserve"> </w:t>
      </w:r>
    </w:p>
    <w:p w14:paraId="37F2BC25" w14:textId="5693C818" w:rsidR="00693FBF" w:rsidRPr="00693FBF" w:rsidRDefault="00391997" w:rsidP="00693FBF">
      <w:pPr>
        <w:rPr>
          <w:sz w:val="28"/>
          <w:szCs w:val="28"/>
          <w:lang w:val="en-GB"/>
        </w:rPr>
      </w:pPr>
      <w:r>
        <w:rPr>
          <w:sz w:val="28"/>
          <w:szCs w:val="28"/>
          <w:lang w:val="en-GB"/>
        </w:rPr>
        <w:t>Respondent</w:t>
      </w:r>
      <w:r w:rsidR="00693FBF">
        <w:rPr>
          <w:sz w:val="28"/>
          <w:szCs w:val="28"/>
          <w:lang w:val="en-GB"/>
        </w:rPr>
        <w:t xml:space="preserve"> represented by </w:t>
      </w:r>
      <w:r w:rsidR="000F736D">
        <w:rPr>
          <w:sz w:val="28"/>
          <w:szCs w:val="28"/>
          <w:lang w:val="en-GB"/>
        </w:rPr>
        <w:t>M/S MRK Advocates</w:t>
      </w:r>
    </w:p>
    <w:p w14:paraId="5604D684" w14:textId="77777777" w:rsidR="00693FBF" w:rsidRDefault="00693FBF" w:rsidP="00317ABE">
      <w:pPr>
        <w:jc w:val="both"/>
        <w:rPr>
          <w:b/>
          <w:bCs/>
          <w:sz w:val="28"/>
          <w:szCs w:val="28"/>
          <w:u w:val="single"/>
          <w:lang w:val="en-GB"/>
        </w:rPr>
      </w:pPr>
    </w:p>
    <w:p w14:paraId="62618552" w14:textId="71975781" w:rsidR="00317ABE" w:rsidRDefault="005D3FA4" w:rsidP="00317ABE">
      <w:pPr>
        <w:jc w:val="both"/>
        <w:rPr>
          <w:sz w:val="28"/>
          <w:szCs w:val="28"/>
          <w:lang w:val="en-GB"/>
        </w:rPr>
      </w:pPr>
      <w:r>
        <w:rPr>
          <w:b/>
          <w:bCs/>
          <w:sz w:val="28"/>
          <w:szCs w:val="28"/>
          <w:u w:val="single"/>
          <w:lang w:val="en-GB"/>
        </w:rPr>
        <w:t>RULING:</w:t>
      </w:r>
    </w:p>
    <w:p w14:paraId="261849CA" w14:textId="16DAF671" w:rsidR="00CF3A8C" w:rsidRDefault="009A5AA1" w:rsidP="00391997">
      <w:pPr>
        <w:jc w:val="both"/>
        <w:rPr>
          <w:sz w:val="28"/>
          <w:szCs w:val="28"/>
          <w:lang w:val="en-GB"/>
        </w:rPr>
      </w:pPr>
      <w:r>
        <w:rPr>
          <w:sz w:val="28"/>
          <w:szCs w:val="28"/>
          <w:lang w:val="en-GB"/>
        </w:rPr>
        <w:t xml:space="preserve">This is a ruling on </w:t>
      </w:r>
      <w:r w:rsidR="00391997">
        <w:rPr>
          <w:sz w:val="28"/>
          <w:szCs w:val="28"/>
          <w:lang w:val="en-GB"/>
        </w:rPr>
        <w:t>an application for orders that:</w:t>
      </w:r>
    </w:p>
    <w:p w14:paraId="2553BB77" w14:textId="0B79ECD1" w:rsidR="00391997" w:rsidRDefault="00391997" w:rsidP="00391997">
      <w:pPr>
        <w:pStyle w:val="ListParagraph"/>
        <w:numPr>
          <w:ilvl w:val="0"/>
          <w:numId w:val="7"/>
        </w:numPr>
        <w:jc w:val="both"/>
        <w:rPr>
          <w:sz w:val="28"/>
          <w:szCs w:val="28"/>
          <w:lang w:val="en-GB"/>
        </w:rPr>
      </w:pPr>
      <w:r>
        <w:rPr>
          <w:sz w:val="28"/>
          <w:szCs w:val="28"/>
          <w:lang w:val="en-GB"/>
        </w:rPr>
        <w:t xml:space="preserve">The applicant be granted leave to lodge an appeal out of time by extending time within which to file and serve the Notice of Appeal and other documents </w:t>
      </w:r>
      <w:r w:rsidR="003F670A">
        <w:rPr>
          <w:sz w:val="28"/>
          <w:szCs w:val="28"/>
          <w:lang w:val="en-GB"/>
        </w:rPr>
        <w:t>for commencing the appeal against a judgment in Civil Appeal No. 002 of 2016 which is dated 17</w:t>
      </w:r>
      <w:r w:rsidR="003F670A" w:rsidRPr="003F670A">
        <w:rPr>
          <w:sz w:val="28"/>
          <w:szCs w:val="28"/>
          <w:vertAlign w:val="superscript"/>
          <w:lang w:val="en-GB"/>
        </w:rPr>
        <w:t>th</w:t>
      </w:r>
      <w:r w:rsidR="003F670A">
        <w:rPr>
          <w:sz w:val="28"/>
          <w:szCs w:val="28"/>
          <w:lang w:val="en-GB"/>
        </w:rPr>
        <w:t xml:space="preserve"> May 2022.</w:t>
      </w:r>
    </w:p>
    <w:p w14:paraId="1E7D8AB1" w14:textId="407C6D99" w:rsidR="003F670A" w:rsidRDefault="003F670A" w:rsidP="00391997">
      <w:pPr>
        <w:pStyle w:val="ListParagraph"/>
        <w:numPr>
          <w:ilvl w:val="0"/>
          <w:numId w:val="7"/>
        </w:numPr>
        <w:jc w:val="both"/>
        <w:rPr>
          <w:sz w:val="28"/>
          <w:szCs w:val="28"/>
          <w:lang w:val="en-GB"/>
        </w:rPr>
      </w:pPr>
      <w:r>
        <w:rPr>
          <w:sz w:val="28"/>
          <w:szCs w:val="28"/>
          <w:lang w:val="en-GB"/>
        </w:rPr>
        <w:t>Costs of the application be provided for.</w:t>
      </w:r>
    </w:p>
    <w:p w14:paraId="77DC2205" w14:textId="358206A1" w:rsidR="00800BF5" w:rsidRDefault="00800BF5" w:rsidP="00800BF5">
      <w:pPr>
        <w:jc w:val="both"/>
        <w:rPr>
          <w:b/>
          <w:bCs/>
          <w:sz w:val="28"/>
          <w:szCs w:val="28"/>
          <w:lang w:val="en-GB"/>
        </w:rPr>
      </w:pPr>
      <w:r>
        <w:rPr>
          <w:b/>
          <w:bCs/>
          <w:sz w:val="28"/>
          <w:szCs w:val="28"/>
          <w:lang w:val="en-GB"/>
        </w:rPr>
        <w:t>LAW APPLICABLE:</w:t>
      </w:r>
    </w:p>
    <w:p w14:paraId="2F658CF3" w14:textId="2EA8BE87" w:rsidR="00800BF5" w:rsidRDefault="00800BF5" w:rsidP="00800BF5">
      <w:pPr>
        <w:pStyle w:val="ListParagraph"/>
        <w:numPr>
          <w:ilvl w:val="0"/>
          <w:numId w:val="8"/>
        </w:numPr>
        <w:jc w:val="both"/>
        <w:rPr>
          <w:sz w:val="28"/>
          <w:szCs w:val="28"/>
          <w:lang w:val="en-GB"/>
        </w:rPr>
      </w:pPr>
      <w:r>
        <w:rPr>
          <w:sz w:val="28"/>
          <w:szCs w:val="28"/>
          <w:lang w:val="en-GB"/>
        </w:rPr>
        <w:t xml:space="preserve">Civil Procedure Act </w:t>
      </w:r>
    </w:p>
    <w:p w14:paraId="316130D1" w14:textId="48A3713A" w:rsidR="00800BF5" w:rsidRDefault="00800BF5" w:rsidP="00800BF5">
      <w:pPr>
        <w:pStyle w:val="ListParagraph"/>
        <w:numPr>
          <w:ilvl w:val="0"/>
          <w:numId w:val="8"/>
        </w:numPr>
        <w:jc w:val="both"/>
        <w:rPr>
          <w:sz w:val="28"/>
          <w:szCs w:val="28"/>
          <w:lang w:val="en-GB"/>
        </w:rPr>
      </w:pPr>
      <w:r>
        <w:rPr>
          <w:sz w:val="28"/>
          <w:szCs w:val="28"/>
          <w:lang w:val="en-GB"/>
        </w:rPr>
        <w:t xml:space="preserve">Judicature Act </w:t>
      </w:r>
    </w:p>
    <w:p w14:paraId="27F483A9" w14:textId="6EA19C26" w:rsidR="00800BF5" w:rsidRPr="00800BF5" w:rsidRDefault="00800BF5" w:rsidP="00800BF5">
      <w:pPr>
        <w:pStyle w:val="ListParagraph"/>
        <w:numPr>
          <w:ilvl w:val="0"/>
          <w:numId w:val="8"/>
        </w:numPr>
        <w:jc w:val="both"/>
        <w:rPr>
          <w:sz w:val="28"/>
          <w:szCs w:val="28"/>
          <w:lang w:val="en-GB"/>
        </w:rPr>
      </w:pPr>
      <w:r>
        <w:rPr>
          <w:sz w:val="28"/>
          <w:szCs w:val="28"/>
          <w:lang w:val="en-GB"/>
        </w:rPr>
        <w:t>Judicature (Court of Appeal) Rules</w:t>
      </w:r>
    </w:p>
    <w:p w14:paraId="4AD714AE" w14:textId="12756A05" w:rsidR="00800BF5" w:rsidRPr="00800BF5" w:rsidRDefault="00800BF5" w:rsidP="003F670A">
      <w:pPr>
        <w:jc w:val="both"/>
        <w:rPr>
          <w:b/>
          <w:bCs/>
          <w:sz w:val="28"/>
          <w:szCs w:val="28"/>
          <w:lang w:val="en-GB"/>
        </w:rPr>
      </w:pPr>
      <w:r>
        <w:rPr>
          <w:b/>
          <w:bCs/>
          <w:sz w:val="28"/>
          <w:szCs w:val="28"/>
          <w:lang w:val="en-GB"/>
        </w:rPr>
        <w:lastRenderedPageBreak/>
        <w:t>APPLICANT’S CASE:</w:t>
      </w:r>
    </w:p>
    <w:p w14:paraId="3646E3E7" w14:textId="79805202" w:rsidR="003F670A" w:rsidRDefault="003F670A" w:rsidP="003F670A">
      <w:pPr>
        <w:jc w:val="both"/>
        <w:rPr>
          <w:sz w:val="28"/>
          <w:szCs w:val="28"/>
          <w:lang w:val="en-GB"/>
        </w:rPr>
      </w:pPr>
      <w:r>
        <w:rPr>
          <w:sz w:val="28"/>
          <w:szCs w:val="28"/>
          <w:lang w:val="en-GB"/>
        </w:rPr>
        <w:t xml:space="preserve">The application is supported by the affidavit of Zubairi Mukwaya, the Managing Director of the Applicant, who in summary lays out the grounds upon which he believes that this court should grant leave to lodge an appeal out of time before the Court of Appeal. The Applicant’s Managing Director deponed that the appeal which arises from decisions of the Kasese Chief Magistrate in Civil Suit No. 201 of 2013 and of this court in Civil Appeal No. 002 of 2016. He further averred that the delay in lodging the appeal was occasioned by the abrupt departure without notice to the applicant of Counsel Enock Bwesigye who was in personal conduct of their matter. He went on to depone that </w:t>
      </w:r>
      <w:r w:rsidR="00800BF5">
        <w:rPr>
          <w:sz w:val="28"/>
          <w:szCs w:val="28"/>
          <w:lang w:val="en-GB"/>
        </w:rPr>
        <w:t>the appeal had high chances of success.</w:t>
      </w:r>
    </w:p>
    <w:p w14:paraId="2C92F3D3" w14:textId="3B894E10" w:rsidR="00800BF5" w:rsidRPr="00800BF5" w:rsidRDefault="00800BF5" w:rsidP="003F670A">
      <w:pPr>
        <w:jc w:val="both"/>
        <w:rPr>
          <w:b/>
          <w:bCs/>
          <w:sz w:val="28"/>
          <w:szCs w:val="28"/>
          <w:lang w:val="en-GB"/>
        </w:rPr>
      </w:pPr>
      <w:r>
        <w:rPr>
          <w:b/>
          <w:bCs/>
          <w:sz w:val="28"/>
          <w:szCs w:val="28"/>
          <w:lang w:val="en-GB"/>
        </w:rPr>
        <w:t>RESPONDENT’S CASE:</w:t>
      </w:r>
    </w:p>
    <w:p w14:paraId="578E629E" w14:textId="77777777" w:rsidR="00800BF5" w:rsidRDefault="00800BF5" w:rsidP="003F670A">
      <w:pPr>
        <w:jc w:val="both"/>
        <w:rPr>
          <w:sz w:val="28"/>
          <w:szCs w:val="28"/>
          <w:lang w:val="en-GB"/>
        </w:rPr>
      </w:pPr>
      <w:r>
        <w:rPr>
          <w:sz w:val="28"/>
          <w:szCs w:val="28"/>
          <w:lang w:val="en-GB"/>
        </w:rPr>
        <w:t xml:space="preserve">For their part the Respondents filed written submission in response to the application and essentially contended that the application was misconceived having been improperly filed before the High Court whereas the High Court lacked jurisdiction to hear the same. </w:t>
      </w:r>
    </w:p>
    <w:p w14:paraId="51089F2F" w14:textId="227A2940" w:rsidR="00800BF5" w:rsidRDefault="00800BF5" w:rsidP="003F670A">
      <w:pPr>
        <w:jc w:val="both"/>
        <w:rPr>
          <w:sz w:val="28"/>
          <w:szCs w:val="28"/>
          <w:lang w:val="en-GB"/>
        </w:rPr>
      </w:pPr>
      <w:r>
        <w:rPr>
          <w:sz w:val="28"/>
          <w:szCs w:val="28"/>
          <w:lang w:val="en-GB"/>
        </w:rPr>
        <w:t>Learned Counsel for the Respondent argued that the process of appeal is a creature of statute and contended that civil appeals to the Court of Appeal from decisions of the High Court are governed by the Civil Procedure Act</w:t>
      </w:r>
      <w:r w:rsidR="00AA622E">
        <w:rPr>
          <w:sz w:val="28"/>
          <w:szCs w:val="28"/>
          <w:lang w:val="en-GB"/>
        </w:rPr>
        <w:t xml:space="preserve"> Cap 71</w:t>
      </w:r>
      <w:r>
        <w:rPr>
          <w:sz w:val="28"/>
          <w:szCs w:val="28"/>
          <w:lang w:val="en-GB"/>
        </w:rPr>
        <w:t xml:space="preserve"> and the Judicature (Court of Appeal</w:t>
      </w:r>
      <w:r w:rsidR="00AA622E">
        <w:rPr>
          <w:sz w:val="28"/>
          <w:szCs w:val="28"/>
          <w:lang w:val="en-GB"/>
        </w:rPr>
        <w:t xml:space="preserve"> Rules) Directions SI 13-10. </w:t>
      </w:r>
    </w:p>
    <w:p w14:paraId="1F4F2BFD" w14:textId="7395FB62" w:rsidR="00AA622E" w:rsidRDefault="00AA622E" w:rsidP="003F670A">
      <w:pPr>
        <w:jc w:val="both"/>
        <w:rPr>
          <w:sz w:val="28"/>
          <w:szCs w:val="28"/>
          <w:lang w:val="en-GB"/>
        </w:rPr>
      </w:pPr>
      <w:r>
        <w:rPr>
          <w:sz w:val="28"/>
          <w:szCs w:val="28"/>
          <w:lang w:val="en-GB"/>
        </w:rPr>
        <w:t xml:space="preserve">To the extent of the argument above, Counsel cited Rules 3, 5, 76 and 78 of the aforementioned rules to establish that this court has no jurisdiction to entertain this matter. Counsel further </w:t>
      </w:r>
      <w:r w:rsidR="00AE5FCE">
        <w:rPr>
          <w:sz w:val="28"/>
          <w:szCs w:val="28"/>
          <w:lang w:val="en-GB"/>
        </w:rPr>
        <w:t xml:space="preserve">made reference to the decisions of Lady Justice Henrietta Wolayo in Namakula v Mabirizi Mohammed and 2 Others – Misc. Application No 81 of 2020 (arising from Civil Suit No 35 of 2013) and Justice Egonda Ntende as he then was In the Matter of Ranch on the Lake Ltd (In Receivership) Misc. Application No. 0537 of 2005 arising from HCT-00-CC-CI-0009-2005. </w:t>
      </w:r>
    </w:p>
    <w:p w14:paraId="5CD36297" w14:textId="55186314" w:rsidR="00AE5FCE" w:rsidRDefault="00AE5FCE" w:rsidP="003F670A">
      <w:pPr>
        <w:jc w:val="both"/>
        <w:rPr>
          <w:sz w:val="28"/>
          <w:szCs w:val="28"/>
          <w:lang w:val="en-GB"/>
        </w:rPr>
      </w:pPr>
      <w:r>
        <w:rPr>
          <w:sz w:val="28"/>
          <w:szCs w:val="28"/>
          <w:lang w:val="en-GB"/>
        </w:rPr>
        <w:t>In both of the matters above the Learned Justices held that applications for leave to extend time to appeal to the Court of Appeal were incompetent.</w:t>
      </w:r>
    </w:p>
    <w:p w14:paraId="1B45D780" w14:textId="61294025" w:rsidR="00AA622E" w:rsidRDefault="00AA622E" w:rsidP="003F670A">
      <w:pPr>
        <w:jc w:val="both"/>
        <w:rPr>
          <w:sz w:val="28"/>
          <w:szCs w:val="28"/>
          <w:lang w:val="en-GB"/>
        </w:rPr>
      </w:pPr>
      <w:r>
        <w:rPr>
          <w:sz w:val="28"/>
          <w:szCs w:val="28"/>
          <w:lang w:val="en-GB"/>
        </w:rPr>
        <w:t xml:space="preserve">Counsel for the Respondents argued in the alternative but without prejudice to their initial arguments that the application </w:t>
      </w:r>
      <w:r w:rsidR="00AE5FCE">
        <w:rPr>
          <w:sz w:val="28"/>
          <w:szCs w:val="28"/>
          <w:lang w:val="en-GB"/>
        </w:rPr>
        <w:t>lacked merit and had no likelihood of success in as much as it related to matters of mixed law and fact on a second appeal which should be restricted to matters of law only.</w:t>
      </w:r>
    </w:p>
    <w:p w14:paraId="612E3DD1" w14:textId="5AEBCB31" w:rsidR="00AE5FCE" w:rsidRDefault="00AE5FCE" w:rsidP="003F670A">
      <w:pPr>
        <w:jc w:val="both"/>
        <w:rPr>
          <w:b/>
          <w:bCs/>
          <w:sz w:val="28"/>
          <w:szCs w:val="28"/>
          <w:lang w:val="en-GB"/>
        </w:rPr>
      </w:pPr>
      <w:r>
        <w:rPr>
          <w:b/>
          <w:bCs/>
          <w:sz w:val="28"/>
          <w:szCs w:val="28"/>
          <w:lang w:val="en-GB"/>
        </w:rPr>
        <w:lastRenderedPageBreak/>
        <w:t>RESOLUTION:</w:t>
      </w:r>
    </w:p>
    <w:p w14:paraId="5F242557" w14:textId="474D8A3A" w:rsidR="00AE5FCE" w:rsidRDefault="00D027DA" w:rsidP="003F670A">
      <w:pPr>
        <w:jc w:val="both"/>
        <w:rPr>
          <w:sz w:val="28"/>
          <w:szCs w:val="28"/>
          <w:lang w:val="en-GB"/>
        </w:rPr>
      </w:pPr>
      <w:r>
        <w:rPr>
          <w:sz w:val="28"/>
          <w:szCs w:val="28"/>
          <w:lang w:val="en-GB"/>
        </w:rPr>
        <w:t>Section 72(1) of the Civil Procedure Act provides that,</w:t>
      </w:r>
    </w:p>
    <w:p w14:paraId="413C54B4" w14:textId="1C5A9083" w:rsidR="00D027DA" w:rsidRDefault="00D027DA" w:rsidP="003F670A">
      <w:pPr>
        <w:jc w:val="both"/>
        <w:rPr>
          <w:sz w:val="28"/>
          <w:szCs w:val="28"/>
          <w:lang w:val="en-GB"/>
        </w:rPr>
      </w:pPr>
      <w:r>
        <w:rPr>
          <w:sz w:val="28"/>
          <w:szCs w:val="28"/>
          <w:lang w:val="en-GB"/>
        </w:rPr>
        <w:t>“</w:t>
      </w:r>
      <w:r w:rsidRPr="005D3999">
        <w:rPr>
          <w:i/>
          <w:iCs/>
          <w:sz w:val="28"/>
          <w:szCs w:val="28"/>
          <w:lang w:val="en-GB"/>
        </w:rPr>
        <w:t xml:space="preserve">Except where otherwise expressly provided in this Act or by any other law for the time being in force, </w:t>
      </w:r>
      <w:r w:rsidRPr="005D3999">
        <w:rPr>
          <w:b/>
          <w:bCs/>
          <w:i/>
          <w:iCs/>
          <w:sz w:val="28"/>
          <w:szCs w:val="28"/>
          <w:lang w:val="en-GB"/>
        </w:rPr>
        <w:t>an appeal shall lie to the Court of Appeal from every decree passed in appeal by the High Cour</w:t>
      </w:r>
      <w:r w:rsidR="006738A3" w:rsidRPr="005D3999">
        <w:rPr>
          <w:b/>
          <w:bCs/>
          <w:i/>
          <w:iCs/>
          <w:sz w:val="28"/>
          <w:szCs w:val="28"/>
          <w:lang w:val="en-GB"/>
        </w:rPr>
        <w:t>t …</w:t>
      </w:r>
      <w:r w:rsidR="006738A3">
        <w:rPr>
          <w:sz w:val="28"/>
          <w:szCs w:val="28"/>
          <w:lang w:val="en-GB"/>
        </w:rPr>
        <w:t>”.</w:t>
      </w:r>
    </w:p>
    <w:p w14:paraId="382D0D97" w14:textId="2775DBB9" w:rsidR="006738A3" w:rsidRDefault="006738A3" w:rsidP="003F670A">
      <w:pPr>
        <w:jc w:val="both"/>
        <w:rPr>
          <w:sz w:val="28"/>
          <w:szCs w:val="28"/>
          <w:lang w:val="en-GB"/>
        </w:rPr>
      </w:pPr>
      <w:r>
        <w:rPr>
          <w:sz w:val="28"/>
          <w:szCs w:val="28"/>
          <w:lang w:val="en-GB"/>
        </w:rPr>
        <w:t>The provision above goes on to lay out the grounds for the said appeals which are not relevant for purposes of this ruling. However, what is clear is that in matters such as this one which involves a second appeal to the Court of Appeal against the Appellate decision of this court</w:t>
      </w:r>
      <w:r w:rsidR="008F20E4">
        <w:rPr>
          <w:sz w:val="28"/>
          <w:szCs w:val="28"/>
          <w:lang w:val="en-GB"/>
        </w:rPr>
        <w:t>,</w:t>
      </w:r>
      <w:r>
        <w:rPr>
          <w:sz w:val="28"/>
          <w:szCs w:val="28"/>
          <w:lang w:val="en-GB"/>
        </w:rPr>
        <w:t xml:space="preserve"> jurisdiction to hear the appeal is vested in the Court of Appeal.</w:t>
      </w:r>
    </w:p>
    <w:p w14:paraId="285AEC29" w14:textId="1CAEB552" w:rsidR="006738A3" w:rsidRDefault="006738A3" w:rsidP="003F670A">
      <w:pPr>
        <w:jc w:val="both"/>
        <w:rPr>
          <w:sz w:val="28"/>
          <w:szCs w:val="28"/>
          <w:lang w:val="en-GB"/>
        </w:rPr>
      </w:pPr>
      <w:r>
        <w:rPr>
          <w:sz w:val="28"/>
          <w:szCs w:val="28"/>
          <w:lang w:val="en-GB"/>
        </w:rPr>
        <w:t xml:space="preserve">The procedure before the Court of Appeal is provided for in the Judicature </w:t>
      </w:r>
      <w:r w:rsidR="008F20E4">
        <w:rPr>
          <w:sz w:val="28"/>
          <w:szCs w:val="28"/>
          <w:lang w:val="en-GB"/>
        </w:rPr>
        <w:t>(</w:t>
      </w:r>
      <w:r>
        <w:rPr>
          <w:sz w:val="28"/>
          <w:szCs w:val="28"/>
          <w:lang w:val="en-GB"/>
        </w:rPr>
        <w:t>Court of Appeal Rules) Directions and the question of extension of time to lodge appeals before the Court of Appeal is provided under Rule 5 as follows.</w:t>
      </w:r>
    </w:p>
    <w:p w14:paraId="52A085CB" w14:textId="06106EDB" w:rsidR="006738A3" w:rsidRDefault="006738A3" w:rsidP="003F670A">
      <w:pPr>
        <w:jc w:val="both"/>
        <w:rPr>
          <w:sz w:val="28"/>
          <w:szCs w:val="28"/>
          <w:lang w:val="en-US"/>
        </w:rPr>
      </w:pPr>
      <w:r>
        <w:rPr>
          <w:sz w:val="28"/>
          <w:szCs w:val="28"/>
          <w:lang w:val="en-GB"/>
        </w:rPr>
        <w:t>“</w:t>
      </w:r>
      <w:r w:rsidR="005D3999" w:rsidRPr="005D3999">
        <w:rPr>
          <w:i/>
          <w:iCs/>
          <w:sz w:val="28"/>
          <w:szCs w:val="28"/>
        </w:rPr>
        <w:t>The court may, for sufficient reason, extend the time limited by these Rules or by any decision of the court or of the High Court for the doing of any act authorised or required by these Rules, whether before or after the expiration of that time and whether before or after the doing of the act; and any reference in these Rules to any such time shall be construed as a reference to the time as extended.</w:t>
      </w:r>
      <w:r w:rsidR="005D3999">
        <w:rPr>
          <w:sz w:val="28"/>
          <w:szCs w:val="28"/>
          <w:lang w:val="en-US"/>
        </w:rPr>
        <w:t>”</w:t>
      </w:r>
    </w:p>
    <w:p w14:paraId="7DBE08D4" w14:textId="0236592A" w:rsidR="005D3999" w:rsidRDefault="005D3999" w:rsidP="003F670A">
      <w:pPr>
        <w:jc w:val="both"/>
        <w:rPr>
          <w:sz w:val="28"/>
          <w:szCs w:val="28"/>
          <w:lang w:val="en-US"/>
        </w:rPr>
      </w:pPr>
      <w:r>
        <w:rPr>
          <w:sz w:val="28"/>
          <w:szCs w:val="28"/>
          <w:lang w:val="en-US"/>
        </w:rPr>
        <w:t>Rule 3(g) thereunder provides that,</w:t>
      </w:r>
    </w:p>
    <w:p w14:paraId="6F14D8CC" w14:textId="445CEAEE" w:rsidR="005D3999" w:rsidRDefault="005D3999" w:rsidP="003F670A">
      <w:pPr>
        <w:jc w:val="both"/>
        <w:rPr>
          <w:sz w:val="28"/>
          <w:szCs w:val="28"/>
          <w:lang w:val="en-US"/>
        </w:rPr>
      </w:pPr>
      <w:r>
        <w:rPr>
          <w:sz w:val="28"/>
          <w:szCs w:val="28"/>
          <w:lang w:val="en-US"/>
        </w:rPr>
        <w:t xml:space="preserve">“… </w:t>
      </w:r>
      <w:r w:rsidRPr="005D3999">
        <w:rPr>
          <w:i/>
          <w:iCs/>
          <w:sz w:val="28"/>
          <w:szCs w:val="28"/>
          <w:lang w:val="en-US"/>
        </w:rPr>
        <w:t>‘</w:t>
      </w:r>
      <w:r w:rsidRPr="005D3999">
        <w:rPr>
          <w:i/>
          <w:iCs/>
          <w:sz w:val="28"/>
          <w:szCs w:val="28"/>
        </w:rPr>
        <w:t>court</w:t>
      </w:r>
      <w:r w:rsidRPr="005D3999">
        <w:rPr>
          <w:i/>
          <w:iCs/>
          <w:sz w:val="28"/>
          <w:szCs w:val="28"/>
          <w:lang w:val="en-US"/>
        </w:rPr>
        <w:t>’</w:t>
      </w:r>
      <w:r w:rsidRPr="005D3999">
        <w:rPr>
          <w:i/>
          <w:iCs/>
          <w:sz w:val="28"/>
          <w:szCs w:val="28"/>
        </w:rPr>
        <w:t xml:space="preserve"> means the Court of Appeal of Uganda established under article 129 of the Constitution, and includes any division of the court and a single judge exercising any power vested in him or her sitting alone;</w:t>
      </w:r>
      <w:r>
        <w:rPr>
          <w:sz w:val="28"/>
          <w:szCs w:val="28"/>
          <w:lang w:val="en-US"/>
        </w:rPr>
        <w:t>”</w:t>
      </w:r>
    </w:p>
    <w:p w14:paraId="56E76464" w14:textId="0E968A5E" w:rsidR="005D3999" w:rsidRDefault="005D3999" w:rsidP="003F670A">
      <w:pPr>
        <w:jc w:val="both"/>
        <w:rPr>
          <w:sz w:val="28"/>
          <w:szCs w:val="28"/>
          <w:lang w:val="en-US"/>
        </w:rPr>
      </w:pPr>
      <w:r>
        <w:rPr>
          <w:sz w:val="28"/>
          <w:szCs w:val="28"/>
          <w:lang w:val="en-US"/>
        </w:rPr>
        <w:t xml:space="preserve">In the exercise of its powers under Section 72(1) of the Civil Procedure Act </w:t>
      </w:r>
      <w:r w:rsidR="00C30AC9">
        <w:rPr>
          <w:sz w:val="28"/>
          <w:szCs w:val="28"/>
          <w:lang w:val="en-US"/>
        </w:rPr>
        <w:t>the Court of Appeal places reliance upon the above-mentioned rules. For this court to entertain the application for extension of time in such a matter would not only be a violation of the Judicature (Court of Appeal Rules) Directions but it would also be a violation of Section 72(1) of the Civil Procedure Act as the rules serve to operationalize the aforementioned section of the law.</w:t>
      </w:r>
    </w:p>
    <w:p w14:paraId="065C8CE1" w14:textId="067EC48C" w:rsidR="005D3999" w:rsidRDefault="005D3999" w:rsidP="003F670A">
      <w:pPr>
        <w:jc w:val="both"/>
        <w:rPr>
          <w:sz w:val="28"/>
          <w:szCs w:val="28"/>
          <w:lang w:val="en-US"/>
        </w:rPr>
      </w:pPr>
      <w:r>
        <w:rPr>
          <w:sz w:val="28"/>
          <w:szCs w:val="28"/>
          <w:lang w:val="en-US"/>
        </w:rPr>
        <w:t xml:space="preserve">To the extent of the above I do agree with Learned Counsel for the Respondent that this court has no jurisdiction to handle this application. To do otherwise would be tantamount to irregularly vesting this court with the power to determine the business of the Court of Appeal in matters of extension of time </w:t>
      </w:r>
      <w:r>
        <w:rPr>
          <w:sz w:val="28"/>
          <w:szCs w:val="28"/>
          <w:lang w:val="en-US"/>
        </w:rPr>
        <w:lastRenderedPageBreak/>
        <w:t xml:space="preserve">contrary to </w:t>
      </w:r>
      <w:r w:rsidR="00C30AC9">
        <w:rPr>
          <w:sz w:val="28"/>
          <w:szCs w:val="28"/>
          <w:lang w:val="en-US"/>
        </w:rPr>
        <w:t>both the Civil Procedure Act and the Judicature (Court of Appeal Rules) Directions</w:t>
      </w:r>
      <w:r>
        <w:rPr>
          <w:sz w:val="28"/>
          <w:szCs w:val="28"/>
          <w:lang w:val="en-US"/>
        </w:rPr>
        <w:t>.</w:t>
      </w:r>
    </w:p>
    <w:p w14:paraId="319A4D42" w14:textId="7FC92E26" w:rsidR="00C30AC9" w:rsidRDefault="00C30AC9" w:rsidP="003F670A">
      <w:pPr>
        <w:jc w:val="both"/>
        <w:rPr>
          <w:sz w:val="28"/>
          <w:szCs w:val="28"/>
          <w:lang w:val="en-US"/>
        </w:rPr>
      </w:pPr>
      <w:r>
        <w:rPr>
          <w:sz w:val="28"/>
          <w:szCs w:val="28"/>
          <w:lang w:val="en-US"/>
        </w:rPr>
        <w:t xml:space="preserve">It is also noteworthy that </w:t>
      </w:r>
      <w:r w:rsidR="00021CF0">
        <w:rPr>
          <w:sz w:val="28"/>
          <w:szCs w:val="28"/>
          <w:lang w:val="en-US"/>
        </w:rPr>
        <w:t xml:space="preserve">affidavit in support of the application is incurably defective as the </w:t>
      </w:r>
      <w:r>
        <w:rPr>
          <w:sz w:val="28"/>
          <w:szCs w:val="28"/>
          <w:lang w:val="en-US"/>
        </w:rPr>
        <w:t xml:space="preserve">intended Memorandum of Appeal </w:t>
      </w:r>
      <w:r w:rsidR="00021CF0">
        <w:rPr>
          <w:sz w:val="28"/>
          <w:szCs w:val="28"/>
          <w:lang w:val="en-US"/>
        </w:rPr>
        <w:t>attached as Annex “B”</w:t>
      </w:r>
      <w:r w:rsidR="00411A40">
        <w:rPr>
          <w:sz w:val="28"/>
          <w:szCs w:val="28"/>
          <w:lang w:val="en-US"/>
        </w:rPr>
        <w:t xml:space="preserve"> </w:t>
      </w:r>
      <w:r>
        <w:rPr>
          <w:sz w:val="28"/>
          <w:szCs w:val="28"/>
          <w:lang w:val="en-US"/>
        </w:rPr>
        <w:t xml:space="preserve"> refers to a judgment of His Lordship Justice Dr. Flavian Zeija (as he then was) of the Land Division dated 4</w:t>
      </w:r>
      <w:r w:rsidRPr="00C30AC9">
        <w:rPr>
          <w:sz w:val="28"/>
          <w:szCs w:val="28"/>
          <w:vertAlign w:val="superscript"/>
          <w:lang w:val="en-US"/>
        </w:rPr>
        <w:t>th</w:t>
      </w:r>
      <w:r>
        <w:rPr>
          <w:sz w:val="28"/>
          <w:szCs w:val="28"/>
          <w:lang w:val="en-US"/>
        </w:rPr>
        <w:t xml:space="preserve"> June 2020 whereas the matter in issue relates to a judgment of Her Ladyship Elizabeth Jane Alividza dated </w:t>
      </w:r>
      <w:r w:rsidR="00021CF0">
        <w:rPr>
          <w:sz w:val="28"/>
          <w:szCs w:val="28"/>
          <w:lang w:val="en-US"/>
        </w:rPr>
        <w:t>17</w:t>
      </w:r>
      <w:r w:rsidR="00021CF0" w:rsidRPr="00021CF0">
        <w:rPr>
          <w:sz w:val="28"/>
          <w:szCs w:val="28"/>
          <w:vertAlign w:val="superscript"/>
          <w:lang w:val="en-US"/>
        </w:rPr>
        <w:t>th</w:t>
      </w:r>
      <w:r w:rsidR="00021CF0">
        <w:rPr>
          <w:sz w:val="28"/>
          <w:szCs w:val="28"/>
          <w:lang w:val="en-US"/>
        </w:rPr>
        <w:t xml:space="preserve"> May 2022 which is attached to the same affidavit as Annex “A”.</w:t>
      </w:r>
    </w:p>
    <w:p w14:paraId="761AB5C1" w14:textId="6E24D7C0" w:rsidR="00021CF0" w:rsidRDefault="00021CF0" w:rsidP="003F670A">
      <w:pPr>
        <w:jc w:val="both"/>
        <w:rPr>
          <w:sz w:val="28"/>
          <w:szCs w:val="28"/>
          <w:lang w:val="en-US"/>
        </w:rPr>
      </w:pPr>
      <w:r>
        <w:rPr>
          <w:sz w:val="28"/>
          <w:szCs w:val="28"/>
          <w:lang w:val="en-US"/>
        </w:rPr>
        <w:t>I need not traverse the arguments of the Respondent in the alternative as I find the initial arguments concerning lack of jurisdiction valid and I accordingly rule that this application fails.</w:t>
      </w:r>
    </w:p>
    <w:p w14:paraId="39BD4BA5" w14:textId="2DD124F6" w:rsidR="00021CF0" w:rsidRDefault="00021CF0" w:rsidP="003F670A">
      <w:pPr>
        <w:jc w:val="both"/>
        <w:rPr>
          <w:b/>
          <w:bCs/>
          <w:sz w:val="28"/>
          <w:szCs w:val="28"/>
          <w:lang w:val="en-US"/>
        </w:rPr>
      </w:pPr>
      <w:r>
        <w:rPr>
          <w:b/>
          <w:bCs/>
          <w:sz w:val="28"/>
          <w:szCs w:val="28"/>
          <w:lang w:val="en-US"/>
        </w:rPr>
        <w:t>ORDERS:</w:t>
      </w:r>
    </w:p>
    <w:p w14:paraId="17D5BBEC" w14:textId="35B87284" w:rsidR="00021CF0" w:rsidRPr="00021CF0" w:rsidRDefault="00021CF0" w:rsidP="003F670A">
      <w:pPr>
        <w:jc w:val="both"/>
        <w:rPr>
          <w:sz w:val="28"/>
          <w:szCs w:val="28"/>
          <w:lang w:val="en-US"/>
        </w:rPr>
      </w:pPr>
      <w:r>
        <w:rPr>
          <w:sz w:val="28"/>
          <w:szCs w:val="28"/>
          <w:lang w:val="en-US"/>
        </w:rPr>
        <w:t>Costs in this matter are awarded to the Respondent.</w:t>
      </w:r>
    </w:p>
    <w:p w14:paraId="495045B4" w14:textId="77777777" w:rsidR="00650FF7" w:rsidRDefault="00650FF7" w:rsidP="00650FF7">
      <w:pPr>
        <w:jc w:val="center"/>
        <w:rPr>
          <w:sz w:val="28"/>
          <w:szCs w:val="28"/>
          <w:lang w:val="en-GB"/>
        </w:rPr>
      </w:pPr>
    </w:p>
    <w:p w14:paraId="71B236AE" w14:textId="77777777" w:rsidR="00B13123" w:rsidRDefault="00B13123" w:rsidP="00F22C0C">
      <w:pPr>
        <w:rPr>
          <w:sz w:val="28"/>
          <w:szCs w:val="28"/>
          <w:lang w:val="en-GB"/>
        </w:rPr>
      </w:pPr>
    </w:p>
    <w:p w14:paraId="31FE6447" w14:textId="4FDC12D9" w:rsidR="00650FF7" w:rsidRDefault="00650FF7" w:rsidP="008F20E4">
      <w:pPr>
        <w:spacing w:line="240" w:lineRule="auto"/>
        <w:jc w:val="center"/>
        <w:rPr>
          <w:b/>
          <w:bCs/>
          <w:sz w:val="28"/>
          <w:szCs w:val="28"/>
          <w:lang w:val="en-GB"/>
        </w:rPr>
      </w:pPr>
      <w:r>
        <w:rPr>
          <w:b/>
          <w:bCs/>
          <w:sz w:val="28"/>
          <w:szCs w:val="28"/>
          <w:lang w:val="en-GB"/>
        </w:rPr>
        <w:t>David S.L. Makumbi</w:t>
      </w:r>
    </w:p>
    <w:p w14:paraId="179F8D19" w14:textId="6CBCC01D" w:rsidR="005F5B1B" w:rsidRDefault="005F5B1B" w:rsidP="008F20E4">
      <w:pPr>
        <w:spacing w:line="240" w:lineRule="auto"/>
        <w:jc w:val="center"/>
        <w:rPr>
          <w:b/>
          <w:bCs/>
          <w:sz w:val="28"/>
          <w:szCs w:val="28"/>
          <w:lang w:val="en-GB"/>
        </w:rPr>
      </w:pPr>
      <w:r>
        <w:rPr>
          <w:b/>
          <w:bCs/>
          <w:sz w:val="28"/>
          <w:szCs w:val="28"/>
          <w:lang w:val="en-GB"/>
        </w:rPr>
        <w:t>JUDGE</w:t>
      </w:r>
    </w:p>
    <w:p w14:paraId="1C8FAF39" w14:textId="088D186C" w:rsidR="00216CB4" w:rsidRPr="00650FF7" w:rsidRDefault="00021CF0" w:rsidP="008F20E4">
      <w:pPr>
        <w:spacing w:line="240" w:lineRule="auto"/>
        <w:jc w:val="center"/>
        <w:rPr>
          <w:b/>
          <w:bCs/>
          <w:sz w:val="28"/>
          <w:szCs w:val="28"/>
          <w:lang w:val="en-GB"/>
        </w:rPr>
      </w:pPr>
      <w:r>
        <w:rPr>
          <w:b/>
          <w:bCs/>
          <w:sz w:val="28"/>
          <w:szCs w:val="28"/>
          <w:lang w:val="en-GB"/>
        </w:rPr>
        <w:t>7</w:t>
      </w:r>
      <w:r w:rsidRPr="00021CF0">
        <w:rPr>
          <w:b/>
          <w:bCs/>
          <w:sz w:val="28"/>
          <w:szCs w:val="28"/>
          <w:vertAlign w:val="superscript"/>
          <w:lang w:val="en-GB"/>
        </w:rPr>
        <w:t>th</w:t>
      </w:r>
      <w:r>
        <w:rPr>
          <w:b/>
          <w:bCs/>
          <w:sz w:val="28"/>
          <w:szCs w:val="28"/>
          <w:lang w:val="en-GB"/>
        </w:rPr>
        <w:t xml:space="preserve"> March 2024</w:t>
      </w:r>
    </w:p>
    <w:p w14:paraId="6413022F" w14:textId="77777777" w:rsidR="00152544" w:rsidRPr="000011CE" w:rsidRDefault="00152544" w:rsidP="00152544">
      <w:pPr>
        <w:jc w:val="center"/>
        <w:rPr>
          <w:sz w:val="28"/>
          <w:szCs w:val="28"/>
          <w:lang w:val="en-GB"/>
        </w:rPr>
      </w:pPr>
    </w:p>
    <w:p w14:paraId="3156AF92" w14:textId="77777777" w:rsidR="00C067BF" w:rsidRPr="0065237A" w:rsidRDefault="00C067BF" w:rsidP="00317ABE">
      <w:pPr>
        <w:jc w:val="both"/>
        <w:rPr>
          <w:sz w:val="28"/>
          <w:szCs w:val="28"/>
          <w:lang w:val="en-US"/>
        </w:rPr>
      </w:pPr>
    </w:p>
    <w:sectPr w:rsidR="00C067BF" w:rsidRPr="0065237A" w:rsidSect="000603DB">
      <w:footerReference w:type="default" r:id="rId7"/>
      <w:pgSz w:w="11906" w:h="16838"/>
      <w:pgMar w:top="1440"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EE3" w14:textId="77777777" w:rsidR="000603DB" w:rsidRDefault="000603DB" w:rsidP="0035042F">
      <w:pPr>
        <w:spacing w:after="0" w:line="240" w:lineRule="auto"/>
      </w:pPr>
      <w:r>
        <w:separator/>
      </w:r>
    </w:p>
  </w:endnote>
  <w:endnote w:type="continuationSeparator" w:id="0">
    <w:p w14:paraId="14C3FC46" w14:textId="77777777" w:rsidR="000603DB" w:rsidRDefault="000603DB" w:rsidP="0035042F">
      <w:pPr>
        <w:spacing w:after="0" w:line="240" w:lineRule="auto"/>
      </w:pPr>
      <w:r>
        <w:continuationSeparator/>
      </w:r>
    </w:p>
  </w:endnote>
  <w:endnote w:type="continuationNotice" w:id="1">
    <w:p w14:paraId="6A2F7958" w14:textId="77777777" w:rsidR="000603DB" w:rsidRDefault="00060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465309"/>
      <w:docPartObj>
        <w:docPartGallery w:val="Page Numbers (Bottom of Page)"/>
        <w:docPartUnique/>
      </w:docPartObj>
    </w:sdtPr>
    <w:sdtContent>
      <w:sdt>
        <w:sdtPr>
          <w:id w:val="1728636285"/>
          <w:docPartObj>
            <w:docPartGallery w:val="Page Numbers (Top of Page)"/>
            <w:docPartUnique/>
          </w:docPartObj>
        </w:sdtPr>
        <w:sdtContent>
          <w:p w14:paraId="1A412DA6" w14:textId="4F3F4A53" w:rsidR="0035042F" w:rsidRDefault="003504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EDD8EB" w14:textId="77777777" w:rsidR="0035042F" w:rsidRDefault="00350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962E" w14:textId="77777777" w:rsidR="000603DB" w:rsidRDefault="000603DB" w:rsidP="0035042F">
      <w:pPr>
        <w:spacing w:after="0" w:line="240" w:lineRule="auto"/>
      </w:pPr>
      <w:r>
        <w:separator/>
      </w:r>
    </w:p>
  </w:footnote>
  <w:footnote w:type="continuationSeparator" w:id="0">
    <w:p w14:paraId="07EDC615" w14:textId="77777777" w:rsidR="000603DB" w:rsidRDefault="000603DB" w:rsidP="0035042F">
      <w:pPr>
        <w:spacing w:after="0" w:line="240" w:lineRule="auto"/>
      </w:pPr>
      <w:r>
        <w:continuationSeparator/>
      </w:r>
    </w:p>
  </w:footnote>
  <w:footnote w:type="continuationNotice" w:id="1">
    <w:p w14:paraId="4BFDA4EA" w14:textId="77777777" w:rsidR="000603DB" w:rsidRDefault="000603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68A8"/>
    <w:multiLevelType w:val="hybridMultilevel"/>
    <w:tmpl w:val="CE8672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DCD7501"/>
    <w:multiLevelType w:val="hybridMultilevel"/>
    <w:tmpl w:val="916447D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13A6FC8"/>
    <w:multiLevelType w:val="hybridMultilevel"/>
    <w:tmpl w:val="2182CA4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BD07825"/>
    <w:multiLevelType w:val="hybridMultilevel"/>
    <w:tmpl w:val="222693A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520257E"/>
    <w:multiLevelType w:val="hybridMultilevel"/>
    <w:tmpl w:val="7DC0B3B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10F17AC"/>
    <w:multiLevelType w:val="hybridMultilevel"/>
    <w:tmpl w:val="8D4C3C2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52D1869"/>
    <w:multiLevelType w:val="hybridMultilevel"/>
    <w:tmpl w:val="95E02AE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5D078DD"/>
    <w:multiLevelType w:val="hybridMultilevel"/>
    <w:tmpl w:val="4BF8DB7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8513211">
    <w:abstractNumId w:val="2"/>
  </w:num>
  <w:num w:numId="2" w16cid:durableId="108277157">
    <w:abstractNumId w:val="1"/>
  </w:num>
  <w:num w:numId="3" w16cid:durableId="62413997">
    <w:abstractNumId w:val="3"/>
  </w:num>
  <w:num w:numId="4" w16cid:durableId="599530710">
    <w:abstractNumId w:val="0"/>
  </w:num>
  <w:num w:numId="5" w16cid:durableId="329716017">
    <w:abstractNumId w:val="6"/>
  </w:num>
  <w:num w:numId="6" w16cid:durableId="308294059">
    <w:abstractNumId w:val="7"/>
  </w:num>
  <w:num w:numId="7" w16cid:durableId="158931347">
    <w:abstractNumId w:val="5"/>
  </w:num>
  <w:num w:numId="8" w16cid:durableId="147478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C398E"/>
    <w:rsid w:val="000011CE"/>
    <w:rsid w:val="00002D03"/>
    <w:rsid w:val="000043C1"/>
    <w:rsid w:val="00005867"/>
    <w:rsid w:val="00006250"/>
    <w:rsid w:val="00006A6D"/>
    <w:rsid w:val="00017A22"/>
    <w:rsid w:val="00021CF0"/>
    <w:rsid w:val="00022FB3"/>
    <w:rsid w:val="00030E8A"/>
    <w:rsid w:val="00031877"/>
    <w:rsid w:val="00031C0E"/>
    <w:rsid w:val="00045911"/>
    <w:rsid w:val="00047310"/>
    <w:rsid w:val="00051CFE"/>
    <w:rsid w:val="00057C14"/>
    <w:rsid w:val="000603DB"/>
    <w:rsid w:val="00061A65"/>
    <w:rsid w:val="0007087B"/>
    <w:rsid w:val="000766D7"/>
    <w:rsid w:val="000826DF"/>
    <w:rsid w:val="00082B62"/>
    <w:rsid w:val="00085735"/>
    <w:rsid w:val="0009642A"/>
    <w:rsid w:val="000A62C8"/>
    <w:rsid w:val="000A6F80"/>
    <w:rsid w:val="000B00CC"/>
    <w:rsid w:val="000B2035"/>
    <w:rsid w:val="000B3909"/>
    <w:rsid w:val="000B560D"/>
    <w:rsid w:val="000C6E14"/>
    <w:rsid w:val="000D53BA"/>
    <w:rsid w:val="000D66A8"/>
    <w:rsid w:val="000E7804"/>
    <w:rsid w:val="000F28C1"/>
    <w:rsid w:val="000F3C2C"/>
    <w:rsid w:val="000F736D"/>
    <w:rsid w:val="000F7DA0"/>
    <w:rsid w:val="00113C91"/>
    <w:rsid w:val="00114C94"/>
    <w:rsid w:val="00115DE6"/>
    <w:rsid w:val="0011708E"/>
    <w:rsid w:val="0012247B"/>
    <w:rsid w:val="001225D6"/>
    <w:rsid w:val="00122CA7"/>
    <w:rsid w:val="00124BFD"/>
    <w:rsid w:val="00140922"/>
    <w:rsid w:val="00141F31"/>
    <w:rsid w:val="00142DD3"/>
    <w:rsid w:val="00145FB4"/>
    <w:rsid w:val="00152544"/>
    <w:rsid w:val="001532B0"/>
    <w:rsid w:val="001536DC"/>
    <w:rsid w:val="00154590"/>
    <w:rsid w:val="00156271"/>
    <w:rsid w:val="0015646B"/>
    <w:rsid w:val="00171A94"/>
    <w:rsid w:val="00174424"/>
    <w:rsid w:val="00183075"/>
    <w:rsid w:val="00184FDB"/>
    <w:rsid w:val="0018506B"/>
    <w:rsid w:val="00191A59"/>
    <w:rsid w:val="00191D18"/>
    <w:rsid w:val="001A415A"/>
    <w:rsid w:val="001B4FFF"/>
    <w:rsid w:val="001C29C9"/>
    <w:rsid w:val="001C5337"/>
    <w:rsid w:val="001C5F66"/>
    <w:rsid w:val="001D2435"/>
    <w:rsid w:val="001D5E32"/>
    <w:rsid w:val="001F2B93"/>
    <w:rsid w:val="0020056B"/>
    <w:rsid w:val="0020328F"/>
    <w:rsid w:val="00207BAF"/>
    <w:rsid w:val="00211593"/>
    <w:rsid w:val="00215F82"/>
    <w:rsid w:val="00216CB4"/>
    <w:rsid w:val="00217773"/>
    <w:rsid w:val="00227F87"/>
    <w:rsid w:val="00231997"/>
    <w:rsid w:val="00233A67"/>
    <w:rsid w:val="0023444B"/>
    <w:rsid w:val="0023497F"/>
    <w:rsid w:val="002352CA"/>
    <w:rsid w:val="00237448"/>
    <w:rsid w:val="002404C3"/>
    <w:rsid w:val="00241500"/>
    <w:rsid w:val="0024184E"/>
    <w:rsid w:val="002437F8"/>
    <w:rsid w:val="00245A42"/>
    <w:rsid w:val="00252A99"/>
    <w:rsid w:val="002620F6"/>
    <w:rsid w:val="00267B08"/>
    <w:rsid w:val="0027526F"/>
    <w:rsid w:val="00290E53"/>
    <w:rsid w:val="002A063E"/>
    <w:rsid w:val="002A2FC9"/>
    <w:rsid w:val="002A7E64"/>
    <w:rsid w:val="002B7EF4"/>
    <w:rsid w:val="002C1CC1"/>
    <w:rsid w:val="002C398E"/>
    <w:rsid w:val="002C6F44"/>
    <w:rsid w:val="002D4B57"/>
    <w:rsid w:val="002E6807"/>
    <w:rsid w:val="002E760B"/>
    <w:rsid w:val="002E79EA"/>
    <w:rsid w:val="00302461"/>
    <w:rsid w:val="003102CB"/>
    <w:rsid w:val="00310C61"/>
    <w:rsid w:val="00311075"/>
    <w:rsid w:val="00315F4C"/>
    <w:rsid w:val="00317ABE"/>
    <w:rsid w:val="003261A0"/>
    <w:rsid w:val="003337DB"/>
    <w:rsid w:val="003373E3"/>
    <w:rsid w:val="00340A30"/>
    <w:rsid w:val="00340DCE"/>
    <w:rsid w:val="003429F6"/>
    <w:rsid w:val="00343C70"/>
    <w:rsid w:val="00344E0F"/>
    <w:rsid w:val="0035042F"/>
    <w:rsid w:val="0035510A"/>
    <w:rsid w:val="0036515E"/>
    <w:rsid w:val="003672A0"/>
    <w:rsid w:val="00372A03"/>
    <w:rsid w:val="00374CF9"/>
    <w:rsid w:val="003755ED"/>
    <w:rsid w:val="00377D7B"/>
    <w:rsid w:val="00385F04"/>
    <w:rsid w:val="00391997"/>
    <w:rsid w:val="00392276"/>
    <w:rsid w:val="00393EA7"/>
    <w:rsid w:val="003B0C13"/>
    <w:rsid w:val="003B2B2C"/>
    <w:rsid w:val="003B5FF6"/>
    <w:rsid w:val="003C0829"/>
    <w:rsid w:val="003C138F"/>
    <w:rsid w:val="003C4506"/>
    <w:rsid w:val="003C5396"/>
    <w:rsid w:val="003D67CB"/>
    <w:rsid w:val="003E1894"/>
    <w:rsid w:val="003F3A1D"/>
    <w:rsid w:val="003F670A"/>
    <w:rsid w:val="00405BEC"/>
    <w:rsid w:val="00411A40"/>
    <w:rsid w:val="00415378"/>
    <w:rsid w:val="00427328"/>
    <w:rsid w:val="004332ED"/>
    <w:rsid w:val="00451608"/>
    <w:rsid w:val="00457EEA"/>
    <w:rsid w:val="00461613"/>
    <w:rsid w:val="00470E2D"/>
    <w:rsid w:val="00471496"/>
    <w:rsid w:val="00477344"/>
    <w:rsid w:val="00477933"/>
    <w:rsid w:val="00483DDF"/>
    <w:rsid w:val="00493AAF"/>
    <w:rsid w:val="004A090B"/>
    <w:rsid w:val="004A35EB"/>
    <w:rsid w:val="004A5A38"/>
    <w:rsid w:val="004B0DDE"/>
    <w:rsid w:val="004B12C9"/>
    <w:rsid w:val="004C4903"/>
    <w:rsid w:val="004C66DC"/>
    <w:rsid w:val="004D4B0A"/>
    <w:rsid w:val="004D546A"/>
    <w:rsid w:val="004E0DF6"/>
    <w:rsid w:val="004F21A8"/>
    <w:rsid w:val="004F4948"/>
    <w:rsid w:val="004F5769"/>
    <w:rsid w:val="005140D7"/>
    <w:rsid w:val="00522424"/>
    <w:rsid w:val="00526F5C"/>
    <w:rsid w:val="005279A2"/>
    <w:rsid w:val="005328F1"/>
    <w:rsid w:val="00532C94"/>
    <w:rsid w:val="00535430"/>
    <w:rsid w:val="005463FF"/>
    <w:rsid w:val="00547615"/>
    <w:rsid w:val="00551E21"/>
    <w:rsid w:val="00552440"/>
    <w:rsid w:val="00552D25"/>
    <w:rsid w:val="00554AE8"/>
    <w:rsid w:val="00562D1C"/>
    <w:rsid w:val="00566018"/>
    <w:rsid w:val="00570E19"/>
    <w:rsid w:val="005712DF"/>
    <w:rsid w:val="0058153D"/>
    <w:rsid w:val="005835DE"/>
    <w:rsid w:val="00583E0D"/>
    <w:rsid w:val="00592067"/>
    <w:rsid w:val="0059489F"/>
    <w:rsid w:val="005A1DEF"/>
    <w:rsid w:val="005A4D56"/>
    <w:rsid w:val="005A5452"/>
    <w:rsid w:val="005A6948"/>
    <w:rsid w:val="005A731F"/>
    <w:rsid w:val="005A7943"/>
    <w:rsid w:val="005B37C0"/>
    <w:rsid w:val="005B6707"/>
    <w:rsid w:val="005C4099"/>
    <w:rsid w:val="005D0535"/>
    <w:rsid w:val="005D16E8"/>
    <w:rsid w:val="005D3999"/>
    <w:rsid w:val="005D3FA4"/>
    <w:rsid w:val="005D482F"/>
    <w:rsid w:val="005E24D2"/>
    <w:rsid w:val="005F308A"/>
    <w:rsid w:val="005F5B1B"/>
    <w:rsid w:val="005F674A"/>
    <w:rsid w:val="00601293"/>
    <w:rsid w:val="00603FA1"/>
    <w:rsid w:val="006105DC"/>
    <w:rsid w:val="00610FC0"/>
    <w:rsid w:val="006149C1"/>
    <w:rsid w:val="0062200A"/>
    <w:rsid w:val="00623BDF"/>
    <w:rsid w:val="006241F2"/>
    <w:rsid w:val="00625265"/>
    <w:rsid w:val="00632EE3"/>
    <w:rsid w:val="00633584"/>
    <w:rsid w:val="00634992"/>
    <w:rsid w:val="0064111B"/>
    <w:rsid w:val="00650FF7"/>
    <w:rsid w:val="0065237A"/>
    <w:rsid w:val="006551D7"/>
    <w:rsid w:val="00660F90"/>
    <w:rsid w:val="00667331"/>
    <w:rsid w:val="006738A3"/>
    <w:rsid w:val="00674E6F"/>
    <w:rsid w:val="00677DDD"/>
    <w:rsid w:val="00682D3A"/>
    <w:rsid w:val="00686F88"/>
    <w:rsid w:val="00691A76"/>
    <w:rsid w:val="00693FBF"/>
    <w:rsid w:val="006A11C1"/>
    <w:rsid w:val="006C19F5"/>
    <w:rsid w:val="006C540B"/>
    <w:rsid w:val="006D0DD3"/>
    <w:rsid w:val="006D187A"/>
    <w:rsid w:val="006D54A4"/>
    <w:rsid w:val="006E167F"/>
    <w:rsid w:val="006E2DC7"/>
    <w:rsid w:val="006E5388"/>
    <w:rsid w:val="006F6310"/>
    <w:rsid w:val="007032C2"/>
    <w:rsid w:val="00703B83"/>
    <w:rsid w:val="00706DC7"/>
    <w:rsid w:val="00716076"/>
    <w:rsid w:val="007166D1"/>
    <w:rsid w:val="007334DA"/>
    <w:rsid w:val="00734903"/>
    <w:rsid w:val="0073728E"/>
    <w:rsid w:val="00750E7F"/>
    <w:rsid w:val="00755559"/>
    <w:rsid w:val="007614B8"/>
    <w:rsid w:val="00764240"/>
    <w:rsid w:val="0076722E"/>
    <w:rsid w:val="00771119"/>
    <w:rsid w:val="00773938"/>
    <w:rsid w:val="00775AC5"/>
    <w:rsid w:val="007765E0"/>
    <w:rsid w:val="00781FAD"/>
    <w:rsid w:val="007946DA"/>
    <w:rsid w:val="00795698"/>
    <w:rsid w:val="007A247F"/>
    <w:rsid w:val="007A29A5"/>
    <w:rsid w:val="007B0075"/>
    <w:rsid w:val="007B7856"/>
    <w:rsid w:val="007B7DD4"/>
    <w:rsid w:val="007B7F16"/>
    <w:rsid w:val="007C0959"/>
    <w:rsid w:val="007C1512"/>
    <w:rsid w:val="007D140F"/>
    <w:rsid w:val="007D2A04"/>
    <w:rsid w:val="007D4CCB"/>
    <w:rsid w:val="007E216A"/>
    <w:rsid w:val="007E7FA2"/>
    <w:rsid w:val="00800BF5"/>
    <w:rsid w:val="00804237"/>
    <w:rsid w:val="0080510C"/>
    <w:rsid w:val="0080699F"/>
    <w:rsid w:val="0081192A"/>
    <w:rsid w:val="00811FF8"/>
    <w:rsid w:val="00817194"/>
    <w:rsid w:val="00817726"/>
    <w:rsid w:val="00820FFC"/>
    <w:rsid w:val="00831CE4"/>
    <w:rsid w:val="008360B0"/>
    <w:rsid w:val="00850150"/>
    <w:rsid w:val="0085398C"/>
    <w:rsid w:val="00853B27"/>
    <w:rsid w:val="00854597"/>
    <w:rsid w:val="00857B2E"/>
    <w:rsid w:val="00864B08"/>
    <w:rsid w:val="00864F21"/>
    <w:rsid w:val="008661EE"/>
    <w:rsid w:val="00867A35"/>
    <w:rsid w:val="00873959"/>
    <w:rsid w:val="0087553D"/>
    <w:rsid w:val="00877606"/>
    <w:rsid w:val="00886294"/>
    <w:rsid w:val="008A24D7"/>
    <w:rsid w:val="008B6C26"/>
    <w:rsid w:val="008B7EBE"/>
    <w:rsid w:val="008C0D09"/>
    <w:rsid w:val="008D4B76"/>
    <w:rsid w:val="008D559D"/>
    <w:rsid w:val="008D7BDF"/>
    <w:rsid w:val="008E264D"/>
    <w:rsid w:val="008E688F"/>
    <w:rsid w:val="008F20E4"/>
    <w:rsid w:val="008F4209"/>
    <w:rsid w:val="008F6560"/>
    <w:rsid w:val="0090623E"/>
    <w:rsid w:val="0090707A"/>
    <w:rsid w:val="0091197E"/>
    <w:rsid w:val="00914742"/>
    <w:rsid w:val="00916B72"/>
    <w:rsid w:val="00916DAB"/>
    <w:rsid w:val="00917D99"/>
    <w:rsid w:val="009203ED"/>
    <w:rsid w:val="009274BE"/>
    <w:rsid w:val="00930314"/>
    <w:rsid w:val="00933272"/>
    <w:rsid w:val="00933601"/>
    <w:rsid w:val="00941622"/>
    <w:rsid w:val="00942643"/>
    <w:rsid w:val="00942982"/>
    <w:rsid w:val="00953106"/>
    <w:rsid w:val="009532EA"/>
    <w:rsid w:val="00954760"/>
    <w:rsid w:val="00960592"/>
    <w:rsid w:val="009612C8"/>
    <w:rsid w:val="00966BED"/>
    <w:rsid w:val="0097453F"/>
    <w:rsid w:val="00980786"/>
    <w:rsid w:val="00985E26"/>
    <w:rsid w:val="00992866"/>
    <w:rsid w:val="009928AF"/>
    <w:rsid w:val="009940BD"/>
    <w:rsid w:val="009A1302"/>
    <w:rsid w:val="009A5AA1"/>
    <w:rsid w:val="009B5898"/>
    <w:rsid w:val="009B58CB"/>
    <w:rsid w:val="009B60C8"/>
    <w:rsid w:val="009C08A5"/>
    <w:rsid w:val="009C38FA"/>
    <w:rsid w:val="009C6344"/>
    <w:rsid w:val="009D537A"/>
    <w:rsid w:val="009D786B"/>
    <w:rsid w:val="009E05C8"/>
    <w:rsid w:val="009E4BF6"/>
    <w:rsid w:val="009E7343"/>
    <w:rsid w:val="009F4ACB"/>
    <w:rsid w:val="00A02FAA"/>
    <w:rsid w:val="00A05CB3"/>
    <w:rsid w:val="00A13887"/>
    <w:rsid w:val="00A1666D"/>
    <w:rsid w:val="00A17BAF"/>
    <w:rsid w:val="00A225CF"/>
    <w:rsid w:val="00A23EAA"/>
    <w:rsid w:val="00A27260"/>
    <w:rsid w:val="00A31813"/>
    <w:rsid w:val="00A31D9C"/>
    <w:rsid w:val="00A4079B"/>
    <w:rsid w:val="00A50E1C"/>
    <w:rsid w:val="00A5193A"/>
    <w:rsid w:val="00A51B8D"/>
    <w:rsid w:val="00A623DB"/>
    <w:rsid w:val="00A6324E"/>
    <w:rsid w:val="00A67AA5"/>
    <w:rsid w:val="00A72B50"/>
    <w:rsid w:val="00A74380"/>
    <w:rsid w:val="00A83DAD"/>
    <w:rsid w:val="00A94C71"/>
    <w:rsid w:val="00AA622E"/>
    <w:rsid w:val="00AA6A46"/>
    <w:rsid w:val="00AB349F"/>
    <w:rsid w:val="00AB707A"/>
    <w:rsid w:val="00AC0D4A"/>
    <w:rsid w:val="00AC1600"/>
    <w:rsid w:val="00AD09EB"/>
    <w:rsid w:val="00AD0EF8"/>
    <w:rsid w:val="00AD34C5"/>
    <w:rsid w:val="00AD7323"/>
    <w:rsid w:val="00AE54F8"/>
    <w:rsid w:val="00AE5FCE"/>
    <w:rsid w:val="00AF261B"/>
    <w:rsid w:val="00AF4E83"/>
    <w:rsid w:val="00AF5DF1"/>
    <w:rsid w:val="00AF7000"/>
    <w:rsid w:val="00B01616"/>
    <w:rsid w:val="00B05155"/>
    <w:rsid w:val="00B07B7D"/>
    <w:rsid w:val="00B1066C"/>
    <w:rsid w:val="00B13123"/>
    <w:rsid w:val="00B142CF"/>
    <w:rsid w:val="00B1434C"/>
    <w:rsid w:val="00B15778"/>
    <w:rsid w:val="00B26CF5"/>
    <w:rsid w:val="00B3037F"/>
    <w:rsid w:val="00B347BB"/>
    <w:rsid w:val="00B369DC"/>
    <w:rsid w:val="00B42CDE"/>
    <w:rsid w:val="00B501B9"/>
    <w:rsid w:val="00B51757"/>
    <w:rsid w:val="00B547F6"/>
    <w:rsid w:val="00B63A3E"/>
    <w:rsid w:val="00B66AAC"/>
    <w:rsid w:val="00B76F57"/>
    <w:rsid w:val="00B8064B"/>
    <w:rsid w:val="00B84D97"/>
    <w:rsid w:val="00B86FFE"/>
    <w:rsid w:val="00B91BF4"/>
    <w:rsid w:val="00BA0300"/>
    <w:rsid w:val="00BA19FC"/>
    <w:rsid w:val="00BA6094"/>
    <w:rsid w:val="00BA643B"/>
    <w:rsid w:val="00BC07E2"/>
    <w:rsid w:val="00BC5E9A"/>
    <w:rsid w:val="00BD6148"/>
    <w:rsid w:val="00BE1CA7"/>
    <w:rsid w:val="00BF31F9"/>
    <w:rsid w:val="00C0678F"/>
    <w:rsid w:val="00C067BF"/>
    <w:rsid w:val="00C07073"/>
    <w:rsid w:val="00C12118"/>
    <w:rsid w:val="00C137AC"/>
    <w:rsid w:val="00C16136"/>
    <w:rsid w:val="00C1736F"/>
    <w:rsid w:val="00C222B1"/>
    <w:rsid w:val="00C2340C"/>
    <w:rsid w:val="00C2703D"/>
    <w:rsid w:val="00C302D8"/>
    <w:rsid w:val="00C30AC9"/>
    <w:rsid w:val="00C31E9D"/>
    <w:rsid w:val="00C41ADF"/>
    <w:rsid w:val="00C430BE"/>
    <w:rsid w:val="00C45926"/>
    <w:rsid w:val="00C506BE"/>
    <w:rsid w:val="00C53486"/>
    <w:rsid w:val="00C57002"/>
    <w:rsid w:val="00C57D56"/>
    <w:rsid w:val="00C675CE"/>
    <w:rsid w:val="00C702FC"/>
    <w:rsid w:val="00C70986"/>
    <w:rsid w:val="00C75982"/>
    <w:rsid w:val="00C76A90"/>
    <w:rsid w:val="00C77E9C"/>
    <w:rsid w:val="00C839AA"/>
    <w:rsid w:val="00C93112"/>
    <w:rsid w:val="00C97767"/>
    <w:rsid w:val="00CA44AD"/>
    <w:rsid w:val="00CA535E"/>
    <w:rsid w:val="00CA5721"/>
    <w:rsid w:val="00CB683B"/>
    <w:rsid w:val="00CC0245"/>
    <w:rsid w:val="00CC0A26"/>
    <w:rsid w:val="00CC26CF"/>
    <w:rsid w:val="00CC3AE3"/>
    <w:rsid w:val="00CD12CC"/>
    <w:rsid w:val="00CE1EC2"/>
    <w:rsid w:val="00CF0527"/>
    <w:rsid w:val="00CF2561"/>
    <w:rsid w:val="00CF3A8C"/>
    <w:rsid w:val="00D027DA"/>
    <w:rsid w:val="00D02F1E"/>
    <w:rsid w:val="00D17311"/>
    <w:rsid w:val="00D22CA7"/>
    <w:rsid w:val="00D34CF9"/>
    <w:rsid w:val="00D40440"/>
    <w:rsid w:val="00D40A4B"/>
    <w:rsid w:val="00D42E0B"/>
    <w:rsid w:val="00D43D6E"/>
    <w:rsid w:val="00D45992"/>
    <w:rsid w:val="00D55C02"/>
    <w:rsid w:val="00D611C6"/>
    <w:rsid w:val="00D65AC7"/>
    <w:rsid w:val="00D65FC2"/>
    <w:rsid w:val="00D6710C"/>
    <w:rsid w:val="00D720FD"/>
    <w:rsid w:val="00D7369B"/>
    <w:rsid w:val="00D767B2"/>
    <w:rsid w:val="00D81591"/>
    <w:rsid w:val="00D8634B"/>
    <w:rsid w:val="00D94F4E"/>
    <w:rsid w:val="00D9510D"/>
    <w:rsid w:val="00DA6C25"/>
    <w:rsid w:val="00DA6F80"/>
    <w:rsid w:val="00DA72B1"/>
    <w:rsid w:val="00DB0D59"/>
    <w:rsid w:val="00DB4531"/>
    <w:rsid w:val="00DC0E3F"/>
    <w:rsid w:val="00DC4BEE"/>
    <w:rsid w:val="00DC52D2"/>
    <w:rsid w:val="00DD54B8"/>
    <w:rsid w:val="00DE6D95"/>
    <w:rsid w:val="00DF0515"/>
    <w:rsid w:val="00E00E5F"/>
    <w:rsid w:val="00E07802"/>
    <w:rsid w:val="00E14B4B"/>
    <w:rsid w:val="00E14C5E"/>
    <w:rsid w:val="00E2005A"/>
    <w:rsid w:val="00E220EF"/>
    <w:rsid w:val="00E241E8"/>
    <w:rsid w:val="00E24EB3"/>
    <w:rsid w:val="00E24F12"/>
    <w:rsid w:val="00E3444E"/>
    <w:rsid w:val="00E46144"/>
    <w:rsid w:val="00E46AAD"/>
    <w:rsid w:val="00E50DE7"/>
    <w:rsid w:val="00E529D6"/>
    <w:rsid w:val="00E52BF6"/>
    <w:rsid w:val="00E551EC"/>
    <w:rsid w:val="00E63B26"/>
    <w:rsid w:val="00E64759"/>
    <w:rsid w:val="00E66048"/>
    <w:rsid w:val="00E70546"/>
    <w:rsid w:val="00E72A67"/>
    <w:rsid w:val="00E85036"/>
    <w:rsid w:val="00E87BCC"/>
    <w:rsid w:val="00E94106"/>
    <w:rsid w:val="00E97980"/>
    <w:rsid w:val="00E97991"/>
    <w:rsid w:val="00EA1CC0"/>
    <w:rsid w:val="00EA22FA"/>
    <w:rsid w:val="00EA4852"/>
    <w:rsid w:val="00EA7940"/>
    <w:rsid w:val="00EB4403"/>
    <w:rsid w:val="00EB5A57"/>
    <w:rsid w:val="00EC0829"/>
    <w:rsid w:val="00EC1C33"/>
    <w:rsid w:val="00EC3C1A"/>
    <w:rsid w:val="00ED0945"/>
    <w:rsid w:val="00EE0361"/>
    <w:rsid w:val="00EE5547"/>
    <w:rsid w:val="00EE5DAD"/>
    <w:rsid w:val="00EF0122"/>
    <w:rsid w:val="00EF50B1"/>
    <w:rsid w:val="00EF7013"/>
    <w:rsid w:val="00F011E9"/>
    <w:rsid w:val="00F049EF"/>
    <w:rsid w:val="00F0728F"/>
    <w:rsid w:val="00F1172A"/>
    <w:rsid w:val="00F1396A"/>
    <w:rsid w:val="00F22C0C"/>
    <w:rsid w:val="00F24877"/>
    <w:rsid w:val="00F32327"/>
    <w:rsid w:val="00F342C5"/>
    <w:rsid w:val="00F52570"/>
    <w:rsid w:val="00F71752"/>
    <w:rsid w:val="00F74A40"/>
    <w:rsid w:val="00F9132E"/>
    <w:rsid w:val="00F91598"/>
    <w:rsid w:val="00F92AB2"/>
    <w:rsid w:val="00F92E30"/>
    <w:rsid w:val="00F93F04"/>
    <w:rsid w:val="00FA386D"/>
    <w:rsid w:val="00FA51B8"/>
    <w:rsid w:val="00FA75DB"/>
    <w:rsid w:val="00FB1AAE"/>
    <w:rsid w:val="00FC29C2"/>
    <w:rsid w:val="00FC58D6"/>
    <w:rsid w:val="00FD475A"/>
    <w:rsid w:val="00FE07F8"/>
    <w:rsid w:val="00FE1269"/>
    <w:rsid w:val="00FE20EE"/>
    <w:rsid w:val="00FE3073"/>
    <w:rsid w:val="00FE65A8"/>
    <w:rsid w:val="00FF06BF"/>
    <w:rsid w:val="00FF35AE"/>
    <w:rsid w:val="00FF49BE"/>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4892"/>
  <w15:docId w15:val="{4039334E-7134-4D69-A8F6-F3FFBFCF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21"/>
    <w:pPr>
      <w:ind w:left="720"/>
      <w:contextualSpacing/>
    </w:pPr>
  </w:style>
  <w:style w:type="paragraph" w:styleId="Header">
    <w:name w:val="header"/>
    <w:basedOn w:val="Normal"/>
    <w:link w:val="HeaderChar"/>
    <w:uiPriority w:val="99"/>
    <w:unhideWhenUsed/>
    <w:rsid w:val="00350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42F"/>
  </w:style>
  <w:style w:type="paragraph" w:styleId="Footer">
    <w:name w:val="footer"/>
    <w:basedOn w:val="Normal"/>
    <w:link w:val="FooterChar"/>
    <w:uiPriority w:val="99"/>
    <w:unhideWhenUsed/>
    <w:rsid w:val="00350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2F"/>
  </w:style>
  <w:style w:type="character" w:styleId="LineNumber">
    <w:name w:val="line number"/>
    <w:basedOn w:val="DefaultParagraphFont"/>
    <w:uiPriority w:val="99"/>
    <w:semiHidden/>
    <w:unhideWhenUsed/>
    <w:rsid w:val="0019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Makumbi</dc:creator>
  <cp:keywords/>
  <dc:description/>
  <cp:lastModifiedBy>David Makumbi</cp:lastModifiedBy>
  <cp:revision>5</cp:revision>
  <cp:lastPrinted>2024-03-07T06:59:00Z</cp:lastPrinted>
  <dcterms:created xsi:type="dcterms:W3CDTF">2024-03-06T19:07:00Z</dcterms:created>
  <dcterms:modified xsi:type="dcterms:W3CDTF">2024-03-28T06:02:00Z</dcterms:modified>
</cp:coreProperties>
</file>