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09F6CA" w14:textId="77777777" w:rsidR="00DE153B" w:rsidRPr="00F70805" w:rsidRDefault="00DE153B" w:rsidP="00EF1169">
      <w:pPr>
        <w:spacing w:after="0" w:line="360" w:lineRule="auto"/>
        <w:jc w:val="both"/>
        <w:rPr>
          <w:rFonts w:cstheme="minorHAnsi"/>
          <w:sz w:val="26"/>
          <w:szCs w:val="26"/>
        </w:rPr>
      </w:pPr>
    </w:p>
    <w:p w14:paraId="380B7C26" w14:textId="77777777" w:rsidR="007139F4" w:rsidRPr="00F70805" w:rsidRDefault="007139F4" w:rsidP="00EF1169">
      <w:pPr>
        <w:spacing w:after="0" w:line="360" w:lineRule="auto"/>
        <w:jc w:val="center"/>
        <w:rPr>
          <w:rFonts w:cstheme="minorHAnsi"/>
          <w:b/>
          <w:sz w:val="26"/>
          <w:szCs w:val="26"/>
        </w:rPr>
      </w:pPr>
      <w:r w:rsidRPr="00F70805">
        <w:rPr>
          <w:rFonts w:cstheme="minorHAnsi"/>
          <w:b/>
          <w:sz w:val="26"/>
          <w:szCs w:val="26"/>
        </w:rPr>
        <w:t>THE REPUBLIC OF UGANDA</w:t>
      </w:r>
    </w:p>
    <w:p w14:paraId="2BA68AAF" w14:textId="77777777" w:rsidR="007139F4" w:rsidRPr="00F70805" w:rsidRDefault="007139F4" w:rsidP="00EF1169">
      <w:pPr>
        <w:spacing w:after="0" w:line="360" w:lineRule="auto"/>
        <w:jc w:val="center"/>
        <w:rPr>
          <w:rFonts w:cstheme="minorHAnsi"/>
          <w:b/>
          <w:sz w:val="26"/>
          <w:szCs w:val="26"/>
        </w:rPr>
      </w:pPr>
      <w:r w:rsidRPr="00F70805">
        <w:rPr>
          <w:rFonts w:cstheme="minorHAnsi"/>
          <w:b/>
          <w:sz w:val="26"/>
          <w:szCs w:val="26"/>
        </w:rPr>
        <w:t>IN THE HIGH COURT OF UGANDA AT FORT PORTAL</w:t>
      </w:r>
    </w:p>
    <w:p w14:paraId="2F231CFD" w14:textId="75C8A170" w:rsidR="007139F4" w:rsidRPr="00F70805" w:rsidRDefault="002275E3" w:rsidP="00EF1169">
      <w:pPr>
        <w:spacing w:after="0" w:line="360" w:lineRule="auto"/>
        <w:jc w:val="center"/>
        <w:rPr>
          <w:rFonts w:cstheme="minorHAnsi"/>
          <w:b/>
          <w:sz w:val="26"/>
          <w:szCs w:val="26"/>
        </w:rPr>
      </w:pPr>
      <w:r w:rsidRPr="00F70805">
        <w:rPr>
          <w:rFonts w:cstheme="minorHAnsi"/>
          <w:b/>
          <w:sz w:val="26"/>
          <w:szCs w:val="26"/>
        </w:rPr>
        <w:t>HCT-01-CR-SC-00333</w:t>
      </w:r>
      <w:r w:rsidR="007139F4" w:rsidRPr="00F70805">
        <w:rPr>
          <w:rFonts w:cstheme="minorHAnsi"/>
          <w:b/>
          <w:sz w:val="26"/>
          <w:szCs w:val="26"/>
        </w:rPr>
        <w:t xml:space="preserve"> OF 2020</w:t>
      </w:r>
    </w:p>
    <w:p w14:paraId="711BDF56" w14:textId="77777777" w:rsidR="007139F4" w:rsidRPr="00F70805" w:rsidRDefault="007139F4" w:rsidP="00EF1169">
      <w:pPr>
        <w:spacing w:after="0" w:line="360" w:lineRule="auto"/>
        <w:jc w:val="center"/>
        <w:rPr>
          <w:rFonts w:cstheme="minorHAnsi"/>
          <w:b/>
          <w:sz w:val="26"/>
          <w:szCs w:val="26"/>
        </w:rPr>
      </w:pPr>
    </w:p>
    <w:p w14:paraId="5553E6BE" w14:textId="75D6B4FF" w:rsidR="007139F4" w:rsidRPr="00F70805" w:rsidRDefault="007139F4" w:rsidP="00EF1169">
      <w:pPr>
        <w:spacing w:after="0" w:line="360" w:lineRule="auto"/>
        <w:jc w:val="center"/>
        <w:rPr>
          <w:rFonts w:cstheme="minorHAnsi"/>
          <w:b/>
          <w:sz w:val="26"/>
          <w:szCs w:val="26"/>
        </w:rPr>
      </w:pPr>
      <w:r w:rsidRPr="00F70805">
        <w:rPr>
          <w:rFonts w:cstheme="minorHAnsi"/>
          <w:b/>
          <w:sz w:val="26"/>
          <w:szCs w:val="26"/>
        </w:rPr>
        <w:t>UGANDA=================================</w:t>
      </w:r>
      <w:r w:rsidR="00F70805">
        <w:rPr>
          <w:rFonts w:cstheme="minorHAnsi"/>
          <w:b/>
          <w:sz w:val="26"/>
          <w:szCs w:val="26"/>
        </w:rPr>
        <w:t>=================</w:t>
      </w:r>
      <w:r w:rsidRPr="00F70805">
        <w:rPr>
          <w:rFonts w:cstheme="minorHAnsi"/>
          <w:b/>
          <w:sz w:val="26"/>
          <w:szCs w:val="26"/>
        </w:rPr>
        <w:t>PROSECUTION</w:t>
      </w:r>
    </w:p>
    <w:p w14:paraId="0EC7F4A6" w14:textId="77777777" w:rsidR="007139F4" w:rsidRPr="00F70805" w:rsidRDefault="007139F4" w:rsidP="00EF1169">
      <w:pPr>
        <w:spacing w:after="0" w:line="360" w:lineRule="auto"/>
        <w:jc w:val="center"/>
        <w:rPr>
          <w:rFonts w:cstheme="minorHAnsi"/>
          <w:b/>
          <w:sz w:val="26"/>
          <w:szCs w:val="26"/>
        </w:rPr>
      </w:pPr>
    </w:p>
    <w:p w14:paraId="28012DD1" w14:textId="77777777" w:rsidR="007139F4" w:rsidRPr="00F70805" w:rsidRDefault="007139F4" w:rsidP="00EF1169">
      <w:pPr>
        <w:spacing w:after="0" w:line="360" w:lineRule="auto"/>
        <w:jc w:val="center"/>
        <w:rPr>
          <w:rFonts w:cstheme="minorHAnsi"/>
          <w:b/>
          <w:sz w:val="26"/>
          <w:szCs w:val="26"/>
        </w:rPr>
      </w:pPr>
      <w:r w:rsidRPr="00F70805">
        <w:rPr>
          <w:rFonts w:cstheme="minorHAnsi"/>
          <w:b/>
          <w:sz w:val="26"/>
          <w:szCs w:val="26"/>
        </w:rPr>
        <w:t>VERSUS</w:t>
      </w:r>
    </w:p>
    <w:p w14:paraId="50477687" w14:textId="77777777" w:rsidR="007139F4" w:rsidRPr="00F70805" w:rsidRDefault="007139F4" w:rsidP="00EF1169">
      <w:pPr>
        <w:spacing w:after="0" w:line="360" w:lineRule="auto"/>
        <w:jc w:val="center"/>
        <w:rPr>
          <w:rFonts w:cstheme="minorHAnsi"/>
          <w:b/>
          <w:sz w:val="26"/>
          <w:szCs w:val="26"/>
        </w:rPr>
      </w:pPr>
    </w:p>
    <w:p w14:paraId="609AFD72" w14:textId="540B5436" w:rsidR="007139F4" w:rsidRPr="00F70805" w:rsidRDefault="002275E3" w:rsidP="00EF1169">
      <w:pPr>
        <w:pStyle w:val="ListParagraph"/>
        <w:numPr>
          <w:ilvl w:val="0"/>
          <w:numId w:val="11"/>
        </w:numPr>
        <w:spacing w:after="0" w:line="360" w:lineRule="auto"/>
        <w:rPr>
          <w:rFonts w:cstheme="minorHAnsi"/>
          <w:b/>
          <w:sz w:val="26"/>
          <w:szCs w:val="26"/>
        </w:rPr>
      </w:pPr>
      <w:r w:rsidRPr="00F70805">
        <w:rPr>
          <w:rFonts w:cstheme="minorHAnsi"/>
          <w:b/>
          <w:sz w:val="26"/>
          <w:szCs w:val="26"/>
        </w:rPr>
        <w:t>NAMUMANYA ALLA</w:t>
      </w:r>
      <w:r w:rsidR="006D04D4">
        <w:rPr>
          <w:rFonts w:cstheme="minorHAnsi"/>
          <w:b/>
          <w:sz w:val="26"/>
          <w:szCs w:val="26"/>
        </w:rPr>
        <w:t>N</w:t>
      </w:r>
    </w:p>
    <w:p w14:paraId="72346CE6" w14:textId="68992E41" w:rsidR="007139F4" w:rsidRPr="00F70805" w:rsidRDefault="002275E3" w:rsidP="00EF1169">
      <w:pPr>
        <w:pStyle w:val="ListParagraph"/>
        <w:numPr>
          <w:ilvl w:val="0"/>
          <w:numId w:val="11"/>
        </w:numPr>
        <w:spacing w:after="0" w:line="360" w:lineRule="auto"/>
        <w:rPr>
          <w:rFonts w:cstheme="minorHAnsi"/>
          <w:b/>
          <w:sz w:val="26"/>
          <w:szCs w:val="26"/>
        </w:rPr>
      </w:pPr>
      <w:r w:rsidRPr="00F70805">
        <w:rPr>
          <w:rFonts w:cstheme="minorHAnsi"/>
          <w:b/>
          <w:sz w:val="26"/>
          <w:szCs w:val="26"/>
        </w:rPr>
        <w:t xml:space="preserve">TUHAIRWE BRIAN Alias </w:t>
      </w:r>
      <w:proofErr w:type="spellStart"/>
      <w:r w:rsidRPr="00F70805">
        <w:rPr>
          <w:rFonts w:cstheme="minorHAnsi"/>
          <w:b/>
          <w:sz w:val="26"/>
          <w:szCs w:val="26"/>
        </w:rPr>
        <w:t>Dogo</w:t>
      </w:r>
      <w:proofErr w:type="spellEnd"/>
      <w:r w:rsidRPr="00F70805">
        <w:rPr>
          <w:rFonts w:cstheme="minorHAnsi"/>
          <w:b/>
          <w:sz w:val="26"/>
          <w:szCs w:val="26"/>
        </w:rPr>
        <w:t xml:space="preserve"> </w:t>
      </w:r>
    </w:p>
    <w:p w14:paraId="62C77212" w14:textId="54C0AD40" w:rsidR="00F70805" w:rsidRPr="00F70805" w:rsidRDefault="002275E3" w:rsidP="00F70805">
      <w:pPr>
        <w:pStyle w:val="ListParagraph"/>
        <w:numPr>
          <w:ilvl w:val="0"/>
          <w:numId w:val="11"/>
        </w:numPr>
        <w:spacing w:after="0" w:line="360" w:lineRule="auto"/>
        <w:rPr>
          <w:rFonts w:cstheme="minorHAnsi"/>
          <w:b/>
          <w:sz w:val="26"/>
          <w:szCs w:val="26"/>
        </w:rPr>
      </w:pPr>
      <w:r w:rsidRPr="00F70805">
        <w:rPr>
          <w:rFonts w:cstheme="minorHAnsi"/>
          <w:b/>
          <w:sz w:val="26"/>
          <w:szCs w:val="26"/>
        </w:rPr>
        <w:t>TUKUGIZIBWE JONATHAN Alias TEDIDE</w:t>
      </w:r>
      <w:r w:rsidR="00F70805" w:rsidRPr="00F70805">
        <w:rPr>
          <w:rFonts w:cstheme="minorHAnsi"/>
          <w:b/>
          <w:sz w:val="26"/>
          <w:szCs w:val="26"/>
        </w:rPr>
        <w:t>==============</w:t>
      </w:r>
      <w:r w:rsidR="00F70805">
        <w:rPr>
          <w:rFonts w:cstheme="minorHAnsi"/>
          <w:b/>
          <w:sz w:val="26"/>
          <w:szCs w:val="26"/>
        </w:rPr>
        <w:t>=========</w:t>
      </w:r>
      <w:r w:rsidR="00F70805" w:rsidRPr="00F70805">
        <w:rPr>
          <w:rFonts w:cstheme="minorHAnsi"/>
          <w:b/>
          <w:sz w:val="26"/>
          <w:szCs w:val="26"/>
        </w:rPr>
        <w:t>ACCUSED</w:t>
      </w:r>
    </w:p>
    <w:p w14:paraId="6042B69A" w14:textId="77777777" w:rsidR="007139F4" w:rsidRPr="00F70805" w:rsidRDefault="007139F4" w:rsidP="00EF1169">
      <w:pPr>
        <w:spacing w:after="0" w:line="360" w:lineRule="auto"/>
        <w:rPr>
          <w:rFonts w:cstheme="minorHAnsi"/>
          <w:b/>
          <w:sz w:val="26"/>
          <w:szCs w:val="26"/>
        </w:rPr>
      </w:pPr>
    </w:p>
    <w:p w14:paraId="720560A3" w14:textId="108186D2" w:rsidR="007139F4" w:rsidRPr="00F70805" w:rsidRDefault="007139F4" w:rsidP="00EF1169">
      <w:pPr>
        <w:spacing w:line="360" w:lineRule="auto"/>
        <w:jc w:val="center"/>
        <w:rPr>
          <w:rFonts w:cstheme="minorHAnsi"/>
          <w:b/>
          <w:sz w:val="26"/>
          <w:szCs w:val="26"/>
        </w:rPr>
      </w:pPr>
      <w:r w:rsidRPr="00F70805">
        <w:rPr>
          <w:rFonts w:cstheme="minorHAnsi"/>
          <w:b/>
          <w:sz w:val="26"/>
          <w:szCs w:val="26"/>
        </w:rPr>
        <w:t xml:space="preserve">BEFORE: HON. MR. JUSTICE </w:t>
      </w:r>
      <w:r w:rsidR="00F70805">
        <w:rPr>
          <w:rFonts w:cstheme="minorHAnsi"/>
          <w:b/>
          <w:sz w:val="26"/>
          <w:szCs w:val="26"/>
        </w:rPr>
        <w:t xml:space="preserve">DAVID S.L. </w:t>
      </w:r>
      <w:r w:rsidR="0080208A" w:rsidRPr="00F70805">
        <w:rPr>
          <w:rFonts w:cstheme="minorHAnsi"/>
          <w:b/>
          <w:sz w:val="26"/>
          <w:szCs w:val="26"/>
        </w:rPr>
        <w:t>MAKUMBI</w:t>
      </w:r>
    </w:p>
    <w:p w14:paraId="414D7488" w14:textId="49BEC4B8" w:rsidR="00DE153B" w:rsidRDefault="00393004" w:rsidP="00EF1169">
      <w:pPr>
        <w:spacing w:after="0" w:line="360" w:lineRule="auto"/>
        <w:jc w:val="center"/>
        <w:rPr>
          <w:rFonts w:cstheme="minorHAnsi"/>
          <w:b/>
          <w:sz w:val="26"/>
          <w:szCs w:val="26"/>
          <w:u w:val="single"/>
          <w:lang w:val="en-GB"/>
        </w:rPr>
      </w:pPr>
      <w:r>
        <w:rPr>
          <w:rFonts w:cstheme="minorHAnsi"/>
          <w:b/>
          <w:sz w:val="26"/>
          <w:szCs w:val="26"/>
          <w:u w:val="single"/>
          <w:lang w:val="en-GB"/>
        </w:rPr>
        <w:t>JUDGMENT</w:t>
      </w:r>
    </w:p>
    <w:p w14:paraId="2CCB2405" w14:textId="77777777" w:rsidR="00F70805" w:rsidRPr="00F70805" w:rsidRDefault="00F70805" w:rsidP="00EF1169">
      <w:pPr>
        <w:spacing w:after="0" w:line="360" w:lineRule="auto"/>
        <w:jc w:val="center"/>
        <w:rPr>
          <w:rFonts w:cstheme="minorHAnsi"/>
          <w:b/>
          <w:sz w:val="26"/>
          <w:szCs w:val="26"/>
          <w:u w:val="single"/>
          <w:lang w:val="en-GB"/>
        </w:rPr>
      </w:pPr>
    </w:p>
    <w:p w14:paraId="45990FFE" w14:textId="3717F68D" w:rsidR="00F70805" w:rsidRPr="00F70805" w:rsidRDefault="00393004" w:rsidP="00F70805">
      <w:pPr>
        <w:spacing w:line="360" w:lineRule="auto"/>
        <w:jc w:val="both"/>
        <w:rPr>
          <w:rFonts w:ascii="Calibri" w:eastAsia="Calibri" w:hAnsi="Calibri" w:cs="Calibri"/>
          <w:b/>
          <w:sz w:val="26"/>
          <w:szCs w:val="26"/>
          <w:u w:val="single"/>
        </w:rPr>
      </w:pPr>
      <w:r>
        <w:rPr>
          <w:rFonts w:ascii="Calibri" w:eastAsia="Calibri" w:hAnsi="Calibri" w:cs="Calibri"/>
          <w:b/>
          <w:sz w:val="26"/>
          <w:szCs w:val="26"/>
          <w:u w:val="single"/>
        </w:rPr>
        <w:t>BACKGROUND:</w:t>
      </w:r>
    </w:p>
    <w:p w14:paraId="69EC7E7E" w14:textId="15374E08" w:rsidR="00393004" w:rsidRPr="00393004" w:rsidRDefault="00F70805" w:rsidP="00A71F04">
      <w:pPr>
        <w:spacing w:after="100" w:afterAutospacing="1" w:line="360" w:lineRule="auto"/>
        <w:jc w:val="both"/>
        <w:rPr>
          <w:rFonts w:ascii="Calibri" w:eastAsia="Calibri" w:hAnsi="Calibri" w:cs="Calibri"/>
          <w:sz w:val="26"/>
          <w:szCs w:val="26"/>
          <w:lang w:val="en-GB"/>
        </w:rPr>
      </w:pPr>
      <w:r w:rsidRPr="00F70805">
        <w:rPr>
          <w:rFonts w:ascii="Calibri" w:eastAsia="Calibri" w:hAnsi="Calibri" w:cs="Calibri"/>
          <w:sz w:val="26"/>
          <w:szCs w:val="26"/>
          <w:lang w:val="en-GB"/>
        </w:rPr>
        <w:t>The indictment in</w:t>
      </w:r>
      <w:r w:rsidR="00D818A9">
        <w:rPr>
          <w:rFonts w:ascii="Calibri" w:eastAsia="Calibri" w:hAnsi="Calibri" w:cs="Calibri"/>
          <w:sz w:val="26"/>
          <w:szCs w:val="26"/>
          <w:lang w:val="en-GB"/>
        </w:rPr>
        <w:t xml:space="preserve"> </w:t>
      </w:r>
      <w:r w:rsidR="00D818A9" w:rsidRPr="00D92931">
        <w:rPr>
          <w:rFonts w:ascii="Calibri" w:eastAsia="Calibri" w:hAnsi="Calibri" w:cs="Calibri"/>
          <w:b/>
          <w:bCs/>
          <w:sz w:val="26"/>
          <w:szCs w:val="26"/>
          <w:lang w:val="en-GB"/>
        </w:rPr>
        <w:t>Count 1</w:t>
      </w:r>
      <w:r w:rsidR="00D818A9">
        <w:rPr>
          <w:rFonts w:ascii="Calibri" w:eastAsia="Calibri" w:hAnsi="Calibri" w:cs="Calibri"/>
          <w:sz w:val="26"/>
          <w:szCs w:val="26"/>
          <w:lang w:val="en-GB"/>
        </w:rPr>
        <w:t xml:space="preserve"> of</w:t>
      </w:r>
      <w:r w:rsidRPr="00F70805">
        <w:rPr>
          <w:rFonts w:ascii="Calibri" w:eastAsia="Calibri" w:hAnsi="Calibri" w:cs="Calibri"/>
          <w:sz w:val="26"/>
          <w:szCs w:val="26"/>
          <w:lang w:val="en-GB"/>
        </w:rPr>
        <w:t xml:space="preserve"> this case is that of </w:t>
      </w:r>
      <w:r w:rsidRPr="00F70805">
        <w:rPr>
          <w:rFonts w:ascii="Calibri" w:eastAsia="Calibri" w:hAnsi="Calibri" w:cs="Calibri"/>
          <w:b/>
          <w:bCs/>
          <w:sz w:val="26"/>
          <w:szCs w:val="26"/>
          <w:lang w:val="en-GB"/>
        </w:rPr>
        <w:t xml:space="preserve">Murder contrary to Sections 188 and 189 of the </w:t>
      </w:r>
      <w:r w:rsidRPr="00F70805">
        <w:rPr>
          <w:rFonts w:ascii="Calibri" w:eastAsia="Calibri" w:hAnsi="Calibri" w:cs="Calibri"/>
          <w:b/>
          <w:bCs/>
          <w:iCs/>
          <w:sz w:val="26"/>
          <w:szCs w:val="26"/>
          <w:lang w:val="en-GB"/>
        </w:rPr>
        <w:t>Penal Code Act</w:t>
      </w:r>
      <w:r w:rsidRPr="00F70805">
        <w:rPr>
          <w:rFonts w:ascii="Calibri" w:eastAsia="Calibri" w:hAnsi="Calibri" w:cs="Calibri"/>
          <w:iCs/>
          <w:sz w:val="26"/>
          <w:szCs w:val="26"/>
          <w:lang w:val="en-GB"/>
        </w:rPr>
        <w:t>.</w:t>
      </w:r>
      <w:r w:rsidRPr="00F70805">
        <w:rPr>
          <w:rFonts w:ascii="Calibri" w:eastAsia="Calibri" w:hAnsi="Calibri" w:cs="Calibri"/>
          <w:sz w:val="26"/>
          <w:szCs w:val="26"/>
          <w:lang w:val="en-GB"/>
        </w:rPr>
        <w:t xml:space="preserve"> </w:t>
      </w:r>
    </w:p>
    <w:p w14:paraId="1650E1C5" w14:textId="4E2D9EED" w:rsidR="00D818A9" w:rsidRDefault="00F70805" w:rsidP="00A71F04">
      <w:pPr>
        <w:spacing w:after="100" w:afterAutospacing="1" w:line="360" w:lineRule="auto"/>
        <w:jc w:val="both"/>
        <w:rPr>
          <w:rFonts w:cstheme="minorHAnsi"/>
          <w:sz w:val="26"/>
          <w:szCs w:val="26"/>
        </w:rPr>
      </w:pPr>
      <w:r w:rsidRPr="00F70805">
        <w:rPr>
          <w:rFonts w:cstheme="minorHAnsi"/>
          <w:sz w:val="26"/>
          <w:szCs w:val="26"/>
        </w:rPr>
        <w:t xml:space="preserve">It </w:t>
      </w:r>
      <w:proofErr w:type="gramStart"/>
      <w:r w:rsidRPr="00F70805">
        <w:rPr>
          <w:rFonts w:cstheme="minorHAnsi"/>
          <w:sz w:val="26"/>
          <w:szCs w:val="26"/>
        </w:rPr>
        <w:t>is alleged</w:t>
      </w:r>
      <w:proofErr w:type="gramEnd"/>
      <w:r>
        <w:rPr>
          <w:rFonts w:cstheme="minorHAnsi"/>
          <w:sz w:val="26"/>
          <w:szCs w:val="26"/>
        </w:rPr>
        <w:t xml:space="preserve"> that on the 19</w:t>
      </w:r>
      <w:r w:rsidRPr="00F70805">
        <w:rPr>
          <w:rFonts w:cstheme="minorHAnsi"/>
          <w:sz w:val="26"/>
          <w:szCs w:val="26"/>
          <w:vertAlign w:val="superscript"/>
        </w:rPr>
        <w:t>th</w:t>
      </w:r>
      <w:r>
        <w:rPr>
          <w:rFonts w:cstheme="minorHAnsi"/>
          <w:sz w:val="26"/>
          <w:szCs w:val="26"/>
        </w:rPr>
        <w:t xml:space="preserve"> day of October 2021 </w:t>
      </w:r>
      <w:bookmarkStart w:id="0" w:name="_Hlk160398922"/>
      <w:proofErr w:type="spellStart"/>
      <w:r w:rsidRPr="00F70805">
        <w:rPr>
          <w:rFonts w:cstheme="minorHAnsi"/>
          <w:sz w:val="26"/>
          <w:szCs w:val="26"/>
        </w:rPr>
        <w:t>Namumanya</w:t>
      </w:r>
      <w:proofErr w:type="spellEnd"/>
      <w:r w:rsidRPr="00F70805">
        <w:rPr>
          <w:rFonts w:cstheme="minorHAnsi"/>
          <w:sz w:val="26"/>
          <w:szCs w:val="26"/>
        </w:rPr>
        <w:t xml:space="preserve"> Allan, </w:t>
      </w:r>
      <w:proofErr w:type="spellStart"/>
      <w:r w:rsidRPr="00F70805">
        <w:rPr>
          <w:rFonts w:cstheme="minorHAnsi"/>
          <w:sz w:val="26"/>
          <w:szCs w:val="26"/>
        </w:rPr>
        <w:t>Tuhairwe</w:t>
      </w:r>
      <w:proofErr w:type="spellEnd"/>
      <w:r w:rsidRPr="00F70805">
        <w:rPr>
          <w:rFonts w:cstheme="minorHAnsi"/>
          <w:sz w:val="26"/>
          <w:szCs w:val="26"/>
        </w:rPr>
        <w:t xml:space="preserve"> Brian alias </w:t>
      </w:r>
      <w:proofErr w:type="spellStart"/>
      <w:r w:rsidRPr="00F70805">
        <w:rPr>
          <w:rFonts w:cstheme="minorHAnsi"/>
          <w:sz w:val="26"/>
          <w:szCs w:val="26"/>
        </w:rPr>
        <w:t>Dogo</w:t>
      </w:r>
      <w:proofErr w:type="spellEnd"/>
      <w:r w:rsidRPr="00F70805">
        <w:rPr>
          <w:rFonts w:cstheme="minorHAnsi"/>
          <w:sz w:val="26"/>
          <w:szCs w:val="26"/>
        </w:rPr>
        <w:t xml:space="preserve"> and </w:t>
      </w:r>
      <w:proofErr w:type="spellStart"/>
      <w:r w:rsidRPr="00F70805">
        <w:rPr>
          <w:rFonts w:cstheme="minorHAnsi"/>
          <w:sz w:val="26"/>
          <w:szCs w:val="26"/>
        </w:rPr>
        <w:t>Tukugizi</w:t>
      </w:r>
      <w:r w:rsidR="0036289A">
        <w:rPr>
          <w:rFonts w:cstheme="minorHAnsi"/>
          <w:sz w:val="26"/>
          <w:szCs w:val="26"/>
        </w:rPr>
        <w:t>bwe</w:t>
      </w:r>
      <w:proofErr w:type="spellEnd"/>
      <w:r w:rsidRPr="00F70805">
        <w:rPr>
          <w:rFonts w:cstheme="minorHAnsi"/>
          <w:sz w:val="26"/>
          <w:szCs w:val="26"/>
        </w:rPr>
        <w:t xml:space="preserve"> Jonathan alias </w:t>
      </w:r>
      <w:proofErr w:type="spellStart"/>
      <w:r w:rsidRPr="00F70805">
        <w:rPr>
          <w:rFonts w:cstheme="minorHAnsi"/>
          <w:sz w:val="26"/>
          <w:szCs w:val="26"/>
        </w:rPr>
        <w:t>Tedid</w:t>
      </w:r>
      <w:r>
        <w:rPr>
          <w:rFonts w:cstheme="minorHAnsi"/>
          <w:sz w:val="26"/>
          <w:szCs w:val="26"/>
        </w:rPr>
        <w:t>e</w:t>
      </w:r>
      <w:bookmarkEnd w:id="0"/>
      <w:proofErr w:type="spellEnd"/>
      <w:r w:rsidRPr="00F70805">
        <w:rPr>
          <w:rFonts w:cstheme="minorHAnsi"/>
          <w:sz w:val="26"/>
          <w:szCs w:val="26"/>
        </w:rPr>
        <w:t xml:space="preserve"> unlawfully killed </w:t>
      </w:r>
      <w:proofErr w:type="spellStart"/>
      <w:r w:rsidRPr="00F70805">
        <w:rPr>
          <w:rFonts w:cstheme="minorHAnsi"/>
          <w:sz w:val="26"/>
          <w:szCs w:val="26"/>
        </w:rPr>
        <w:t>Kasangaki</w:t>
      </w:r>
      <w:proofErr w:type="spellEnd"/>
      <w:r w:rsidRPr="00F70805">
        <w:rPr>
          <w:rFonts w:cstheme="minorHAnsi"/>
          <w:sz w:val="26"/>
          <w:szCs w:val="26"/>
        </w:rPr>
        <w:t xml:space="preserve"> Wilson</w:t>
      </w:r>
      <w:r>
        <w:rPr>
          <w:rFonts w:cstheme="minorHAnsi"/>
          <w:sz w:val="26"/>
          <w:szCs w:val="26"/>
        </w:rPr>
        <w:t xml:space="preserve"> with malice aforethought </w:t>
      </w:r>
      <w:bookmarkStart w:id="1" w:name="_Hlk160399028"/>
      <w:r w:rsidR="00D818A9">
        <w:rPr>
          <w:rFonts w:cstheme="minorHAnsi"/>
          <w:sz w:val="26"/>
          <w:szCs w:val="26"/>
        </w:rPr>
        <w:t xml:space="preserve">in </w:t>
      </w:r>
      <w:r w:rsidRPr="00F70805">
        <w:rPr>
          <w:rFonts w:cstheme="minorHAnsi"/>
          <w:sz w:val="26"/>
          <w:szCs w:val="26"/>
        </w:rPr>
        <w:t>Kibale National Park</w:t>
      </w:r>
      <w:r w:rsidR="00D818A9">
        <w:rPr>
          <w:rFonts w:cstheme="minorHAnsi"/>
          <w:sz w:val="26"/>
          <w:szCs w:val="26"/>
        </w:rPr>
        <w:t xml:space="preserve"> at </w:t>
      </w:r>
      <w:proofErr w:type="spellStart"/>
      <w:r w:rsidR="00D818A9">
        <w:rPr>
          <w:rFonts w:cstheme="minorHAnsi"/>
          <w:sz w:val="26"/>
          <w:szCs w:val="26"/>
        </w:rPr>
        <w:t>Sebitole</w:t>
      </w:r>
      <w:proofErr w:type="spellEnd"/>
      <w:r w:rsidR="00D818A9">
        <w:rPr>
          <w:rFonts w:cstheme="minorHAnsi"/>
          <w:sz w:val="26"/>
          <w:szCs w:val="26"/>
        </w:rPr>
        <w:t xml:space="preserve"> in</w:t>
      </w:r>
      <w:r w:rsidRPr="00F70805">
        <w:rPr>
          <w:rFonts w:cstheme="minorHAnsi"/>
          <w:sz w:val="26"/>
          <w:szCs w:val="26"/>
        </w:rPr>
        <w:t xml:space="preserve"> </w:t>
      </w:r>
      <w:proofErr w:type="spellStart"/>
      <w:r w:rsidRPr="00F70805">
        <w:rPr>
          <w:rFonts w:cstheme="minorHAnsi"/>
          <w:sz w:val="26"/>
          <w:szCs w:val="26"/>
        </w:rPr>
        <w:t>Kabarole</w:t>
      </w:r>
      <w:proofErr w:type="spellEnd"/>
      <w:r w:rsidRPr="00F70805">
        <w:rPr>
          <w:rFonts w:cstheme="minorHAnsi"/>
          <w:sz w:val="26"/>
          <w:szCs w:val="26"/>
        </w:rPr>
        <w:t xml:space="preserve"> District</w:t>
      </w:r>
      <w:bookmarkEnd w:id="1"/>
      <w:r w:rsidRPr="00F70805">
        <w:rPr>
          <w:rFonts w:cstheme="minorHAnsi"/>
          <w:sz w:val="26"/>
          <w:szCs w:val="26"/>
        </w:rPr>
        <w:t xml:space="preserve">. </w:t>
      </w:r>
    </w:p>
    <w:p w14:paraId="48E788FC" w14:textId="77777777" w:rsidR="00D818A9" w:rsidRDefault="00D818A9" w:rsidP="00A71F04">
      <w:pPr>
        <w:spacing w:after="100" w:afterAutospacing="1" w:line="360" w:lineRule="auto"/>
        <w:jc w:val="both"/>
        <w:rPr>
          <w:rFonts w:cstheme="minorHAnsi"/>
          <w:b/>
          <w:sz w:val="26"/>
          <w:szCs w:val="26"/>
        </w:rPr>
      </w:pPr>
      <w:r>
        <w:rPr>
          <w:rFonts w:cstheme="minorHAnsi"/>
          <w:sz w:val="26"/>
          <w:szCs w:val="26"/>
        </w:rPr>
        <w:t xml:space="preserve">The indictment in </w:t>
      </w:r>
      <w:r w:rsidRPr="00D92931">
        <w:rPr>
          <w:rFonts w:cstheme="minorHAnsi"/>
          <w:b/>
          <w:bCs/>
          <w:sz w:val="26"/>
          <w:szCs w:val="26"/>
        </w:rPr>
        <w:t>Count 2</w:t>
      </w:r>
      <w:r>
        <w:rPr>
          <w:rFonts w:cstheme="minorHAnsi"/>
          <w:sz w:val="26"/>
          <w:szCs w:val="26"/>
        </w:rPr>
        <w:t xml:space="preserve"> of this case is that of </w:t>
      </w:r>
      <w:r w:rsidRPr="00D92931">
        <w:rPr>
          <w:rFonts w:cstheme="minorHAnsi"/>
          <w:b/>
          <w:bCs/>
          <w:sz w:val="26"/>
          <w:szCs w:val="26"/>
          <w:lang w:val="en-GB"/>
        </w:rPr>
        <w:t>Aggravated Robbery contrary to Sections 285 and 286 of the Penal Code Act</w:t>
      </w:r>
      <w:r w:rsidRPr="00F70805">
        <w:rPr>
          <w:rFonts w:cstheme="minorHAnsi"/>
          <w:sz w:val="26"/>
          <w:szCs w:val="26"/>
          <w:lang w:val="en-GB"/>
        </w:rPr>
        <w:t>.</w:t>
      </w:r>
      <w:r w:rsidRPr="00F70805">
        <w:rPr>
          <w:rFonts w:cstheme="minorHAnsi"/>
          <w:b/>
          <w:sz w:val="26"/>
          <w:szCs w:val="26"/>
        </w:rPr>
        <w:t xml:space="preserve"> </w:t>
      </w:r>
    </w:p>
    <w:p w14:paraId="267147F5" w14:textId="77777777" w:rsidR="00D818A9" w:rsidRDefault="00D818A9" w:rsidP="00A71F04">
      <w:pPr>
        <w:spacing w:after="100" w:afterAutospacing="1" w:line="360" w:lineRule="auto"/>
        <w:jc w:val="both"/>
        <w:rPr>
          <w:rFonts w:cstheme="minorHAnsi"/>
          <w:b/>
          <w:sz w:val="26"/>
          <w:szCs w:val="26"/>
        </w:rPr>
      </w:pPr>
    </w:p>
    <w:p w14:paraId="2557C47B" w14:textId="034AE765" w:rsidR="00D818A9" w:rsidRDefault="00D818A9" w:rsidP="00A71F04">
      <w:pPr>
        <w:spacing w:after="100" w:afterAutospacing="1" w:line="360" w:lineRule="auto"/>
        <w:jc w:val="both"/>
        <w:rPr>
          <w:rFonts w:cstheme="minorHAnsi"/>
          <w:sz w:val="26"/>
          <w:szCs w:val="26"/>
        </w:rPr>
      </w:pPr>
      <w:r w:rsidRPr="00F70805">
        <w:rPr>
          <w:rFonts w:cstheme="minorHAnsi"/>
          <w:sz w:val="26"/>
          <w:szCs w:val="26"/>
        </w:rPr>
        <w:t>It is alleged by prosecution</w:t>
      </w:r>
      <w:r w:rsidRPr="00F70805">
        <w:rPr>
          <w:rFonts w:cstheme="minorHAnsi"/>
          <w:b/>
          <w:sz w:val="26"/>
          <w:szCs w:val="26"/>
        </w:rPr>
        <w:t xml:space="preserve"> </w:t>
      </w:r>
      <w:r w:rsidRPr="00F70805">
        <w:rPr>
          <w:rFonts w:cstheme="minorHAnsi"/>
          <w:sz w:val="26"/>
          <w:szCs w:val="26"/>
        </w:rPr>
        <w:t>that on the 19</w:t>
      </w:r>
      <w:r w:rsidRPr="00F70805">
        <w:rPr>
          <w:rFonts w:cstheme="minorHAnsi"/>
          <w:sz w:val="26"/>
          <w:szCs w:val="26"/>
          <w:vertAlign w:val="superscript"/>
        </w:rPr>
        <w:t>th</w:t>
      </w:r>
      <w:r w:rsidRPr="00F70805">
        <w:rPr>
          <w:rFonts w:cstheme="minorHAnsi"/>
          <w:sz w:val="26"/>
          <w:szCs w:val="26"/>
        </w:rPr>
        <w:t xml:space="preserve"> day of October 2021 </w:t>
      </w:r>
      <w:proofErr w:type="spellStart"/>
      <w:r w:rsidRPr="00F70805">
        <w:rPr>
          <w:rFonts w:cstheme="minorHAnsi"/>
          <w:sz w:val="26"/>
          <w:szCs w:val="26"/>
        </w:rPr>
        <w:t>Namumanya</w:t>
      </w:r>
      <w:proofErr w:type="spellEnd"/>
      <w:r w:rsidRPr="00F70805">
        <w:rPr>
          <w:rFonts w:cstheme="minorHAnsi"/>
          <w:sz w:val="26"/>
          <w:szCs w:val="26"/>
        </w:rPr>
        <w:t xml:space="preserve"> Allan, </w:t>
      </w:r>
      <w:proofErr w:type="spellStart"/>
      <w:r w:rsidRPr="00F70805">
        <w:rPr>
          <w:rFonts w:cstheme="minorHAnsi"/>
          <w:sz w:val="26"/>
          <w:szCs w:val="26"/>
        </w:rPr>
        <w:t>Tuhairwe</w:t>
      </w:r>
      <w:proofErr w:type="spellEnd"/>
      <w:r w:rsidRPr="00F70805">
        <w:rPr>
          <w:rFonts w:cstheme="minorHAnsi"/>
          <w:sz w:val="26"/>
          <w:szCs w:val="26"/>
        </w:rPr>
        <w:t xml:space="preserve"> Brian alias </w:t>
      </w:r>
      <w:proofErr w:type="spellStart"/>
      <w:r w:rsidRPr="00F70805">
        <w:rPr>
          <w:rFonts w:cstheme="minorHAnsi"/>
          <w:sz w:val="26"/>
          <w:szCs w:val="26"/>
        </w:rPr>
        <w:t>Dogo</w:t>
      </w:r>
      <w:proofErr w:type="spellEnd"/>
      <w:r w:rsidRPr="00F70805">
        <w:rPr>
          <w:rFonts w:cstheme="minorHAnsi"/>
          <w:sz w:val="26"/>
          <w:szCs w:val="26"/>
        </w:rPr>
        <w:t xml:space="preserve"> and </w:t>
      </w:r>
      <w:proofErr w:type="spellStart"/>
      <w:r w:rsidRPr="00F70805">
        <w:rPr>
          <w:rFonts w:cstheme="minorHAnsi"/>
          <w:sz w:val="26"/>
          <w:szCs w:val="26"/>
        </w:rPr>
        <w:t>Tukugizi</w:t>
      </w:r>
      <w:r w:rsidR="0036289A">
        <w:rPr>
          <w:rFonts w:cstheme="minorHAnsi"/>
          <w:sz w:val="26"/>
          <w:szCs w:val="26"/>
        </w:rPr>
        <w:t>bwe</w:t>
      </w:r>
      <w:proofErr w:type="spellEnd"/>
      <w:r w:rsidRPr="00F70805">
        <w:rPr>
          <w:rFonts w:cstheme="minorHAnsi"/>
          <w:sz w:val="26"/>
          <w:szCs w:val="26"/>
        </w:rPr>
        <w:t xml:space="preserve"> Jonathan alias </w:t>
      </w:r>
      <w:proofErr w:type="spellStart"/>
      <w:r w:rsidRPr="00F70805">
        <w:rPr>
          <w:rFonts w:cstheme="minorHAnsi"/>
          <w:sz w:val="26"/>
          <w:szCs w:val="26"/>
        </w:rPr>
        <w:t>Tedid</w:t>
      </w:r>
      <w:r>
        <w:rPr>
          <w:rFonts w:cstheme="minorHAnsi"/>
          <w:sz w:val="26"/>
          <w:szCs w:val="26"/>
        </w:rPr>
        <w:t>e</w:t>
      </w:r>
      <w:proofErr w:type="spellEnd"/>
      <w:r w:rsidRPr="00F70805">
        <w:rPr>
          <w:rFonts w:cstheme="minorHAnsi"/>
          <w:sz w:val="26"/>
          <w:szCs w:val="26"/>
        </w:rPr>
        <w:t xml:space="preserve"> robbed </w:t>
      </w:r>
      <w:proofErr w:type="spellStart"/>
      <w:r w:rsidRPr="00F70805">
        <w:rPr>
          <w:rFonts w:cstheme="minorHAnsi"/>
          <w:sz w:val="26"/>
          <w:szCs w:val="26"/>
        </w:rPr>
        <w:t>Kasangaki</w:t>
      </w:r>
      <w:proofErr w:type="spellEnd"/>
      <w:r w:rsidRPr="00F70805">
        <w:rPr>
          <w:rFonts w:cstheme="minorHAnsi"/>
          <w:sz w:val="26"/>
          <w:szCs w:val="26"/>
        </w:rPr>
        <w:t xml:space="preserve"> Wilson of Motor Bajaj Boxer Reg</w:t>
      </w:r>
      <w:r>
        <w:rPr>
          <w:rFonts w:cstheme="minorHAnsi"/>
          <w:sz w:val="26"/>
          <w:szCs w:val="26"/>
        </w:rPr>
        <w:t>istration No.</w:t>
      </w:r>
      <w:r w:rsidRPr="00F70805">
        <w:rPr>
          <w:rFonts w:cstheme="minorHAnsi"/>
          <w:sz w:val="26"/>
          <w:szCs w:val="26"/>
        </w:rPr>
        <w:t xml:space="preserve"> UFH 511L valued at </w:t>
      </w:r>
      <w:r>
        <w:rPr>
          <w:rFonts w:cstheme="minorHAnsi"/>
          <w:sz w:val="26"/>
          <w:szCs w:val="26"/>
        </w:rPr>
        <w:t>UGX</w:t>
      </w:r>
      <w:r w:rsidRPr="00F70805">
        <w:rPr>
          <w:rFonts w:cstheme="minorHAnsi"/>
          <w:sz w:val="26"/>
          <w:szCs w:val="26"/>
        </w:rPr>
        <w:t xml:space="preserve"> 5,050,000</w:t>
      </w:r>
      <w:r>
        <w:rPr>
          <w:rFonts w:cstheme="minorHAnsi"/>
          <w:sz w:val="26"/>
          <w:szCs w:val="26"/>
        </w:rPr>
        <w:t xml:space="preserve"> </w:t>
      </w:r>
      <w:r w:rsidRPr="00F70805">
        <w:rPr>
          <w:rFonts w:cstheme="minorHAnsi"/>
          <w:sz w:val="26"/>
          <w:szCs w:val="26"/>
        </w:rPr>
        <w:t>(Five Million Fifty Thousand Shillings)</w:t>
      </w:r>
      <w:r w:rsidRPr="00D818A9">
        <w:rPr>
          <w:rFonts w:cstheme="minorHAnsi"/>
          <w:sz w:val="26"/>
          <w:szCs w:val="26"/>
        </w:rPr>
        <w:t xml:space="preserve"> </w:t>
      </w:r>
      <w:r>
        <w:rPr>
          <w:rFonts w:cstheme="minorHAnsi"/>
          <w:sz w:val="26"/>
          <w:szCs w:val="26"/>
        </w:rPr>
        <w:t xml:space="preserve">in </w:t>
      </w:r>
      <w:r w:rsidRPr="00F70805">
        <w:rPr>
          <w:rFonts w:cstheme="minorHAnsi"/>
          <w:sz w:val="26"/>
          <w:szCs w:val="26"/>
        </w:rPr>
        <w:t>Kibale National Park</w:t>
      </w:r>
      <w:r>
        <w:rPr>
          <w:rFonts w:cstheme="minorHAnsi"/>
          <w:sz w:val="26"/>
          <w:szCs w:val="26"/>
        </w:rPr>
        <w:t xml:space="preserve"> at </w:t>
      </w:r>
      <w:proofErr w:type="spellStart"/>
      <w:r>
        <w:rPr>
          <w:rFonts w:cstheme="minorHAnsi"/>
          <w:sz w:val="26"/>
          <w:szCs w:val="26"/>
        </w:rPr>
        <w:t>Sebitole</w:t>
      </w:r>
      <w:proofErr w:type="spellEnd"/>
      <w:r>
        <w:rPr>
          <w:rFonts w:cstheme="minorHAnsi"/>
          <w:sz w:val="26"/>
          <w:szCs w:val="26"/>
        </w:rPr>
        <w:t xml:space="preserve"> in</w:t>
      </w:r>
      <w:r w:rsidRPr="00F70805">
        <w:rPr>
          <w:rFonts w:cstheme="minorHAnsi"/>
          <w:sz w:val="26"/>
          <w:szCs w:val="26"/>
        </w:rPr>
        <w:t xml:space="preserve"> </w:t>
      </w:r>
      <w:proofErr w:type="spellStart"/>
      <w:r w:rsidRPr="00F70805">
        <w:rPr>
          <w:rFonts w:cstheme="minorHAnsi"/>
          <w:sz w:val="26"/>
          <w:szCs w:val="26"/>
        </w:rPr>
        <w:t>Kabarole</w:t>
      </w:r>
      <w:proofErr w:type="spellEnd"/>
      <w:r w:rsidRPr="00F70805">
        <w:rPr>
          <w:rFonts w:cstheme="minorHAnsi"/>
          <w:sz w:val="26"/>
          <w:szCs w:val="26"/>
        </w:rPr>
        <w:t xml:space="preserve"> District and </w:t>
      </w:r>
      <w:r>
        <w:rPr>
          <w:rFonts w:cstheme="minorHAnsi"/>
          <w:sz w:val="26"/>
          <w:szCs w:val="26"/>
        </w:rPr>
        <w:t>that</w:t>
      </w:r>
      <w:r w:rsidRPr="00F70805">
        <w:rPr>
          <w:rFonts w:cstheme="minorHAnsi"/>
          <w:sz w:val="26"/>
          <w:szCs w:val="26"/>
        </w:rPr>
        <w:t xml:space="preserve"> before or immediately after the said robbery caused the death of </w:t>
      </w:r>
      <w:proofErr w:type="spellStart"/>
      <w:r w:rsidRPr="00F70805">
        <w:rPr>
          <w:rFonts w:cstheme="minorHAnsi"/>
          <w:sz w:val="26"/>
          <w:szCs w:val="26"/>
        </w:rPr>
        <w:t>Kasangaki</w:t>
      </w:r>
      <w:proofErr w:type="spellEnd"/>
      <w:r w:rsidRPr="00F70805">
        <w:rPr>
          <w:rFonts w:cstheme="minorHAnsi"/>
          <w:sz w:val="26"/>
          <w:szCs w:val="26"/>
        </w:rPr>
        <w:t xml:space="preserve"> Wilson.</w:t>
      </w:r>
    </w:p>
    <w:p w14:paraId="6B9BB6F9" w14:textId="09D59D3D" w:rsidR="00FE7638" w:rsidRDefault="00FE7638" w:rsidP="00A71F04">
      <w:pPr>
        <w:spacing w:after="100" w:afterAutospacing="1" w:line="360" w:lineRule="auto"/>
        <w:jc w:val="both"/>
        <w:rPr>
          <w:rFonts w:cstheme="minorHAnsi"/>
          <w:sz w:val="26"/>
          <w:szCs w:val="26"/>
        </w:rPr>
      </w:pPr>
      <w:r>
        <w:rPr>
          <w:rFonts w:cstheme="minorHAnsi"/>
          <w:sz w:val="26"/>
          <w:szCs w:val="26"/>
        </w:rPr>
        <w:t>The Prosecution’s case in brief is that on the 19</w:t>
      </w:r>
      <w:r w:rsidRPr="00FE7638">
        <w:rPr>
          <w:rFonts w:cstheme="minorHAnsi"/>
          <w:sz w:val="26"/>
          <w:szCs w:val="26"/>
          <w:vertAlign w:val="superscript"/>
        </w:rPr>
        <w:t>th</w:t>
      </w:r>
      <w:r>
        <w:rPr>
          <w:rFonts w:cstheme="minorHAnsi"/>
          <w:sz w:val="26"/>
          <w:szCs w:val="26"/>
        </w:rPr>
        <w:t xml:space="preserve"> day of October 2021, the deceased one </w:t>
      </w:r>
      <w:proofErr w:type="spellStart"/>
      <w:r>
        <w:rPr>
          <w:rFonts w:cstheme="minorHAnsi"/>
          <w:sz w:val="26"/>
          <w:szCs w:val="26"/>
        </w:rPr>
        <w:t>Kasangaki</w:t>
      </w:r>
      <w:proofErr w:type="spellEnd"/>
      <w:r>
        <w:rPr>
          <w:rFonts w:cstheme="minorHAnsi"/>
          <w:sz w:val="26"/>
          <w:szCs w:val="26"/>
        </w:rPr>
        <w:t xml:space="preserve"> Wilson went to work as a </w:t>
      </w:r>
      <w:proofErr w:type="spellStart"/>
      <w:r>
        <w:rPr>
          <w:rFonts w:cstheme="minorHAnsi"/>
          <w:sz w:val="26"/>
          <w:szCs w:val="26"/>
        </w:rPr>
        <w:t>boda</w:t>
      </w:r>
      <w:proofErr w:type="spellEnd"/>
      <w:r>
        <w:rPr>
          <w:rFonts w:cstheme="minorHAnsi"/>
          <w:sz w:val="26"/>
          <w:szCs w:val="26"/>
        </w:rPr>
        <w:t xml:space="preserve"> </w:t>
      </w:r>
      <w:proofErr w:type="spellStart"/>
      <w:r>
        <w:rPr>
          <w:rFonts w:cstheme="minorHAnsi"/>
          <w:sz w:val="26"/>
          <w:szCs w:val="26"/>
        </w:rPr>
        <w:t>boda</w:t>
      </w:r>
      <w:proofErr w:type="spellEnd"/>
      <w:r>
        <w:rPr>
          <w:rFonts w:cstheme="minorHAnsi"/>
          <w:sz w:val="26"/>
          <w:szCs w:val="26"/>
        </w:rPr>
        <w:t xml:space="preserve"> rider on his motorcycle Reg. No. UFG 511L. At about 8AM the Accused persons </w:t>
      </w:r>
      <w:r w:rsidR="00C73E81">
        <w:rPr>
          <w:rFonts w:cstheme="minorHAnsi"/>
          <w:sz w:val="26"/>
          <w:szCs w:val="26"/>
        </w:rPr>
        <w:t xml:space="preserve">Allan </w:t>
      </w:r>
      <w:proofErr w:type="spellStart"/>
      <w:r w:rsidR="00C73E81">
        <w:rPr>
          <w:rFonts w:cstheme="minorHAnsi"/>
          <w:sz w:val="26"/>
          <w:szCs w:val="26"/>
        </w:rPr>
        <w:t>Namumanya</w:t>
      </w:r>
      <w:proofErr w:type="spellEnd"/>
      <w:r w:rsidR="00C73E81">
        <w:rPr>
          <w:rFonts w:cstheme="minorHAnsi"/>
          <w:sz w:val="26"/>
          <w:szCs w:val="26"/>
        </w:rPr>
        <w:t xml:space="preserve"> A1, Brian </w:t>
      </w:r>
      <w:proofErr w:type="spellStart"/>
      <w:r w:rsidR="00C73E81">
        <w:rPr>
          <w:rFonts w:cstheme="minorHAnsi"/>
          <w:sz w:val="26"/>
          <w:szCs w:val="26"/>
        </w:rPr>
        <w:t>Tuhairwe</w:t>
      </w:r>
      <w:proofErr w:type="spellEnd"/>
      <w:r w:rsidR="00C73E81">
        <w:rPr>
          <w:rFonts w:cstheme="minorHAnsi"/>
          <w:sz w:val="26"/>
          <w:szCs w:val="26"/>
        </w:rPr>
        <w:t xml:space="preserve"> A2 and Jonathan </w:t>
      </w:r>
      <w:proofErr w:type="spellStart"/>
      <w:r w:rsidR="00C73E81">
        <w:rPr>
          <w:rFonts w:cstheme="minorHAnsi"/>
          <w:sz w:val="26"/>
          <w:szCs w:val="26"/>
        </w:rPr>
        <w:t>Tukugizibwe</w:t>
      </w:r>
      <w:proofErr w:type="spellEnd"/>
      <w:r w:rsidR="00C73E81">
        <w:rPr>
          <w:rFonts w:cstheme="minorHAnsi"/>
          <w:sz w:val="26"/>
          <w:szCs w:val="26"/>
        </w:rPr>
        <w:t xml:space="preserve"> A3 approached the deceased to negotiate for his services. The deceased </w:t>
      </w:r>
      <w:proofErr w:type="gramStart"/>
      <w:r w:rsidR="00C73E81">
        <w:rPr>
          <w:rFonts w:cstheme="minorHAnsi"/>
          <w:sz w:val="26"/>
          <w:szCs w:val="26"/>
        </w:rPr>
        <w:t>was seen</w:t>
      </w:r>
      <w:proofErr w:type="gramEnd"/>
      <w:r w:rsidR="00C73E81">
        <w:rPr>
          <w:rFonts w:cstheme="minorHAnsi"/>
          <w:sz w:val="26"/>
          <w:szCs w:val="26"/>
        </w:rPr>
        <w:t xml:space="preserve"> leaving with A2 and A3 while A1 remained behind. The deceased </w:t>
      </w:r>
      <w:proofErr w:type="gramStart"/>
      <w:r w:rsidR="00C73E81">
        <w:rPr>
          <w:rFonts w:cstheme="minorHAnsi"/>
          <w:sz w:val="26"/>
          <w:szCs w:val="26"/>
        </w:rPr>
        <w:t>was never seen</w:t>
      </w:r>
      <w:proofErr w:type="gramEnd"/>
      <w:r w:rsidR="00C73E81">
        <w:rPr>
          <w:rFonts w:cstheme="minorHAnsi"/>
          <w:sz w:val="26"/>
          <w:szCs w:val="26"/>
        </w:rPr>
        <w:t xml:space="preserve"> alive from that point.</w:t>
      </w:r>
    </w:p>
    <w:p w14:paraId="62FDDB9D" w14:textId="2EA32F0F" w:rsidR="00C73E81" w:rsidRDefault="00C73E81" w:rsidP="00A71F04">
      <w:pPr>
        <w:spacing w:after="100" w:afterAutospacing="1" w:line="360" w:lineRule="auto"/>
        <w:jc w:val="both"/>
        <w:rPr>
          <w:rFonts w:cstheme="minorHAnsi"/>
          <w:sz w:val="26"/>
          <w:szCs w:val="26"/>
        </w:rPr>
      </w:pPr>
      <w:r>
        <w:rPr>
          <w:rFonts w:cstheme="minorHAnsi"/>
          <w:sz w:val="26"/>
          <w:szCs w:val="26"/>
        </w:rPr>
        <w:t xml:space="preserve">Game Rangers in </w:t>
      </w:r>
      <w:proofErr w:type="spellStart"/>
      <w:r>
        <w:rPr>
          <w:rFonts w:cstheme="minorHAnsi"/>
          <w:sz w:val="26"/>
          <w:szCs w:val="26"/>
        </w:rPr>
        <w:t>Sebitoli</w:t>
      </w:r>
      <w:proofErr w:type="spellEnd"/>
      <w:r>
        <w:rPr>
          <w:rFonts w:cstheme="minorHAnsi"/>
          <w:sz w:val="26"/>
          <w:szCs w:val="26"/>
        </w:rPr>
        <w:t xml:space="preserve"> National </w:t>
      </w:r>
      <w:proofErr w:type="spellStart"/>
      <w:r>
        <w:rPr>
          <w:rFonts w:cstheme="minorHAnsi"/>
          <w:sz w:val="26"/>
          <w:szCs w:val="26"/>
        </w:rPr>
        <w:t>Parkon</w:t>
      </w:r>
      <w:proofErr w:type="spellEnd"/>
      <w:r>
        <w:rPr>
          <w:rFonts w:cstheme="minorHAnsi"/>
          <w:sz w:val="26"/>
          <w:szCs w:val="26"/>
        </w:rPr>
        <w:t xml:space="preserve"> 27th then found the deceased’s body October 2021. The decomposing body </w:t>
      </w:r>
      <w:proofErr w:type="gramStart"/>
      <w:r>
        <w:rPr>
          <w:rFonts w:cstheme="minorHAnsi"/>
          <w:sz w:val="26"/>
          <w:szCs w:val="26"/>
        </w:rPr>
        <w:t>was taken</w:t>
      </w:r>
      <w:proofErr w:type="gramEnd"/>
      <w:r>
        <w:rPr>
          <w:rFonts w:cstheme="minorHAnsi"/>
          <w:sz w:val="26"/>
          <w:szCs w:val="26"/>
        </w:rPr>
        <w:t xml:space="preserve"> for post mortem dressed in a white jacket, black faded jeans, and black gumboots with white stockings. The body also had a penetrating wound at the right side of the neck and cause of death was determined to be sharp force trauma. </w:t>
      </w:r>
    </w:p>
    <w:p w14:paraId="45510CBE" w14:textId="579E2ADC" w:rsidR="00C73E81" w:rsidRDefault="00C73E81" w:rsidP="00A71F04">
      <w:pPr>
        <w:spacing w:after="100" w:afterAutospacing="1" w:line="360" w:lineRule="auto"/>
        <w:jc w:val="both"/>
        <w:rPr>
          <w:rFonts w:cstheme="minorHAnsi"/>
          <w:sz w:val="26"/>
          <w:szCs w:val="26"/>
        </w:rPr>
      </w:pPr>
      <w:r>
        <w:rPr>
          <w:rFonts w:cstheme="minorHAnsi"/>
          <w:sz w:val="26"/>
          <w:szCs w:val="26"/>
        </w:rPr>
        <w:t xml:space="preserve">On </w:t>
      </w:r>
      <w:proofErr w:type="gramStart"/>
      <w:r>
        <w:rPr>
          <w:rFonts w:cstheme="minorHAnsi"/>
          <w:sz w:val="26"/>
          <w:szCs w:val="26"/>
        </w:rPr>
        <w:t>28</w:t>
      </w:r>
      <w:r w:rsidRPr="00C73E81">
        <w:rPr>
          <w:rFonts w:cstheme="minorHAnsi"/>
          <w:sz w:val="26"/>
          <w:szCs w:val="26"/>
          <w:vertAlign w:val="superscript"/>
        </w:rPr>
        <w:t>th</w:t>
      </w:r>
      <w:proofErr w:type="gramEnd"/>
      <w:r>
        <w:rPr>
          <w:rFonts w:cstheme="minorHAnsi"/>
          <w:sz w:val="26"/>
          <w:szCs w:val="26"/>
        </w:rPr>
        <w:t xml:space="preserve"> October 2021 A1 was seen around </w:t>
      </w:r>
      <w:proofErr w:type="spellStart"/>
      <w:r>
        <w:rPr>
          <w:rFonts w:cstheme="minorHAnsi"/>
          <w:sz w:val="26"/>
          <w:szCs w:val="26"/>
        </w:rPr>
        <w:t>Harugongo</w:t>
      </w:r>
      <w:proofErr w:type="spellEnd"/>
      <w:r>
        <w:rPr>
          <w:rFonts w:cstheme="minorHAnsi"/>
          <w:sz w:val="26"/>
          <w:szCs w:val="26"/>
        </w:rPr>
        <w:t xml:space="preserve"> and arrested by a </w:t>
      </w:r>
      <w:proofErr w:type="spellStart"/>
      <w:r>
        <w:rPr>
          <w:rFonts w:cstheme="minorHAnsi"/>
          <w:sz w:val="26"/>
          <w:szCs w:val="26"/>
        </w:rPr>
        <w:t>boda</w:t>
      </w:r>
      <w:proofErr w:type="spellEnd"/>
      <w:r>
        <w:rPr>
          <w:rFonts w:cstheme="minorHAnsi"/>
          <w:sz w:val="26"/>
          <w:szCs w:val="26"/>
        </w:rPr>
        <w:t xml:space="preserve"> </w:t>
      </w:r>
      <w:proofErr w:type="spellStart"/>
      <w:r>
        <w:rPr>
          <w:rFonts w:cstheme="minorHAnsi"/>
          <w:sz w:val="26"/>
          <w:szCs w:val="26"/>
        </w:rPr>
        <w:t>boda</w:t>
      </w:r>
      <w:proofErr w:type="spellEnd"/>
      <w:r>
        <w:rPr>
          <w:rFonts w:cstheme="minorHAnsi"/>
          <w:sz w:val="26"/>
          <w:szCs w:val="26"/>
        </w:rPr>
        <w:t xml:space="preserve"> cyclist. He </w:t>
      </w:r>
      <w:proofErr w:type="gramStart"/>
      <w:r>
        <w:rPr>
          <w:rFonts w:cstheme="minorHAnsi"/>
          <w:sz w:val="26"/>
          <w:szCs w:val="26"/>
        </w:rPr>
        <w:t>was taken</w:t>
      </w:r>
      <w:proofErr w:type="gramEnd"/>
      <w:r>
        <w:rPr>
          <w:rFonts w:cstheme="minorHAnsi"/>
          <w:sz w:val="26"/>
          <w:szCs w:val="26"/>
        </w:rPr>
        <w:t xml:space="preserve"> to police where he was subsequently picked out of an identification parade. </w:t>
      </w:r>
    </w:p>
    <w:p w14:paraId="69DF20DF" w14:textId="6994931E" w:rsidR="00C73E81" w:rsidRDefault="00C73E81" w:rsidP="00A71F04">
      <w:pPr>
        <w:spacing w:after="100" w:afterAutospacing="1" w:line="360" w:lineRule="auto"/>
        <w:jc w:val="both"/>
        <w:rPr>
          <w:rFonts w:cstheme="minorHAnsi"/>
          <w:sz w:val="26"/>
          <w:szCs w:val="26"/>
        </w:rPr>
      </w:pPr>
      <w:r>
        <w:rPr>
          <w:rFonts w:cstheme="minorHAnsi"/>
          <w:sz w:val="26"/>
          <w:szCs w:val="26"/>
        </w:rPr>
        <w:t>On 27</w:t>
      </w:r>
      <w:r w:rsidRPr="00C73E81">
        <w:rPr>
          <w:rFonts w:cstheme="minorHAnsi"/>
          <w:sz w:val="26"/>
          <w:szCs w:val="26"/>
          <w:vertAlign w:val="superscript"/>
        </w:rPr>
        <w:t>th</w:t>
      </w:r>
      <w:r>
        <w:rPr>
          <w:rFonts w:cstheme="minorHAnsi"/>
          <w:sz w:val="26"/>
          <w:szCs w:val="26"/>
        </w:rPr>
        <w:t xml:space="preserve"> July 2022 A2 and A3 were rounded up in a security opera</w:t>
      </w:r>
      <w:r w:rsidR="007A669A">
        <w:rPr>
          <w:rFonts w:cstheme="minorHAnsi"/>
          <w:sz w:val="26"/>
          <w:szCs w:val="26"/>
        </w:rPr>
        <w:t xml:space="preserve">tion in Fort Portal City and </w:t>
      </w:r>
      <w:proofErr w:type="gramStart"/>
      <w:r w:rsidR="007A669A">
        <w:rPr>
          <w:rFonts w:cstheme="minorHAnsi"/>
          <w:sz w:val="26"/>
          <w:szCs w:val="26"/>
        </w:rPr>
        <w:t>were also</w:t>
      </w:r>
      <w:proofErr w:type="gramEnd"/>
      <w:r w:rsidR="007A669A">
        <w:rPr>
          <w:rFonts w:cstheme="minorHAnsi"/>
          <w:sz w:val="26"/>
          <w:szCs w:val="26"/>
        </w:rPr>
        <w:t xml:space="preserve"> picked out of an identification parade as the persons last seen leaving with the deceased.</w:t>
      </w:r>
    </w:p>
    <w:p w14:paraId="03DCE62E" w14:textId="43333404" w:rsidR="007A669A" w:rsidRDefault="007A669A" w:rsidP="00A71F04">
      <w:pPr>
        <w:spacing w:after="100" w:afterAutospacing="1" w:line="360" w:lineRule="auto"/>
        <w:jc w:val="both"/>
        <w:rPr>
          <w:rFonts w:cstheme="minorHAnsi"/>
          <w:sz w:val="26"/>
          <w:szCs w:val="26"/>
        </w:rPr>
      </w:pPr>
      <w:r>
        <w:rPr>
          <w:rFonts w:cstheme="minorHAnsi"/>
          <w:sz w:val="26"/>
          <w:szCs w:val="26"/>
        </w:rPr>
        <w:t xml:space="preserve">All the Accused persons </w:t>
      </w:r>
      <w:proofErr w:type="gramStart"/>
      <w:r>
        <w:rPr>
          <w:rFonts w:cstheme="minorHAnsi"/>
          <w:sz w:val="26"/>
          <w:szCs w:val="26"/>
        </w:rPr>
        <w:t>were charged</w:t>
      </w:r>
      <w:proofErr w:type="gramEnd"/>
      <w:r>
        <w:rPr>
          <w:rFonts w:cstheme="minorHAnsi"/>
          <w:sz w:val="26"/>
          <w:szCs w:val="26"/>
        </w:rPr>
        <w:t xml:space="preserve"> accordingly.</w:t>
      </w:r>
    </w:p>
    <w:p w14:paraId="14D6DEB2" w14:textId="4F7C8D9A" w:rsidR="007A669A" w:rsidRDefault="007A669A" w:rsidP="00A71F04">
      <w:pPr>
        <w:spacing w:after="100" w:afterAutospacing="1" w:line="360" w:lineRule="auto"/>
        <w:jc w:val="both"/>
        <w:rPr>
          <w:rFonts w:cstheme="minorHAnsi"/>
          <w:sz w:val="26"/>
          <w:szCs w:val="26"/>
        </w:rPr>
      </w:pPr>
      <w:r>
        <w:rPr>
          <w:rFonts w:cstheme="minorHAnsi"/>
          <w:sz w:val="26"/>
          <w:szCs w:val="26"/>
        </w:rPr>
        <w:lastRenderedPageBreak/>
        <w:t xml:space="preserve">In this matter the Accused </w:t>
      </w:r>
      <w:proofErr w:type="gramStart"/>
      <w:r>
        <w:rPr>
          <w:rFonts w:cstheme="minorHAnsi"/>
          <w:sz w:val="26"/>
          <w:szCs w:val="26"/>
        </w:rPr>
        <w:t>are charged</w:t>
      </w:r>
      <w:proofErr w:type="gramEnd"/>
      <w:r>
        <w:rPr>
          <w:rFonts w:cstheme="minorHAnsi"/>
          <w:sz w:val="26"/>
          <w:szCs w:val="26"/>
        </w:rPr>
        <w:t xml:space="preserve"> with the offence of Murder and that of Aggravated Robbery.</w:t>
      </w:r>
    </w:p>
    <w:p w14:paraId="785139F6" w14:textId="74E6F65D" w:rsidR="007A669A" w:rsidRPr="00A71F04" w:rsidRDefault="007A669A" w:rsidP="00A71F04">
      <w:pPr>
        <w:spacing w:after="100" w:afterAutospacing="1" w:line="360" w:lineRule="auto"/>
        <w:jc w:val="both"/>
        <w:rPr>
          <w:rFonts w:cstheme="minorHAnsi"/>
          <w:b/>
          <w:sz w:val="26"/>
          <w:szCs w:val="26"/>
          <w:u w:val="single"/>
        </w:rPr>
      </w:pPr>
      <w:r w:rsidRPr="00A71F04">
        <w:rPr>
          <w:rFonts w:cstheme="minorHAnsi"/>
          <w:b/>
          <w:sz w:val="26"/>
          <w:szCs w:val="26"/>
          <w:u w:val="single"/>
        </w:rPr>
        <w:t>EVALUATION OF EVIDENCE:</w:t>
      </w:r>
    </w:p>
    <w:p w14:paraId="470797AB" w14:textId="2E5B26D2" w:rsidR="00F70805" w:rsidRPr="00F70805" w:rsidRDefault="00F70805" w:rsidP="00A71F04">
      <w:pPr>
        <w:spacing w:after="100" w:afterAutospacing="1" w:line="360" w:lineRule="auto"/>
        <w:jc w:val="both"/>
        <w:rPr>
          <w:rFonts w:ascii="Calibri" w:eastAsia="Calibri" w:hAnsi="Calibri" w:cs="Calibri"/>
          <w:color w:val="2C3A49"/>
          <w:sz w:val="26"/>
          <w:szCs w:val="26"/>
          <w:lang w:val="en-GB"/>
        </w:rPr>
      </w:pPr>
      <w:r w:rsidRPr="00F70805">
        <w:rPr>
          <w:rFonts w:ascii="Calibri" w:eastAsia="Calibri" w:hAnsi="Calibri" w:cs="Calibri"/>
          <w:color w:val="2C3A49"/>
          <w:sz w:val="26"/>
          <w:szCs w:val="26"/>
          <w:lang w:val="en-GB"/>
        </w:rPr>
        <w:t>For an accused</w:t>
      </w:r>
      <w:r w:rsidR="007A669A">
        <w:rPr>
          <w:rFonts w:ascii="Calibri" w:eastAsia="Calibri" w:hAnsi="Calibri" w:cs="Calibri"/>
          <w:color w:val="2C3A49"/>
          <w:sz w:val="26"/>
          <w:szCs w:val="26"/>
          <w:lang w:val="en-GB"/>
        </w:rPr>
        <w:t xml:space="preserve"> person</w:t>
      </w:r>
      <w:r w:rsidRPr="00F70805">
        <w:rPr>
          <w:rFonts w:ascii="Calibri" w:eastAsia="Calibri" w:hAnsi="Calibri" w:cs="Calibri"/>
          <w:color w:val="2C3A49"/>
          <w:sz w:val="26"/>
          <w:szCs w:val="26"/>
          <w:lang w:val="en-GB"/>
        </w:rPr>
        <w:t xml:space="preserve"> to </w:t>
      </w:r>
      <w:proofErr w:type="gramStart"/>
      <w:r w:rsidRPr="00F70805">
        <w:rPr>
          <w:rFonts w:ascii="Calibri" w:eastAsia="Calibri" w:hAnsi="Calibri" w:cs="Calibri"/>
          <w:color w:val="2C3A49"/>
          <w:sz w:val="26"/>
          <w:szCs w:val="26"/>
          <w:lang w:val="en-GB"/>
        </w:rPr>
        <w:t>be found</w:t>
      </w:r>
      <w:proofErr w:type="gramEnd"/>
      <w:r w:rsidRPr="00F70805">
        <w:rPr>
          <w:rFonts w:ascii="Calibri" w:eastAsia="Calibri" w:hAnsi="Calibri" w:cs="Calibri"/>
          <w:color w:val="2C3A49"/>
          <w:sz w:val="26"/>
          <w:szCs w:val="26"/>
          <w:lang w:val="en-GB"/>
        </w:rPr>
        <w:t xml:space="preserve"> guilty of the offence of </w:t>
      </w:r>
      <w:r w:rsidRPr="00F70805">
        <w:rPr>
          <w:rFonts w:ascii="Calibri" w:eastAsia="Calibri" w:hAnsi="Calibri" w:cs="Calibri"/>
          <w:b/>
          <w:bCs/>
          <w:color w:val="2C3A49"/>
          <w:sz w:val="26"/>
          <w:szCs w:val="26"/>
          <w:lang w:val="en-GB"/>
        </w:rPr>
        <w:t>Murder</w:t>
      </w:r>
      <w:r w:rsidRPr="00F70805">
        <w:rPr>
          <w:rFonts w:ascii="Calibri" w:eastAsia="Calibri" w:hAnsi="Calibri" w:cs="Calibri"/>
          <w:color w:val="2C3A49"/>
          <w:sz w:val="26"/>
          <w:szCs w:val="26"/>
          <w:lang w:val="en-GB"/>
        </w:rPr>
        <w:t>, the prosecution must prove the following ingredients:</w:t>
      </w:r>
    </w:p>
    <w:p w14:paraId="09524800" w14:textId="77777777" w:rsidR="00F70805" w:rsidRPr="00F70805" w:rsidRDefault="00F70805" w:rsidP="00A71F04">
      <w:pPr>
        <w:numPr>
          <w:ilvl w:val="0"/>
          <w:numId w:val="13"/>
        </w:numPr>
        <w:tabs>
          <w:tab w:val="num" w:pos="720"/>
        </w:tabs>
        <w:spacing w:after="100" w:afterAutospacing="1" w:line="360" w:lineRule="auto"/>
        <w:contextualSpacing/>
        <w:jc w:val="both"/>
        <w:rPr>
          <w:rFonts w:ascii="Calibri" w:eastAsia="Calibri" w:hAnsi="Calibri" w:cs="Calibri"/>
          <w:color w:val="2C3A49"/>
          <w:sz w:val="26"/>
          <w:szCs w:val="26"/>
          <w:lang w:val="en-GB"/>
        </w:rPr>
      </w:pPr>
      <w:r w:rsidRPr="00F70805">
        <w:rPr>
          <w:rFonts w:ascii="Calibri" w:eastAsia="Calibri" w:hAnsi="Calibri" w:cs="Calibri"/>
          <w:color w:val="2C3A49"/>
          <w:sz w:val="26"/>
          <w:szCs w:val="26"/>
          <w:lang w:val="en-GB"/>
        </w:rPr>
        <w:t>That the death of a human being occurred;</w:t>
      </w:r>
    </w:p>
    <w:p w14:paraId="34A0E96A" w14:textId="77777777" w:rsidR="00F70805" w:rsidRPr="00F70805" w:rsidRDefault="00F70805" w:rsidP="00A71F04">
      <w:pPr>
        <w:numPr>
          <w:ilvl w:val="0"/>
          <w:numId w:val="13"/>
        </w:numPr>
        <w:tabs>
          <w:tab w:val="num" w:pos="720"/>
        </w:tabs>
        <w:spacing w:after="100" w:afterAutospacing="1" w:line="360" w:lineRule="auto"/>
        <w:contextualSpacing/>
        <w:jc w:val="both"/>
        <w:rPr>
          <w:rFonts w:ascii="Calibri" w:eastAsia="Calibri" w:hAnsi="Calibri" w:cs="Calibri"/>
          <w:color w:val="2C3A49"/>
          <w:sz w:val="26"/>
          <w:szCs w:val="26"/>
          <w:lang w:val="en-GB"/>
        </w:rPr>
      </w:pPr>
      <w:r w:rsidRPr="00F70805">
        <w:rPr>
          <w:rFonts w:ascii="Calibri" w:eastAsia="Calibri" w:hAnsi="Calibri" w:cs="Calibri"/>
          <w:color w:val="2C3A49"/>
          <w:sz w:val="26"/>
          <w:szCs w:val="26"/>
          <w:lang w:val="en-GB"/>
        </w:rPr>
        <w:t>That the death was caused unlawfully;</w:t>
      </w:r>
    </w:p>
    <w:p w14:paraId="1C2750F1" w14:textId="77777777" w:rsidR="00F70805" w:rsidRPr="00F70805" w:rsidRDefault="00F70805" w:rsidP="00A71F04">
      <w:pPr>
        <w:numPr>
          <w:ilvl w:val="0"/>
          <w:numId w:val="13"/>
        </w:numPr>
        <w:tabs>
          <w:tab w:val="num" w:pos="720"/>
        </w:tabs>
        <w:spacing w:after="100" w:afterAutospacing="1" w:line="360" w:lineRule="auto"/>
        <w:contextualSpacing/>
        <w:jc w:val="both"/>
        <w:rPr>
          <w:rFonts w:ascii="Calibri" w:eastAsia="Calibri" w:hAnsi="Calibri" w:cs="Calibri"/>
          <w:color w:val="2C3A49"/>
          <w:sz w:val="26"/>
          <w:szCs w:val="26"/>
          <w:lang w:val="en-GB"/>
        </w:rPr>
      </w:pPr>
      <w:r w:rsidRPr="00F70805">
        <w:rPr>
          <w:rFonts w:ascii="Calibri" w:eastAsia="Calibri" w:hAnsi="Calibri" w:cs="Calibri"/>
          <w:color w:val="2C3A49"/>
          <w:sz w:val="26"/>
          <w:szCs w:val="26"/>
          <w:lang w:val="en-GB"/>
        </w:rPr>
        <w:t>That the death was caused with malice aforethought; and</w:t>
      </w:r>
    </w:p>
    <w:p w14:paraId="2B58E154" w14:textId="77777777" w:rsidR="00F70805" w:rsidRPr="00D818A9" w:rsidRDefault="00F70805" w:rsidP="00A71F04">
      <w:pPr>
        <w:numPr>
          <w:ilvl w:val="0"/>
          <w:numId w:val="13"/>
        </w:numPr>
        <w:tabs>
          <w:tab w:val="num" w:pos="720"/>
        </w:tabs>
        <w:spacing w:after="100" w:afterAutospacing="1" w:line="360" w:lineRule="auto"/>
        <w:ind w:left="785"/>
        <w:contextualSpacing/>
        <w:jc w:val="both"/>
        <w:rPr>
          <w:rFonts w:ascii="Calibri" w:eastAsia="Calibri" w:hAnsi="Calibri" w:cs="Calibri"/>
          <w:sz w:val="26"/>
          <w:szCs w:val="26"/>
        </w:rPr>
      </w:pPr>
      <w:r w:rsidRPr="00F70805">
        <w:rPr>
          <w:rFonts w:ascii="Calibri" w:eastAsia="Calibri" w:hAnsi="Calibri" w:cs="Calibri"/>
          <w:color w:val="2C3A49"/>
          <w:sz w:val="26"/>
          <w:szCs w:val="26"/>
          <w:lang w:val="en-GB"/>
        </w:rPr>
        <w:t>That the accused participated in the crime.</w:t>
      </w:r>
    </w:p>
    <w:p w14:paraId="3E8F2C7E" w14:textId="1E4B720C" w:rsidR="00D818A9" w:rsidRDefault="00D818A9" w:rsidP="00A71F04">
      <w:pPr>
        <w:spacing w:after="100" w:afterAutospacing="1" w:line="360" w:lineRule="auto"/>
        <w:contextualSpacing/>
        <w:jc w:val="both"/>
        <w:rPr>
          <w:rFonts w:ascii="Calibri" w:eastAsia="Calibri" w:hAnsi="Calibri" w:cs="Calibri"/>
          <w:color w:val="2C3A49"/>
          <w:sz w:val="26"/>
          <w:szCs w:val="26"/>
          <w:lang w:val="en-GB"/>
        </w:rPr>
      </w:pPr>
      <w:r>
        <w:rPr>
          <w:rFonts w:ascii="Calibri" w:eastAsia="Calibri" w:hAnsi="Calibri" w:cs="Calibri"/>
          <w:color w:val="2C3A49"/>
          <w:sz w:val="26"/>
          <w:szCs w:val="26"/>
          <w:lang w:val="en-GB"/>
        </w:rPr>
        <w:t xml:space="preserve">For an accused </w:t>
      </w:r>
      <w:r w:rsidR="007A669A">
        <w:rPr>
          <w:rFonts w:ascii="Calibri" w:eastAsia="Calibri" w:hAnsi="Calibri" w:cs="Calibri"/>
          <w:color w:val="2C3A49"/>
          <w:sz w:val="26"/>
          <w:szCs w:val="26"/>
          <w:lang w:val="en-GB"/>
        </w:rPr>
        <w:t xml:space="preserve">person </w:t>
      </w:r>
      <w:r>
        <w:rPr>
          <w:rFonts w:ascii="Calibri" w:eastAsia="Calibri" w:hAnsi="Calibri" w:cs="Calibri"/>
          <w:color w:val="2C3A49"/>
          <w:sz w:val="26"/>
          <w:szCs w:val="26"/>
          <w:lang w:val="en-GB"/>
        </w:rPr>
        <w:t xml:space="preserve">to </w:t>
      </w:r>
      <w:proofErr w:type="gramStart"/>
      <w:r>
        <w:rPr>
          <w:rFonts w:ascii="Calibri" w:eastAsia="Calibri" w:hAnsi="Calibri" w:cs="Calibri"/>
          <w:color w:val="2C3A49"/>
          <w:sz w:val="26"/>
          <w:szCs w:val="26"/>
          <w:lang w:val="en-GB"/>
        </w:rPr>
        <w:t>be found</w:t>
      </w:r>
      <w:proofErr w:type="gramEnd"/>
      <w:r>
        <w:rPr>
          <w:rFonts w:ascii="Calibri" w:eastAsia="Calibri" w:hAnsi="Calibri" w:cs="Calibri"/>
          <w:color w:val="2C3A49"/>
          <w:sz w:val="26"/>
          <w:szCs w:val="26"/>
          <w:lang w:val="en-GB"/>
        </w:rPr>
        <w:t xml:space="preserve"> guilty of the offence of </w:t>
      </w:r>
      <w:r w:rsidRPr="00D92931">
        <w:rPr>
          <w:rFonts w:ascii="Calibri" w:eastAsia="Calibri" w:hAnsi="Calibri" w:cs="Calibri"/>
          <w:b/>
          <w:bCs/>
          <w:color w:val="2C3A49"/>
          <w:sz w:val="26"/>
          <w:szCs w:val="26"/>
          <w:lang w:val="en-GB"/>
        </w:rPr>
        <w:t>Aggravated Robbery</w:t>
      </w:r>
      <w:r>
        <w:rPr>
          <w:rFonts w:ascii="Calibri" w:eastAsia="Calibri" w:hAnsi="Calibri" w:cs="Calibri"/>
          <w:color w:val="2C3A49"/>
          <w:sz w:val="26"/>
          <w:szCs w:val="26"/>
          <w:lang w:val="en-GB"/>
        </w:rPr>
        <w:t>, the prosecution must prove the following ingredients:</w:t>
      </w:r>
    </w:p>
    <w:p w14:paraId="279E6EA8" w14:textId="0677021B" w:rsidR="00D92931" w:rsidRPr="00D92931" w:rsidRDefault="00D92931" w:rsidP="00A71F04">
      <w:pPr>
        <w:pStyle w:val="ListParagraph"/>
        <w:numPr>
          <w:ilvl w:val="0"/>
          <w:numId w:val="15"/>
        </w:numPr>
        <w:spacing w:after="100" w:afterAutospacing="1" w:line="360" w:lineRule="auto"/>
        <w:jc w:val="both"/>
        <w:rPr>
          <w:rFonts w:ascii="Calibri" w:eastAsia="Calibri" w:hAnsi="Calibri" w:cs="Calibri"/>
          <w:sz w:val="26"/>
          <w:szCs w:val="26"/>
        </w:rPr>
      </w:pPr>
      <w:r>
        <w:rPr>
          <w:rFonts w:cstheme="minorHAnsi"/>
          <w:bCs/>
          <w:iCs/>
          <w:sz w:val="26"/>
          <w:szCs w:val="26"/>
          <w:lang w:val="en-GB"/>
        </w:rPr>
        <w:t>T</w:t>
      </w:r>
      <w:r w:rsidRPr="00D92931">
        <w:rPr>
          <w:rFonts w:cstheme="minorHAnsi"/>
          <w:bCs/>
          <w:iCs/>
          <w:sz w:val="26"/>
          <w:szCs w:val="26"/>
          <w:lang w:val="en-GB"/>
        </w:rPr>
        <w:t xml:space="preserve">heft of </w:t>
      </w:r>
      <w:r w:rsidR="00FA7865">
        <w:rPr>
          <w:rFonts w:cstheme="minorHAnsi"/>
          <w:bCs/>
          <w:iCs/>
          <w:sz w:val="26"/>
          <w:szCs w:val="26"/>
          <w:lang w:val="en-GB"/>
        </w:rPr>
        <w:t>valuable p</w:t>
      </w:r>
      <w:r w:rsidRPr="00D92931">
        <w:rPr>
          <w:rFonts w:cstheme="minorHAnsi"/>
          <w:bCs/>
          <w:iCs/>
          <w:sz w:val="26"/>
          <w:szCs w:val="26"/>
          <w:lang w:val="en-GB"/>
        </w:rPr>
        <w:t>roperty belonging to the victim</w:t>
      </w:r>
      <w:r>
        <w:rPr>
          <w:rFonts w:cstheme="minorHAnsi"/>
          <w:bCs/>
          <w:iCs/>
          <w:sz w:val="26"/>
          <w:szCs w:val="26"/>
          <w:lang w:val="en-GB"/>
        </w:rPr>
        <w:t>;</w:t>
      </w:r>
    </w:p>
    <w:p w14:paraId="0407E306" w14:textId="441DF959" w:rsidR="00D92931" w:rsidRPr="00D92931" w:rsidRDefault="00D92931" w:rsidP="00A71F04">
      <w:pPr>
        <w:pStyle w:val="ListParagraph"/>
        <w:numPr>
          <w:ilvl w:val="0"/>
          <w:numId w:val="15"/>
        </w:numPr>
        <w:spacing w:after="100" w:afterAutospacing="1" w:line="360" w:lineRule="auto"/>
        <w:jc w:val="both"/>
        <w:rPr>
          <w:rFonts w:ascii="Calibri" w:eastAsia="Calibri" w:hAnsi="Calibri" w:cs="Calibri"/>
          <w:sz w:val="26"/>
          <w:szCs w:val="26"/>
        </w:rPr>
      </w:pPr>
      <w:r w:rsidRPr="00D92931">
        <w:rPr>
          <w:rFonts w:cstheme="minorHAnsi"/>
          <w:bCs/>
          <w:iCs/>
          <w:sz w:val="26"/>
          <w:szCs w:val="26"/>
          <w:lang w:val="en-GB"/>
        </w:rPr>
        <w:t>Use of violence or threat of use of violence during the theft</w:t>
      </w:r>
      <w:r>
        <w:rPr>
          <w:rFonts w:cstheme="minorHAnsi"/>
          <w:bCs/>
          <w:iCs/>
          <w:sz w:val="26"/>
          <w:szCs w:val="26"/>
          <w:lang w:val="en-GB"/>
        </w:rPr>
        <w:t>;</w:t>
      </w:r>
    </w:p>
    <w:p w14:paraId="3D9D154D" w14:textId="2676FF68" w:rsidR="00D92931" w:rsidRPr="00D92931" w:rsidRDefault="00D92931" w:rsidP="00A71F04">
      <w:pPr>
        <w:pStyle w:val="ListParagraph"/>
        <w:numPr>
          <w:ilvl w:val="0"/>
          <w:numId w:val="15"/>
        </w:numPr>
        <w:spacing w:after="100" w:afterAutospacing="1" w:line="360" w:lineRule="auto"/>
        <w:jc w:val="both"/>
        <w:rPr>
          <w:rFonts w:ascii="Calibri" w:eastAsia="Calibri" w:hAnsi="Calibri" w:cs="Calibri"/>
          <w:sz w:val="26"/>
          <w:szCs w:val="26"/>
        </w:rPr>
      </w:pPr>
      <w:r w:rsidRPr="00D92931">
        <w:rPr>
          <w:rFonts w:cstheme="minorHAnsi"/>
          <w:bCs/>
          <w:iCs/>
          <w:sz w:val="26"/>
          <w:szCs w:val="26"/>
          <w:lang w:val="en-GB"/>
        </w:rPr>
        <w:t>Possession of a deadly weapon during the theft</w:t>
      </w:r>
      <w:r>
        <w:rPr>
          <w:rFonts w:cstheme="minorHAnsi"/>
          <w:bCs/>
          <w:iCs/>
          <w:sz w:val="26"/>
          <w:szCs w:val="26"/>
          <w:lang w:val="en-GB"/>
        </w:rPr>
        <w:t>; and</w:t>
      </w:r>
    </w:p>
    <w:p w14:paraId="4E4706AF" w14:textId="3F02CBEE" w:rsidR="00D92931" w:rsidRPr="007A669A" w:rsidRDefault="00D92931" w:rsidP="00A71F04">
      <w:pPr>
        <w:pStyle w:val="ListParagraph"/>
        <w:numPr>
          <w:ilvl w:val="0"/>
          <w:numId w:val="15"/>
        </w:numPr>
        <w:spacing w:after="100" w:afterAutospacing="1" w:line="360" w:lineRule="auto"/>
        <w:jc w:val="both"/>
        <w:rPr>
          <w:rFonts w:ascii="Calibri" w:eastAsia="Calibri" w:hAnsi="Calibri" w:cs="Calibri"/>
          <w:sz w:val="26"/>
          <w:szCs w:val="26"/>
        </w:rPr>
      </w:pPr>
      <w:r w:rsidRPr="00D92931">
        <w:rPr>
          <w:rFonts w:cstheme="minorHAnsi"/>
          <w:bCs/>
          <w:iCs/>
          <w:sz w:val="26"/>
          <w:szCs w:val="26"/>
          <w:lang w:val="en-GB"/>
        </w:rPr>
        <w:t>Participation of the accused in the theft.</w:t>
      </w:r>
    </w:p>
    <w:p w14:paraId="2DFD6DE2" w14:textId="001D1B8C" w:rsidR="007A669A" w:rsidRPr="007A669A" w:rsidRDefault="007A669A" w:rsidP="00A71F04">
      <w:pPr>
        <w:spacing w:after="100" w:afterAutospacing="1" w:line="360" w:lineRule="auto"/>
        <w:jc w:val="both"/>
        <w:rPr>
          <w:rFonts w:ascii="Calibri" w:eastAsia="Calibri" w:hAnsi="Calibri" w:cs="Calibri"/>
          <w:sz w:val="26"/>
          <w:szCs w:val="26"/>
        </w:rPr>
      </w:pPr>
      <w:r w:rsidRPr="007A669A">
        <w:rPr>
          <w:rFonts w:ascii="Calibri" w:eastAsia="Calibri" w:hAnsi="Calibri" w:cs="Calibri"/>
          <w:sz w:val="26"/>
          <w:szCs w:val="26"/>
        </w:rPr>
        <w:t xml:space="preserve">According to the </w:t>
      </w:r>
      <w:proofErr w:type="spellStart"/>
      <w:r w:rsidRPr="007A669A">
        <w:rPr>
          <w:rFonts w:ascii="Calibri" w:eastAsia="Calibri" w:hAnsi="Calibri" w:cs="Calibri"/>
          <w:sz w:val="26"/>
          <w:szCs w:val="26"/>
        </w:rPr>
        <w:t>time-honoured</w:t>
      </w:r>
      <w:proofErr w:type="spellEnd"/>
      <w:r w:rsidRPr="007A669A">
        <w:rPr>
          <w:rFonts w:ascii="Calibri" w:eastAsia="Calibri" w:hAnsi="Calibri" w:cs="Calibri"/>
          <w:sz w:val="26"/>
          <w:szCs w:val="26"/>
        </w:rPr>
        <w:t xml:space="preserve"> case of </w:t>
      </w:r>
      <w:proofErr w:type="spellStart"/>
      <w:r w:rsidRPr="007A669A">
        <w:rPr>
          <w:rFonts w:ascii="Calibri" w:eastAsia="Calibri" w:hAnsi="Calibri" w:cs="Calibri"/>
          <w:b/>
          <w:sz w:val="26"/>
          <w:szCs w:val="26"/>
        </w:rPr>
        <w:t>Woolmington</w:t>
      </w:r>
      <w:proofErr w:type="spellEnd"/>
      <w:r w:rsidRPr="007A669A">
        <w:rPr>
          <w:rFonts w:ascii="Calibri" w:eastAsia="Calibri" w:hAnsi="Calibri" w:cs="Calibri"/>
          <w:b/>
          <w:sz w:val="26"/>
          <w:szCs w:val="26"/>
        </w:rPr>
        <w:t xml:space="preserve"> v DPP (1935) AC 462</w:t>
      </w:r>
      <w:r w:rsidRPr="007A669A">
        <w:rPr>
          <w:rFonts w:ascii="Calibri" w:eastAsia="Calibri" w:hAnsi="Calibri" w:cs="Calibri"/>
          <w:sz w:val="26"/>
          <w:szCs w:val="26"/>
        </w:rPr>
        <w:t xml:space="preserve">, the Burden of Proof in criminal trials is always on the Prosecution. In </w:t>
      </w:r>
      <w:proofErr w:type="gramStart"/>
      <w:r w:rsidRPr="007A669A">
        <w:rPr>
          <w:rFonts w:ascii="Calibri" w:eastAsia="Calibri" w:hAnsi="Calibri" w:cs="Calibri"/>
          <w:sz w:val="26"/>
          <w:szCs w:val="26"/>
        </w:rPr>
        <w:t>that</w:t>
      </w:r>
      <w:proofErr w:type="gramEnd"/>
      <w:r w:rsidRPr="007A669A">
        <w:rPr>
          <w:rFonts w:ascii="Calibri" w:eastAsia="Calibri" w:hAnsi="Calibri" w:cs="Calibri"/>
          <w:sz w:val="26"/>
          <w:szCs w:val="26"/>
        </w:rPr>
        <w:t xml:space="preserve"> regard the Prosecution always has the duty to prove each of the ingredients of the offence and generally speaking the burden never shifts onto the accused except where there is a statutory provision to the contrary.</w:t>
      </w:r>
    </w:p>
    <w:p w14:paraId="6E6D42ED" w14:textId="77777777" w:rsidR="007A669A" w:rsidRPr="007A669A" w:rsidRDefault="007A669A" w:rsidP="00A71F04">
      <w:pPr>
        <w:spacing w:after="100" w:afterAutospacing="1" w:line="360" w:lineRule="auto"/>
        <w:jc w:val="both"/>
        <w:rPr>
          <w:rFonts w:ascii="Calibri" w:eastAsia="Calibri" w:hAnsi="Calibri" w:cs="Calibri"/>
          <w:sz w:val="26"/>
          <w:szCs w:val="26"/>
        </w:rPr>
      </w:pPr>
      <w:r w:rsidRPr="007A669A">
        <w:rPr>
          <w:rFonts w:ascii="Calibri" w:eastAsia="Calibri" w:hAnsi="Calibri" w:cs="Calibri"/>
          <w:sz w:val="26"/>
          <w:szCs w:val="26"/>
        </w:rPr>
        <w:t xml:space="preserve">The Standard of Proof in criminal trials is proof beyond reasonable doubt and </w:t>
      </w:r>
      <w:proofErr w:type="gramStart"/>
      <w:r w:rsidRPr="007A669A">
        <w:rPr>
          <w:rFonts w:ascii="Calibri" w:eastAsia="Calibri" w:hAnsi="Calibri" w:cs="Calibri"/>
          <w:sz w:val="26"/>
          <w:szCs w:val="26"/>
        </w:rPr>
        <w:t>is met</w:t>
      </w:r>
      <w:proofErr w:type="gramEnd"/>
      <w:r w:rsidRPr="007A669A">
        <w:rPr>
          <w:rFonts w:ascii="Calibri" w:eastAsia="Calibri" w:hAnsi="Calibri" w:cs="Calibri"/>
          <w:sz w:val="26"/>
          <w:szCs w:val="26"/>
        </w:rPr>
        <w:t xml:space="preserve"> when all the essential ingredients of the offence are proved beyond reasonable doubt. The locus </w:t>
      </w:r>
      <w:proofErr w:type="spellStart"/>
      <w:r w:rsidRPr="007A669A">
        <w:rPr>
          <w:rFonts w:ascii="Calibri" w:eastAsia="Calibri" w:hAnsi="Calibri" w:cs="Calibri"/>
          <w:sz w:val="26"/>
          <w:szCs w:val="26"/>
        </w:rPr>
        <w:t>classicus</w:t>
      </w:r>
      <w:proofErr w:type="spellEnd"/>
      <w:r w:rsidRPr="007A669A">
        <w:rPr>
          <w:rFonts w:ascii="Calibri" w:eastAsia="Calibri" w:hAnsi="Calibri" w:cs="Calibri"/>
          <w:sz w:val="26"/>
          <w:szCs w:val="26"/>
        </w:rPr>
        <w:t xml:space="preserve"> in this regard is the case of </w:t>
      </w:r>
      <w:r w:rsidRPr="007A669A">
        <w:rPr>
          <w:rFonts w:ascii="Calibri" w:eastAsia="Calibri" w:hAnsi="Calibri" w:cs="Calibri"/>
          <w:b/>
          <w:sz w:val="26"/>
          <w:szCs w:val="26"/>
        </w:rPr>
        <w:t>Miller v Minister of Pensions (1947) 2 All ER 372</w:t>
      </w:r>
      <w:r w:rsidRPr="007A669A">
        <w:rPr>
          <w:rFonts w:ascii="Calibri" w:eastAsia="Calibri" w:hAnsi="Calibri" w:cs="Calibri"/>
          <w:sz w:val="26"/>
          <w:szCs w:val="26"/>
        </w:rPr>
        <w:t xml:space="preserve"> wherein Lord Denning stated at Pages 373-374 that,</w:t>
      </w:r>
    </w:p>
    <w:p w14:paraId="70AD7767" w14:textId="77777777" w:rsidR="007A669A" w:rsidRPr="007A669A" w:rsidRDefault="007A669A" w:rsidP="00A71F04">
      <w:pPr>
        <w:spacing w:after="100" w:afterAutospacing="1" w:line="360" w:lineRule="auto"/>
        <w:ind w:left="720" w:right="720"/>
        <w:jc w:val="both"/>
        <w:rPr>
          <w:rFonts w:ascii="Calibri" w:eastAsia="Calibri" w:hAnsi="Calibri" w:cs="Calibri"/>
          <w:i/>
          <w:sz w:val="26"/>
          <w:szCs w:val="26"/>
        </w:rPr>
      </w:pPr>
      <w:r w:rsidRPr="007A669A">
        <w:rPr>
          <w:rFonts w:ascii="Calibri" w:eastAsia="Calibri" w:hAnsi="Calibri" w:cs="Calibri"/>
          <w:i/>
          <w:sz w:val="26"/>
          <w:szCs w:val="26"/>
        </w:rPr>
        <w:lastRenderedPageBreak/>
        <w:t xml:space="preserve">“The degree of beyond reasonable doubt is well settled. It need not reach certainty, but it must carry a high degree of probability. Proof beyond reasonable doubt does not mean proof beyond the shadow of a doubt. The law would fail to protect the community if it admitted fanciful possibilities to deflect the course of justice. If evidence is </w:t>
      </w:r>
      <w:proofErr w:type="gramStart"/>
      <w:r w:rsidRPr="007A669A">
        <w:rPr>
          <w:rFonts w:ascii="Calibri" w:eastAsia="Calibri" w:hAnsi="Calibri" w:cs="Calibri"/>
          <w:i/>
          <w:sz w:val="26"/>
          <w:szCs w:val="26"/>
        </w:rPr>
        <w:t>so</w:t>
      </w:r>
      <w:proofErr w:type="gramEnd"/>
      <w:r w:rsidRPr="007A669A">
        <w:rPr>
          <w:rFonts w:ascii="Calibri" w:eastAsia="Calibri" w:hAnsi="Calibri" w:cs="Calibri"/>
          <w:i/>
          <w:sz w:val="26"/>
          <w:szCs w:val="26"/>
        </w:rPr>
        <w:t xml:space="preserve"> strong against a man as to leave only a remote possibility in his </w:t>
      </w:r>
      <w:proofErr w:type="spellStart"/>
      <w:r w:rsidRPr="007A669A">
        <w:rPr>
          <w:rFonts w:ascii="Calibri" w:eastAsia="Calibri" w:hAnsi="Calibri" w:cs="Calibri"/>
          <w:i/>
          <w:sz w:val="26"/>
          <w:szCs w:val="26"/>
        </w:rPr>
        <w:t>favour</w:t>
      </w:r>
      <w:proofErr w:type="spellEnd"/>
      <w:r w:rsidRPr="007A669A">
        <w:rPr>
          <w:rFonts w:ascii="Calibri" w:eastAsia="Calibri" w:hAnsi="Calibri" w:cs="Calibri"/>
          <w:i/>
          <w:sz w:val="26"/>
          <w:szCs w:val="26"/>
        </w:rPr>
        <w:t>, which can be dismissed with a sentence: ‘of course it is possible but not in the least probable’, the case is proved beyond reasonable doubt; but nothing short of that will suffice.”</w:t>
      </w:r>
    </w:p>
    <w:p w14:paraId="49CAAD9E" w14:textId="77777777" w:rsidR="007A669A" w:rsidRPr="007A669A" w:rsidRDefault="007A669A" w:rsidP="00A71F04">
      <w:pPr>
        <w:spacing w:after="100" w:afterAutospacing="1" w:line="360" w:lineRule="auto"/>
        <w:jc w:val="both"/>
        <w:rPr>
          <w:rFonts w:ascii="Calibri" w:eastAsia="Calibri" w:hAnsi="Calibri" w:cs="Calibri"/>
          <w:sz w:val="26"/>
          <w:szCs w:val="26"/>
        </w:rPr>
      </w:pPr>
      <w:r w:rsidRPr="007A669A">
        <w:rPr>
          <w:rFonts w:ascii="Calibri" w:eastAsia="Calibri" w:hAnsi="Calibri" w:cs="Calibri"/>
          <w:sz w:val="26"/>
          <w:szCs w:val="26"/>
        </w:rPr>
        <w:t xml:space="preserve">The legal standard in the determination of whether or not the burden and standard of proof has been properly met will be done in accordance with the Supreme Court decision in </w:t>
      </w:r>
      <w:r w:rsidRPr="007A669A">
        <w:rPr>
          <w:rFonts w:ascii="Calibri" w:eastAsia="Calibri" w:hAnsi="Calibri" w:cs="Calibri"/>
          <w:b/>
          <w:sz w:val="26"/>
          <w:szCs w:val="26"/>
        </w:rPr>
        <w:t xml:space="preserve">Abdu </w:t>
      </w:r>
      <w:proofErr w:type="spellStart"/>
      <w:r w:rsidRPr="007A669A">
        <w:rPr>
          <w:rFonts w:ascii="Calibri" w:eastAsia="Calibri" w:hAnsi="Calibri" w:cs="Calibri"/>
          <w:b/>
          <w:sz w:val="26"/>
          <w:szCs w:val="26"/>
        </w:rPr>
        <w:t>Ngobi</w:t>
      </w:r>
      <w:proofErr w:type="spellEnd"/>
      <w:r w:rsidRPr="007A669A">
        <w:rPr>
          <w:rFonts w:ascii="Calibri" w:eastAsia="Calibri" w:hAnsi="Calibri" w:cs="Calibri"/>
          <w:b/>
          <w:sz w:val="26"/>
          <w:szCs w:val="26"/>
        </w:rPr>
        <w:t xml:space="preserve"> v Uganda – Criminal Appeal No. 10 of 1991</w:t>
      </w:r>
      <w:r w:rsidRPr="007A669A">
        <w:rPr>
          <w:rFonts w:ascii="Calibri" w:eastAsia="Calibri" w:hAnsi="Calibri" w:cs="Calibri"/>
          <w:sz w:val="26"/>
          <w:szCs w:val="26"/>
        </w:rPr>
        <w:t xml:space="preserve"> where it was held that,</w:t>
      </w:r>
    </w:p>
    <w:p w14:paraId="7F736255" w14:textId="77777777" w:rsidR="007A669A" w:rsidRPr="007A669A" w:rsidRDefault="007A669A" w:rsidP="00A71F04">
      <w:pPr>
        <w:spacing w:after="100" w:afterAutospacing="1" w:line="360" w:lineRule="auto"/>
        <w:ind w:left="720" w:right="720"/>
        <w:jc w:val="both"/>
        <w:rPr>
          <w:rFonts w:ascii="Calibri" w:eastAsia="Calibri" w:hAnsi="Calibri" w:cs="Calibri"/>
          <w:i/>
          <w:sz w:val="26"/>
          <w:szCs w:val="26"/>
        </w:rPr>
      </w:pPr>
      <w:r w:rsidRPr="007A669A">
        <w:rPr>
          <w:rFonts w:ascii="Calibri" w:eastAsia="Calibri" w:hAnsi="Calibri" w:cs="Calibri"/>
          <w:i/>
          <w:sz w:val="26"/>
          <w:szCs w:val="26"/>
        </w:rPr>
        <w:t xml:space="preserve">“Evidence of the prosecution should be examined and weighed against the evidence of the </w:t>
      </w:r>
      <w:proofErr w:type="spellStart"/>
      <w:r w:rsidRPr="007A669A">
        <w:rPr>
          <w:rFonts w:ascii="Calibri" w:eastAsia="Calibri" w:hAnsi="Calibri" w:cs="Calibri"/>
          <w:i/>
          <w:sz w:val="26"/>
          <w:szCs w:val="26"/>
        </w:rPr>
        <w:t>defence</w:t>
      </w:r>
      <w:proofErr w:type="spellEnd"/>
      <w:r w:rsidRPr="007A669A">
        <w:rPr>
          <w:rFonts w:ascii="Calibri" w:eastAsia="Calibri" w:hAnsi="Calibri" w:cs="Calibri"/>
          <w:i/>
          <w:sz w:val="26"/>
          <w:szCs w:val="26"/>
        </w:rPr>
        <w:t xml:space="preserve"> so that a final decision is not taken until all the evidence has been considered. The proper approach is to consider the strength and weaknesses of each side, weigh the evidence as a whole, apply the burden of proof as always resting upon the prosecution, and decide whether the </w:t>
      </w:r>
      <w:proofErr w:type="spellStart"/>
      <w:r w:rsidRPr="007A669A">
        <w:rPr>
          <w:rFonts w:ascii="Calibri" w:eastAsia="Calibri" w:hAnsi="Calibri" w:cs="Calibri"/>
          <w:i/>
          <w:sz w:val="26"/>
          <w:szCs w:val="26"/>
        </w:rPr>
        <w:t>defence</w:t>
      </w:r>
      <w:proofErr w:type="spellEnd"/>
      <w:r w:rsidRPr="007A669A">
        <w:rPr>
          <w:rFonts w:ascii="Calibri" w:eastAsia="Calibri" w:hAnsi="Calibri" w:cs="Calibri"/>
          <w:i/>
          <w:sz w:val="26"/>
          <w:szCs w:val="26"/>
        </w:rPr>
        <w:t xml:space="preserve"> has raised a reasonable doubt.”</w:t>
      </w:r>
    </w:p>
    <w:p w14:paraId="5A9B4894" w14:textId="481705E6" w:rsidR="007A669A" w:rsidRPr="00A71F04" w:rsidRDefault="007A669A" w:rsidP="00A71F04">
      <w:pPr>
        <w:spacing w:after="100" w:afterAutospacing="1" w:line="360" w:lineRule="auto"/>
        <w:jc w:val="both"/>
        <w:rPr>
          <w:rFonts w:ascii="Calibri" w:eastAsia="Calibri" w:hAnsi="Calibri" w:cs="Calibri"/>
          <w:b/>
          <w:sz w:val="26"/>
          <w:szCs w:val="26"/>
          <w:u w:val="single"/>
        </w:rPr>
      </w:pPr>
      <w:r w:rsidRPr="00A71F04">
        <w:rPr>
          <w:rFonts w:ascii="Calibri" w:eastAsia="Calibri" w:hAnsi="Calibri" w:cs="Calibri"/>
          <w:b/>
          <w:sz w:val="26"/>
          <w:szCs w:val="26"/>
          <w:u w:val="single"/>
        </w:rPr>
        <w:t>Count 1: Murder</w:t>
      </w:r>
    </w:p>
    <w:p w14:paraId="48977462" w14:textId="534B6AB4" w:rsidR="002C1CDD" w:rsidRPr="00F70805" w:rsidRDefault="002C1CDD" w:rsidP="00A71F04">
      <w:pPr>
        <w:spacing w:after="100" w:afterAutospacing="1" w:line="360" w:lineRule="auto"/>
        <w:jc w:val="both"/>
        <w:rPr>
          <w:rFonts w:cstheme="minorHAnsi"/>
          <w:sz w:val="26"/>
          <w:szCs w:val="26"/>
          <w:lang w:val="en-GB"/>
        </w:rPr>
      </w:pPr>
      <w:r w:rsidRPr="00F70805">
        <w:rPr>
          <w:rFonts w:cstheme="minorHAnsi"/>
          <w:sz w:val="26"/>
          <w:szCs w:val="26"/>
          <w:lang w:val="en-GB"/>
        </w:rPr>
        <w:t xml:space="preserve">Death </w:t>
      </w:r>
      <w:proofErr w:type="gramStart"/>
      <w:r w:rsidRPr="00F70805">
        <w:rPr>
          <w:rFonts w:cstheme="minorHAnsi"/>
          <w:sz w:val="26"/>
          <w:szCs w:val="26"/>
          <w:lang w:val="en-GB"/>
        </w:rPr>
        <w:t>may be proved</w:t>
      </w:r>
      <w:proofErr w:type="gramEnd"/>
      <w:r w:rsidRPr="00F70805">
        <w:rPr>
          <w:rFonts w:cstheme="minorHAnsi"/>
          <w:sz w:val="26"/>
          <w:szCs w:val="26"/>
          <w:lang w:val="en-GB"/>
        </w:rPr>
        <w:t xml:space="preserve"> by the production of a post-mortem report or evidence of witnesses who state that they knew the deceased and attended </w:t>
      </w:r>
      <w:r w:rsidR="000419B1">
        <w:rPr>
          <w:rFonts w:cstheme="minorHAnsi"/>
          <w:sz w:val="26"/>
          <w:szCs w:val="26"/>
          <w:lang w:val="en-GB"/>
        </w:rPr>
        <w:t>the burial or saw the dead body</w:t>
      </w:r>
      <w:r w:rsidRPr="00F70805">
        <w:rPr>
          <w:rFonts w:cstheme="minorHAnsi"/>
          <w:sz w:val="26"/>
          <w:szCs w:val="26"/>
          <w:lang w:val="en-GB"/>
        </w:rPr>
        <w:t xml:space="preserve"> </w:t>
      </w:r>
      <w:r w:rsidR="000419B1" w:rsidRPr="00AD11C5">
        <w:rPr>
          <w:rFonts w:cstheme="minorHAnsi"/>
          <w:sz w:val="26"/>
          <w:szCs w:val="26"/>
          <w:lang w:val="en-GB"/>
        </w:rPr>
        <w:t xml:space="preserve">(see </w:t>
      </w:r>
      <w:proofErr w:type="spellStart"/>
      <w:r w:rsidR="000419B1" w:rsidRPr="00AD11C5">
        <w:rPr>
          <w:rFonts w:cstheme="minorHAnsi"/>
          <w:b/>
          <w:sz w:val="26"/>
          <w:szCs w:val="26"/>
          <w:lang w:val="en-GB"/>
        </w:rPr>
        <w:t>Kimweri</w:t>
      </w:r>
      <w:proofErr w:type="spellEnd"/>
      <w:r w:rsidR="000419B1" w:rsidRPr="00AD11C5">
        <w:rPr>
          <w:rFonts w:cstheme="minorHAnsi"/>
          <w:b/>
          <w:sz w:val="26"/>
          <w:szCs w:val="26"/>
          <w:lang w:val="en-GB"/>
        </w:rPr>
        <w:t xml:space="preserve"> v Republic [1968] EA 452</w:t>
      </w:r>
      <w:r w:rsidR="000419B1" w:rsidRPr="00AD11C5">
        <w:rPr>
          <w:rFonts w:cstheme="minorHAnsi"/>
          <w:sz w:val="26"/>
          <w:szCs w:val="26"/>
          <w:lang w:val="en-GB"/>
        </w:rPr>
        <w:t>)</w:t>
      </w:r>
      <w:r w:rsidR="000419B1">
        <w:rPr>
          <w:rFonts w:cstheme="minorHAnsi"/>
          <w:sz w:val="26"/>
          <w:szCs w:val="26"/>
          <w:lang w:val="en-GB"/>
        </w:rPr>
        <w:t>.</w:t>
      </w:r>
    </w:p>
    <w:p w14:paraId="6378F6F3" w14:textId="6EB2A44C" w:rsidR="002C1CDD" w:rsidRPr="00F70805" w:rsidRDefault="00C1614A" w:rsidP="00A71F04">
      <w:pPr>
        <w:spacing w:after="100" w:afterAutospacing="1" w:line="360" w:lineRule="auto"/>
        <w:jc w:val="both"/>
        <w:rPr>
          <w:rFonts w:cstheme="minorHAnsi"/>
          <w:sz w:val="26"/>
          <w:szCs w:val="26"/>
          <w:lang w:val="en-GB"/>
        </w:rPr>
      </w:pPr>
      <w:r>
        <w:rPr>
          <w:rFonts w:cstheme="minorHAnsi"/>
          <w:sz w:val="26"/>
          <w:szCs w:val="26"/>
          <w:lang w:val="en-GB"/>
        </w:rPr>
        <w:t>Concerning this ingredient the P</w:t>
      </w:r>
      <w:r w:rsidR="00E23F9B" w:rsidRPr="00F70805">
        <w:rPr>
          <w:rFonts w:cstheme="minorHAnsi"/>
          <w:sz w:val="26"/>
          <w:szCs w:val="26"/>
          <w:lang w:val="en-GB"/>
        </w:rPr>
        <w:t xml:space="preserve">rosecution relied on the evidence of </w:t>
      </w:r>
      <w:r w:rsidR="00E23F9B" w:rsidRPr="00C1614A">
        <w:rPr>
          <w:rFonts w:cstheme="minorHAnsi"/>
          <w:bCs/>
          <w:iCs/>
          <w:sz w:val="26"/>
          <w:szCs w:val="26"/>
          <w:lang w:val="en-GB"/>
        </w:rPr>
        <w:t xml:space="preserve">PW5 </w:t>
      </w:r>
      <w:proofErr w:type="gramStart"/>
      <w:r w:rsidR="00E23F9B" w:rsidRPr="00C1614A">
        <w:rPr>
          <w:rFonts w:cstheme="minorHAnsi"/>
          <w:bCs/>
          <w:iCs/>
          <w:sz w:val="26"/>
          <w:szCs w:val="26"/>
          <w:lang w:val="en-GB"/>
        </w:rPr>
        <w:t xml:space="preserve">Dr </w:t>
      </w:r>
      <w:r>
        <w:rPr>
          <w:rFonts w:cstheme="minorHAnsi"/>
          <w:bCs/>
          <w:iCs/>
          <w:sz w:val="26"/>
          <w:szCs w:val="26"/>
          <w:lang w:val="en-GB"/>
        </w:rPr>
        <w:t xml:space="preserve"> </w:t>
      </w:r>
      <w:proofErr w:type="spellStart"/>
      <w:r w:rsidR="00E23F9B" w:rsidRPr="00C1614A">
        <w:rPr>
          <w:rFonts w:cstheme="minorHAnsi"/>
          <w:bCs/>
          <w:iCs/>
          <w:sz w:val="26"/>
          <w:szCs w:val="26"/>
          <w:lang w:val="en-GB"/>
        </w:rPr>
        <w:t>Katalemwa</w:t>
      </w:r>
      <w:proofErr w:type="spellEnd"/>
      <w:proofErr w:type="gramEnd"/>
      <w:r w:rsidR="00E23F9B" w:rsidRPr="00C1614A">
        <w:rPr>
          <w:rFonts w:cstheme="minorHAnsi"/>
          <w:bCs/>
          <w:iCs/>
          <w:sz w:val="26"/>
          <w:szCs w:val="26"/>
          <w:lang w:val="en-GB"/>
        </w:rPr>
        <w:t xml:space="preserve"> Jonathan</w:t>
      </w:r>
      <w:r w:rsidR="000419B1">
        <w:rPr>
          <w:rFonts w:cstheme="minorHAnsi"/>
          <w:sz w:val="26"/>
          <w:szCs w:val="26"/>
          <w:lang w:val="en-GB"/>
        </w:rPr>
        <w:t xml:space="preserve"> a Police S</w:t>
      </w:r>
      <w:r w:rsidR="00E23F9B" w:rsidRPr="00F70805">
        <w:rPr>
          <w:rFonts w:cstheme="minorHAnsi"/>
          <w:sz w:val="26"/>
          <w:szCs w:val="26"/>
          <w:lang w:val="en-GB"/>
        </w:rPr>
        <w:t xml:space="preserve">urgeon attached to Rwenzori West Region Police </w:t>
      </w:r>
      <w:r>
        <w:rPr>
          <w:rFonts w:cstheme="minorHAnsi"/>
          <w:sz w:val="26"/>
          <w:szCs w:val="26"/>
          <w:lang w:val="en-GB"/>
        </w:rPr>
        <w:t>contained in</w:t>
      </w:r>
      <w:r w:rsidR="007C5DC2" w:rsidRPr="00F70805">
        <w:rPr>
          <w:rFonts w:cstheme="minorHAnsi"/>
          <w:sz w:val="26"/>
          <w:szCs w:val="26"/>
          <w:lang w:val="en-GB"/>
        </w:rPr>
        <w:t xml:space="preserve"> Police form 48B which was admitted </w:t>
      </w:r>
      <w:r>
        <w:rPr>
          <w:rFonts w:cstheme="minorHAnsi"/>
          <w:sz w:val="26"/>
          <w:szCs w:val="26"/>
          <w:lang w:val="en-GB"/>
        </w:rPr>
        <w:t xml:space="preserve">in evidence as </w:t>
      </w:r>
      <w:proofErr w:type="spellStart"/>
      <w:r w:rsidRPr="000419B1">
        <w:rPr>
          <w:rFonts w:cstheme="minorHAnsi"/>
          <w:b/>
          <w:sz w:val="26"/>
          <w:szCs w:val="26"/>
          <w:lang w:val="en-GB"/>
        </w:rPr>
        <w:t>PE</w:t>
      </w:r>
      <w:r w:rsidR="000419B1" w:rsidRPr="000419B1">
        <w:rPr>
          <w:rFonts w:cstheme="minorHAnsi"/>
          <w:b/>
          <w:sz w:val="26"/>
          <w:szCs w:val="26"/>
          <w:lang w:val="en-GB"/>
        </w:rPr>
        <w:t>x</w:t>
      </w:r>
      <w:proofErr w:type="spellEnd"/>
      <w:r w:rsidRPr="000419B1">
        <w:rPr>
          <w:rFonts w:cstheme="minorHAnsi"/>
          <w:b/>
          <w:sz w:val="26"/>
          <w:szCs w:val="26"/>
          <w:lang w:val="en-GB"/>
        </w:rPr>
        <w:t xml:space="preserve"> 2</w:t>
      </w:r>
      <w:r w:rsidR="002C1CDD" w:rsidRPr="00F70805">
        <w:rPr>
          <w:rFonts w:cstheme="minorHAnsi"/>
          <w:sz w:val="26"/>
          <w:szCs w:val="26"/>
          <w:lang w:val="en-GB"/>
        </w:rPr>
        <w:t>.</w:t>
      </w:r>
      <w:r w:rsidR="006E40DE" w:rsidRPr="00F70805">
        <w:rPr>
          <w:rFonts w:cstheme="minorHAnsi"/>
          <w:sz w:val="26"/>
          <w:szCs w:val="26"/>
          <w:lang w:val="en-GB"/>
        </w:rPr>
        <w:t xml:space="preserve"> Dr </w:t>
      </w:r>
      <w:proofErr w:type="spellStart"/>
      <w:r w:rsidR="006E40DE" w:rsidRPr="00F70805">
        <w:rPr>
          <w:rFonts w:cstheme="minorHAnsi"/>
          <w:sz w:val="26"/>
          <w:szCs w:val="26"/>
          <w:lang w:val="en-GB"/>
        </w:rPr>
        <w:t>Katalemwa</w:t>
      </w:r>
      <w:proofErr w:type="spellEnd"/>
      <w:r w:rsidR="006E40DE" w:rsidRPr="00F70805">
        <w:rPr>
          <w:rFonts w:cstheme="minorHAnsi"/>
          <w:sz w:val="26"/>
          <w:szCs w:val="26"/>
          <w:lang w:val="en-GB"/>
        </w:rPr>
        <w:t xml:space="preserve"> </w:t>
      </w:r>
      <w:r>
        <w:rPr>
          <w:rFonts w:cstheme="minorHAnsi"/>
          <w:sz w:val="26"/>
          <w:szCs w:val="26"/>
          <w:lang w:val="en-GB"/>
        </w:rPr>
        <w:t>testified</w:t>
      </w:r>
      <w:r w:rsidR="006E40DE" w:rsidRPr="00F70805">
        <w:rPr>
          <w:rFonts w:cstheme="minorHAnsi"/>
          <w:sz w:val="26"/>
          <w:szCs w:val="26"/>
          <w:lang w:val="en-GB"/>
        </w:rPr>
        <w:t xml:space="preserve"> </w:t>
      </w:r>
      <w:r w:rsidR="00096C16" w:rsidRPr="00F70805">
        <w:rPr>
          <w:rFonts w:cstheme="minorHAnsi"/>
          <w:sz w:val="26"/>
          <w:szCs w:val="26"/>
          <w:lang w:val="en-GB"/>
        </w:rPr>
        <w:t xml:space="preserve">that </w:t>
      </w:r>
      <w:r w:rsidR="006E40DE" w:rsidRPr="00F70805">
        <w:rPr>
          <w:rFonts w:cstheme="minorHAnsi"/>
          <w:sz w:val="26"/>
          <w:szCs w:val="26"/>
          <w:lang w:val="en-GB"/>
        </w:rPr>
        <w:t xml:space="preserve">he </w:t>
      </w:r>
      <w:r w:rsidR="006E40DE" w:rsidRPr="00F70805">
        <w:rPr>
          <w:rFonts w:cstheme="minorHAnsi"/>
          <w:sz w:val="26"/>
          <w:szCs w:val="26"/>
          <w:lang w:val="en-GB"/>
        </w:rPr>
        <w:lastRenderedPageBreak/>
        <w:t>examined the body of</w:t>
      </w:r>
      <w:r w:rsidR="002764DE" w:rsidRPr="00F70805">
        <w:rPr>
          <w:rFonts w:cstheme="minorHAnsi"/>
          <w:sz w:val="26"/>
          <w:szCs w:val="26"/>
          <w:lang w:val="en-GB"/>
        </w:rPr>
        <w:t xml:space="preserve"> one Kasangaki Wilson</w:t>
      </w:r>
      <w:r w:rsidR="002C1CDD" w:rsidRPr="00F70805">
        <w:rPr>
          <w:rFonts w:cstheme="minorHAnsi"/>
          <w:sz w:val="26"/>
          <w:szCs w:val="26"/>
          <w:lang w:val="en-GB"/>
        </w:rPr>
        <w:t xml:space="preserve"> </w:t>
      </w:r>
      <w:r w:rsidR="00D67DFD" w:rsidRPr="00F70805">
        <w:rPr>
          <w:rFonts w:cstheme="minorHAnsi"/>
          <w:sz w:val="26"/>
          <w:szCs w:val="26"/>
          <w:lang w:val="en-GB"/>
        </w:rPr>
        <w:t xml:space="preserve">which was brought at </w:t>
      </w:r>
      <w:proofErr w:type="spellStart"/>
      <w:r w:rsidR="00D67DFD" w:rsidRPr="00F70805">
        <w:rPr>
          <w:rFonts w:cstheme="minorHAnsi"/>
          <w:sz w:val="26"/>
          <w:szCs w:val="26"/>
          <w:lang w:val="en-GB"/>
        </w:rPr>
        <w:t>Buhinga</w:t>
      </w:r>
      <w:proofErr w:type="spellEnd"/>
      <w:r w:rsidR="00D67DFD" w:rsidRPr="00F70805">
        <w:rPr>
          <w:rFonts w:cstheme="minorHAnsi"/>
          <w:sz w:val="26"/>
          <w:szCs w:val="26"/>
          <w:lang w:val="en-GB"/>
        </w:rPr>
        <w:t xml:space="preserve"> Hospital on 27</w:t>
      </w:r>
      <w:r w:rsidRPr="00C1614A">
        <w:rPr>
          <w:rFonts w:cstheme="minorHAnsi"/>
          <w:sz w:val="26"/>
          <w:szCs w:val="26"/>
          <w:vertAlign w:val="superscript"/>
          <w:lang w:val="en-GB"/>
        </w:rPr>
        <w:t>th</w:t>
      </w:r>
      <w:r>
        <w:rPr>
          <w:rFonts w:cstheme="minorHAnsi"/>
          <w:sz w:val="26"/>
          <w:szCs w:val="26"/>
          <w:lang w:val="en-GB"/>
        </w:rPr>
        <w:t xml:space="preserve"> October 2021 and t</w:t>
      </w:r>
      <w:r w:rsidR="00233120" w:rsidRPr="00F70805">
        <w:rPr>
          <w:rFonts w:cstheme="minorHAnsi"/>
          <w:sz w:val="26"/>
          <w:szCs w:val="26"/>
          <w:lang w:val="en-GB"/>
        </w:rPr>
        <w:t>hat he examined the body of the deceased and documented his findings in PE</w:t>
      </w:r>
      <w:r>
        <w:rPr>
          <w:rFonts w:cstheme="minorHAnsi"/>
          <w:sz w:val="26"/>
          <w:szCs w:val="26"/>
          <w:lang w:val="en-GB"/>
        </w:rPr>
        <w:t xml:space="preserve"> </w:t>
      </w:r>
      <w:r w:rsidR="00233120" w:rsidRPr="00F70805">
        <w:rPr>
          <w:rFonts w:cstheme="minorHAnsi"/>
          <w:sz w:val="26"/>
          <w:szCs w:val="26"/>
          <w:lang w:val="en-GB"/>
        </w:rPr>
        <w:t>2.</w:t>
      </w:r>
      <w:r w:rsidR="007304E2" w:rsidRPr="00F70805">
        <w:rPr>
          <w:rFonts w:cstheme="minorHAnsi"/>
          <w:sz w:val="26"/>
          <w:szCs w:val="26"/>
          <w:lang w:val="en-GB"/>
        </w:rPr>
        <w:t xml:space="preserve"> He </w:t>
      </w:r>
      <w:r>
        <w:rPr>
          <w:rFonts w:cstheme="minorHAnsi"/>
          <w:sz w:val="26"/>
          <w:szCs w:val="26"/>
          <w:lang w:val="en-GB"/>
        </w:rPr>
        <w:t xml:space="preserve">testified </w:t>
      </w:r>
      <w:r w:rsidR="007304E2" w:rsidRPr="00F70805">
        <w:rPr>
          <w:rFonts w:cstheme="minorHAnsi"/>
          <w:sz w:val="26"/>
          <w:szCs w:val="26"/>
          <w:lang w:val="en-GB"/>
        </w:rPr>
        <w:t xml:space="preserve">that </w:t>
      </w:r>
      <w:r>
        <w:rPr>
          <w:rFonts w:cstheme="minorHAnsi"/>
          <w:sz w:val="26"/>
          <w:szCs w:val="26"/>
          <w:lang w:val="en-GB"/>
        </w:rPr>
        <w:t>up</w:t>
      </w:r>
      <w:r w:rsidR="007304E2" w:rsidRPr="00F70805">
        <w:rPr>
          <w:rFonts w:cstheme="minorHAnsi"/>
          <w:sz w:val="26"/>
          <w:szCs w:val="26"/>
          <w:lang w:val="en-GB"/>
        </w:rPr>
        <w:t>on examination of the deceased</w:t>
      </w:r>
      <w:r>
        <w:rPr>
          <w:rFonts w:cstheme="minorHAnsi"/>
          <w:sz w:val="26"/>
          <w:szCs w:val="26"/>
          <w:lang w:val="en-GB"/>
        </w:rPr>
        <w:t>’s body</w:t>
      </w:r>
      <w:r w:rsidR="00B02A49" w:rsidRPr="00F70805">
        <w:rPr>
          <w:rFonts w:cstheme="minorHAnsi"/>
          <w:sz w:val="26"/>
          <w:szCs w:val="26"/>
          <w:lang w:val="en-GB"/>
        </w:rPr>
        <w:t xml:space="preserve"> which was decomposing</w:t>
      </w:r>
      <w:r w:rsidR="007304E2" w:rsidRPr="00F70805">
        <w:rPr>
          <w:rFonts w:cstheme="minorHAnsi"/>
          <w:sz w:val="26"/>
          <w:szCs w:val="26"/>
          <w:lang w:val="en-GB"/>
        </w:rPr>
        <w:t>, he found a penetrating injury</w:t>
      </w:r>
      <w:r w:rsidR="0067674D" w:rsidRPr="00F70805">
        <w:rPr>
          <w:rFonts w:cstheme="minorHAnsi"/>
          <w:sz w:val="26"/>
          <w:szCs w:val="26"/>
          <w:lang w:val="en-GB"/>
        </w:rPr>
        <w:t xml:space="preserve"> on the right side of the neck exposing the neck</w:t>
      </w:r>
      <w:r>
        <w:rPr>
          <w:rFonts w:cstheme="minorHAnsi"/>
          <w:sz w:val="26"/>
          <w:szCs w:val="26"/>
          <w:lang w:val="en-GB"/>
        </w:rPr>
        <w:t xml:space="preserve"> bone. He established the cause of death as sharp force trauma to the neck.</w:t>
      </w:r>
    </w:p>
    <w:p w14:paraId="717EF5E3" w14:textId="43FA6F5D" w:rsidR="00F241AF" w:rsidRDefault="006632C7" w:rsidP="00A71F04">
      <w:pPr>
        <w:spacing w:after="100" w:afterAutospacing="1" w:line="360" w:lineRule="auto"/>
        <w:jc w:val="both"/>
        <w:rPr>
          <w:rFonts w:cstheme="minorHAnsi"/>
          <w:sz w:val="26"/>
          <w:szCs w:val="26"/>
          <w:lang w:val="en-GB"/>
        </w:rPr>
      </w:pPr>
      <w:r w:rsidRPr="00C1614A">
        <w:rPr>
          <w:rFonts w:cstheme="minorHAnsi"/>
          <w:bCs/>
          <w:iCs/>
          <w:sz w:val="26"/>
          <w:szCs w:val="26"/>
          <w:lang w:val="en-GB"/>
        </w:rPr>
        <w:t xml:space="preserve">PW6 No. 59392, D/Cpl </w:t>
      </w:r>
      <w:proofErr w:type="spellStart"/>
      <w:r w:rsidRPr="00C1614A">
        <w:rPr>
          <w:rFonts w:cstheme="minorHAnsi"/>
          <w:bCs/>
          <w:iCs/>
          <w:sz w:val="26"/>
          <w:szCs w:val="26"/>
          <w:lang w:val="en-GB"/>
        </w:rPr>
        <w:t>Sempijja</w:t>
      </w:r>
      <w:proofErr w:type="spellEnd"/>
      <w:r w:rsidRPr="00C1614A">
        <w:rPr>
          <w:rFonts w:cstheme="minorHAnsi"/>
          <w:bCs/>
          <w:iCs/>
          <w:sz w:val="26"/>
          <w:szCs w:val="26"/>
          <w:lang w:val="en-GB"/>
        </w:rPr>
        <w:t xml:space="preserve"> Kenneth</w:t>
      </w:r>
      <w:r w:rsidR="00AD28E3" w:rsidRPr="00C1614A">
        <w:rPr>
          <w:rFonts w:cstheme="minorHAnsi"/>
          <w:bCs/>
          <w:iCs/>
          <w:sz w:val="26"/>
          <w:szCs w:val="26"/>
          <w:lang w:val="en-GB"/>
        </w:rPr>
        <w:t xml:space="preserve">, </w:t>
      </w:r>
      <w:r w:rsidR="00AD28E3" w:rsidRPr="00F70805">
        <w:rPr>
          <w:rFonts w:cstheme="minorHAnsi"/>
          <w:sz w:val="26"/>
          <w:szCs w:val="26"/>
          <w:lang w:val="en-GB"/>
        </w:rPr>
        <w:t xml:space="preserve">the </w:t>
      </w:r>
      <w:r w:rsidR="00C1614A">
        <w:rPr>
          <w:rFonts w:cstheme="minorHAnsi"/>
          <w:sz w:val="26"/>
          <w:szCs w:val="26"/>
          <w:lang w:val="en-GB"/>
        </w:rPr>
        <w:t>Fort Portal C</w:t>
      </w:r>
      <w:r w:rsidR="00AD28E3" w:rsidRPr="00F70805">
        <w:rPr>
          <w:rFonts w:cstheme="minorHAnsi"/>
          <w:sz w:val="26"/>
          <w:szCs w:val="26"/>
          <w:lang w:val="en-GB"/>
        </w:rPr>
        <w:t xml:space="preserve">entral </w:t>
      </w:r>
      <w:r w:rsidR="00C1614A">
        <w:rPr>
          <w:rFonts w:cstheme="minorHAnsi"/>
          <w:sz w:val="26"/>
          <w:szCs w:val="26"/>
          <w:lang w:val="en-GB"/>
        </w:rPr>
        <w:t>D</w:t>
      </w:r>
      <w:r w:rsidR="00757A13" w:rsidRPr="00F70805">
        <w:rPr>
          <w:rFonts w:cstheme="minorHAnsi"/>
          <w:sz w:val="26"/>
          <w:szCs w:val="26"/>
          <w:lang w:val="en-GB"/>
        </w:rPr>
        <w:t>ivision</w:t>
      </w:r>
      <w:r w:rsidR="00AD28E3" w:rsidRPr="00F70805">
        <w:rPr>
          <w:rFonts w:cstheme="minorHAnsi"/>
          <w:sz w:val="26"/>
          <w:szCs w:val="26"/>
          <w:lang w:val="en-GB"/>
        </w:rPr>
        <w:t xml:space="preserve"> </w:t>
      </w:r>
      <w:r w:rsidR="00F241AF">
        <w:rPr>
          <w:rFonts w:cstheme="minorHAnsi"/>
          <w:sz w:val="26"/>
          <w:szCs w:val="26"/>
          <w:lang w:val="en-GB"/>
        </w:rPr>
        <w:t>S</w:t>
      </w:r>
      <w:r w:rsidR="00AD28E3" w:rsidRPr="00F70805">
        <w:rPr>
          <w:rFonts w:cstheme="minorHAnsi"/>
          <w:sz w:val="26"/>
          <w:szCs w:val="26"/>
          <w:lang w:val="en-GB"/>
        </w:rPr>
        <w:t xml:space="preserve">cene of </w:t>
      </w:r>
      <w:r w:rsidR="00F241AF">
        <w:rPr>
          <w:rFonts w:cstheme="minorHAnsi"/>
          <w:sz w:val="26"/>
          <w:szCs w:val="26"/>
          <w:lang w:val="en-GB"/>
        </w:rPr>
        <w:t>C</w:t>
      </w:r>
      <w:r w:rsidR="00F33D19" w:rsidRPr="00F70805">
        <w:rPr>
          <w:rFonts w:cstheme="minorHAnsi"/>
          <w:sz w:val="26"/>
          <w:szCs w:val="26"/>
          <w:lang w:val="en-GB"/>
        </w:rPr>
        <w:t xml:space="preserve">rime </w:t>
      </w:r>
      <w:r w:rsidR="00F241AF">
        <w:rPr>
          <w:rFonts w:cstheme="minorHAnsi"/>
          <w:sz w:val="26"/>
          <w:szCs w:val="26"/>
          <w:lang w:val="en-GB"/>
        </w:rPr>
        <w:t>O</w:t>
      </w:r>
      <w:r w:rsidR="00F33D19" w:rsidRPr="00F70805">
        <w:rPr>
          <w:rFonts w:cstheme="minorHAnsi"/>
          <w:sz w:val="26"/>
          <w:szCs w:val="26"/>
          <w:lang w:val="en-GB"/>
        </w:rPr>
        <w:t>fficer visited the crime scene and took photographs of the deceased and drew a sketch</w:t>
      </w:r>
      <w:r w:rsidR="00F241AF">
        <w:rPr>
          <w:rFonts w:cstheme="minorHAnsi"/>
          <w:sz w:val="26"/>
          <w:szCs w:val="26"/>
          <w:lang w:val="en-GB"/>
        </w:rPr>
        <w:t xml:space="preserve"> map</w:t>
      </w:r>
      <w:r w:rsidR="00F33D19" w:rsidRPr="00F70805">
        <w:rPr>
          <w:rFonts w:cstheme="minorHAnsi"/>
          <w:sz w:val="26"/>
          <w:szCs w:val="26"/>
          <w:lang w:val="en-GB"/>
        </w:rPr>
        <w:t>.</w:t>
      </w:r>
      <w:r w:rsidR="00A03A37" w:rsidRPr="00F70805">
        <w:rPr>
          <w:rFonts w:cstheme="minorHAnsi"/>
          <w:sz w:val="26"/>
          <w:szCs w:val="26"/>
          <w:lang w:val="en-GB"/>
        </w:rPr>
        <w:t xml:space="preserve"> </w:t>
      </w:r>
      <w:r w:rsidR="007115A9" w:rsidRPr="00F70805">
        <w:rPr>
          <w:rFonts w:cstheme="minorHAnsi"/>
          <w:sz w:val="26"/>
          <w:szCs w:val="26"/>
          <w:lang w:val="en-GB"/>
        </w:rPr>
        <w:t xml:space="preserve">The sketch map </w:t>
      </w:r>
      <w:proofErr w:type="gramStart"/>
      <w:r w:rsidR="007115A9" w:rsidRPr="00F70805">
        <w:rPr>
          <w:rFonts w:cstheme="minorHAnsi"/>
          <w:sz w:val="26"/>
          <w:szCs w:val="26"/>
          <w:lang w:val="en-GB"/>
        </w:rPr>
        <w:t>was admitted</w:t>
      </w:r>
      <w:proofErr w:type="gramEnd"/>
      <w:r w:rsidR="00F241AF">
        <w:rPr>
          <w:rFonts w:cstheme="minorHAnsi"/>
          <w:sz w:val="26"/>
          <w:szCs w:val="26"/>
          <w:lang w:val="en-GB"/>
        </w:rPr>
        <w:t xml:space="preserve"> in evidence</w:t>
      </w:r>
      <w:r w:rsidR="007115A9" w:rsidRPr="00F70805">
        <w:rPr>
          <w:rFonts w:cstheme="minorHAnsi"/>
          <w:sz w:val="26"/>
          <w:szCs w:val="26"/>
          <w:lang w:val="en-GB"/>
        </w:rPr>
        <w:t xml:space="preserve"> as </w:t>
      </w:r>
      <w:proofErr w:type="spellStart"/>
      <w:r w:rsidR="00A03A37" w:rsidRPr="000419B1">
        <w:rPr>
          <w:rFonts w:cstheme="minorHAnsi"/>
          <w:b/>
          <w:sz w:val="26"/>
          <w:szCs w:val="26"/>
          <w:lang w:val="en-GB"/>
        </w:rPr>
        <w:t>PE</w:t>
      </w:r>
      <w:r w:rsidR="000419B1">
        <w:rPr>
          <w:rFonts w:cstheme="minorHAnsi"/>
          <w:b/>
          <w:sz w:val="26"/>
          <w:szCs w:val="26"/>
          <w:lang w:val="en-GB"/>
        </w:rPr>
        <w:t>x</w:t>
      </w:r>
      <w:proofErr w:type="spellEnd"/>
      <w:r w:rsidR="00F241AF">
        <w:rPr>
          <w:rFonts w:cstheme="minorHAnsi"/>
          <w:sz w:val="26"/>
          <w:szCs w:val="26"/>
          <w:lang w:val="en-GB"/>
        </w:rPr>
        <w:t xml:space="preserve"> </w:t>
      </w:r>
      <w:r w:rsidR="00A03A37" w:rsidRPr="00F70805">
        <w:rPr>
          <w:rFonts w:cstheme="minorHAnsi"/>
          <w:sz w:val="26"/>
          <w:szCs w:val="26"/>
          <w:lang w:val="en-GB"/>
        </w:rPr>
        <w:t>3</w:t>
      </w:r>
      <w:r w:rsidR="008B36BD" w:rsidRPr="00F70805">
        <w:rPr>
          <w:rFonts w:cstheme="minorHAnsi"/>
          <w:sz w:val="26"/>
          <w:szCs w:val="26"/>
          <w:lang w:val="en-GB"/>
        </w:rPr>
        <w:t xml:space="preserve"> indicating the </w:t>
      </w:r>
      <w:r w:rsidR="00DD645A" w:rsidRPr="00F70805">
        <w:rPr>
          <w:rFonts w:cstheme="minorHAnsi"/>
          <w:sz w:val="26"/>
          <w:szCs w:val="26"/>
          <w:lang w:val="en-GB"/>
        </w:rPr>
        <w:t>area where the body was found and the photographs of the decomposing body of the deceased were admitted as</w:t>
      </w:r>
      <w:r w:rsidR="00757A13" w:rsidRPr="00F70805">
        <w:rPr>
          <w:rFonts w:cstheme="minorHAnsi"/>
          <w:sz w:val="26"/>
          <w:szCs w:val="26"/>
          <w:lang w:val="en-GB"/>
        </w:rPr>
        <w:t xml:space="preserve"> </w:t>
      </w:r>
      <w:proofErr w:type="spellStart"/>
      <w:r w:rsidR="00757A13" w:rsidRPr="000419B1">
        <w:rPr>
          <w:rFonts w:cstheme="minorHAnsi"/>
          <w:b/>
          <w:sz w:val="26"/>
          <w:szCs w:val="26"/>
          <w:lang w:val="en-GB"/>
        </w:rPr>
        <w:t>PE</w:t>
      </w:r>
      <w:r w:rsidR="000419B1" w:rsidRPr="000419B1">
        <w:rPr>
          <w:rFonts w:cstheme="minorHAnsi"/>
          <w:b/>
          <w:sz w:val="26"/>
          <w:szCs w:val="26"/>
          <w:lang w:val="en-GB"/>
        </w:rPr>
        <w:t>x</w:t>
      </w:r>
      <w:proofErr w:type="spellEnd"/>
      <w:r w:rsidR="00757A13" w:rsidRPr="000419B1">
        <w:rPr>
          <w:rFonts w:cstheme="minorHAnsi"/>
          <w:b/>
          <w:sz w:val="26"/>
          <w:szCs w:val="26"/>
          <w:lang w:val="en-GB"/>
        </w:rPr>
        <w:t xml:space="preserve"> </w:t>
      </w:r>
      <w:r w:rsidR="00F241AF" w:rsidRPr="000419B1">
        <w:rPr>
          <w:rFonts w:cstheme="minorHAnsi"/>
          <w:b/>
          <w:sz w:val="26"/>
          <w:szCs w:val="26"/>
          <w:lang w:val="en-GB"/>
        </w:rPr>
        <w:t>4</w:t>
      </w:r>
      <w:r w:rsidR="00757A13" w:rsidRPr="000419B1">
        <w:rPr>
          <w:rFonts w:cstheme="minorHAnsi"/>
          <w:b/>
          <w:sz w:val="26"/>
          <w:szCs w:val="26"/>
          <w:lang w:val="en-GB"/>
        </w:rPr>
        <w:t xml:space="preserve">C, </w:t>
      </w:r>
      <w:r w:rsidR="00F241AF" w:rsidRPr="000419B1">
        <w:rPr>
          <w:rFonts w:cstheme="minorHAnsi"/>
          <w:b/>
          <w:sz w:val="26"/>
          <w:szCs w:val="26"/>
          <w:lang w:val="en-GB"/>
        </w:rPr>
        <w:t>4D</w:t>
      </w:r>
      <w:r w:rsidR="00757A13" w:rsidRPr="000419B1">
        <w:rPr>
          <w:rFonts w:cstheme="minorHAnsi"/>
          <w:b/>
          <w:sz w:val="26"/>
          <w:szCs w:val="26"/>
          <w:lang w:val="en-GB"/>
        </w:rPr>
        <w:t xml:space="preserve">, </w:t>
      </w:r>
      <w:r w:rsidR="00F241AF" w:rsidRPr="000419B1">
        <w:rPr>
          <w:rFonts w:cstheme="minorHAnsi"/>
          <w:b/>
          <w:sz w:val="26"/>
          <w:szCs w:val="26"/>
          <w:lang w:val="en-GB"/>
        </w:rPr>
        <w:t>4</w:t>
      </w:r>
      <w:r w:rsidR="00757A13" w:rsidRPr="000419B1">
        <w:rPr>
          <w:rFonts w:cstheme="minorHAnsi"/>
          <w:b/>
          <w:sz w:val="26"/>
          <w:szCs w:val="26"/>
          <w:lang w:val="en-GB"/>
        </w:rPr>
        <w:t>E</w:t>
      </w:r>
      <w:r w:rsidR="00757A13" w:rsidRPr="00F70805">
        <w:rPr>
          <w:rFonts w:cstheme="minorHAnsi"/>
          <w:sz w:val="26"/>
          <w:szCs w:val="26"/>
          <w:lang w:val="en-GB"/>
        </w:rPr>
        <w:t xml:space="preserve"> and </w:t>
      </w:r>
      <w:r w:rsidR="00F241AF" w:rsidRPr="000419B1">
        <w:rPr>
          <w:rFonts w:cstheme="minorHAnsi"/>
          <w:b/>
          <w:sz w:val="26"/>
          <w:szCs w:val="26"/>
          <w:lang w:val="en-GB"/>
        </w:rPr>
        <w:t>4</w:t>
      </w:r>
      <w:r w:rsidR="00757A13" w:rsidRPr="000419B1">
        <w:rPr>
          <w:rFonts w:cstheme="minorHAnsi"/>
          <w:b/>
          <w:sz w:val="26"/>
          <w:szCs w:val="26"/>
          <w:lang w:val="en-GB"/>
        </w:rPr>
        <w:t>F</w:t>
      </w:r>
      <w:r w:rsidR="00757A13" w:rsidRPr="00F70805">
        <w:rPr>
          <w:rFonts w:cstheme="minorHAnsi"/>
          <w:sz w:val="26"/>
          <w:szCs w:val="26"/>
          <w:lang w:val="en-GB"/>
        </w:rPr>
        <w:t>.</w:t>
      </w:r>
      <w:r w:rsidR="00B8762F" w:rsidRPr="00F70805">
        <w:rPr>
          <w:rFonts w:cstheme="minorHAnsi"/>
          <w:sz w:val="26"/>
          <w:szCs w:val="26"/>
          <w:lang w:val="en-GB"/>
        </w:rPr>
        <w:t xml:space="preserve"> </w:t>
      </w:r>
    </w:p>
    <w:p w14:paraId="798F1DBF" w14:textId="60ABCCD8" w:rsidR="000419B1" w:rsidRDefault="000419B1" w:rsidP="00A71F04">
      <w:pPr>
        <w:spacing w:after="100" w:afterAutospacing="1" w:line="360" w:lineRule="auto"/>
        <w:jc w:val="both"/>
        <w:rPr>
          <w:rFonts w:cstheme="minorHAnsi"/>
          <w:sz w:val="26"/>
          <w:szCs w:val="26"/>
          <w:lang w:val="en-GB"/>
        </w:rPr>
      </w:pPr>
      <w:r>
        <w:rPr>
          <w:rFonts w:cstheme="minorHAnsi"/>
          <w:sz w:val="26"/>
          <w:szCs w:val="26"/>
          <w:lang w:val="en-GB"/>
        </w:rPr>
        <w:t xml:space="preserve">PW6 also testified in reference to </w:t>
      </w:r>
      <w:r w:rsidR="00942587">
        <w:rPr>
          <w:rFonts w:cstheme="minorHAnsi"/>
          <w:sz w:val="26"/>
          <w:szCs w:val="26"/>
          <w:lang w:val="en-GB"/>
        </w:rPr>
        <w:t xml:space="preserve">a receipt found in the deceased’s pocket and photographed at the scene. He stated that the receipt was in the names of </w:t>
      </w:r>
      <w:proofErr w:type="spellStart"/>
      <w:r w:rsidR="00942587">
        <w:rPr>
          <w:rFonts w:cstheme="minorHAnsi"/>
          <w:sz w:val="26"/>
          <w:szCs w:val="26"/>
          <w:lang w:val="en-GB"/>
        </w:rPr>
        <w:t>Kasangaki</w:t>
      </w:r>
      <w:proofErr w:type="spellEnd"/>
      <w:r w:rsidR="00942587">
        <w:rPr>
          <w:rFonts w:cstheme="minorHAnsi"/>
          <w:sz w:val="26"/>
          <w:szCs w:val="26"/>
          <w:lang w:val="en-GB"/>
        </w:rPr>
        <w:t xml:space="preserve"> Wilson with a number plate for a motorcycle he </w:t>
      </w:r>
      <w:proofErr w:type="gramStart"/>
      <w:r w:rsidR="00942587">
        <w:rPr>
          <w:rFonts w:cstheme="minorHAnsi"/>
          <w:sz w:val="26"/>
          <w:szCs w:val="26"/>
          <w:lang w:val="en-GB"/>
        </w:rPr>
        <w:t>was suspected</w:t>
      </w:r>
      <w:proofErr w:type="gramEnd"/>
      <w:r w:rsidR="00942587">
        <w:rPr>
          <w:rFonts w:cstheme="minorHAnsi"/>
          <w:sz w:val="26"/>
          <w:szCs w:val="26"/>
          <w:lang w:val="en-GB"/>
        </w:rPr>
        <w:t xml:space="preserve"> to be riding. </w:t>
      </w:r>
    </w:p>
    <w:p w14:paraId="026D221E" w14:textId="1F951C44" w:rsidR="006632C7" w:rsidRDefault="00B8762F" w:rsidP="00A71F04">
      <w:pPr>
        <w:spacing w:after="100" w:afterAutospacing="1" w:line="360" w:lineRule="auto"/>
        <w:jc w:val="both"/>
        <w:rPr>
          <w:rFonts w:cstheme="minorHAnsi"/>
          <w:sz w:val="26"/>
          <w:szCs w:val="26"/>
          <w:lang w:val="en-GB"/>
        </w:rPr>
      </w:pPr>
      <w:r w:rsidRPr="00F70805">
        <w:rPr>
          <w:rFonts w:cstheme="minorHAnsi"/>
          <w:sz w:val="26"/>
          <w:szCs w:val="26"/>
          <w:lang w:val="en-GB"/>
        </w:rPr>
        <w:t xml:space="preserve">Prosecution also </w:t>
      </w:r>
      <w:r w:rsidR="000419B1">
        <w:rPr>
          <w:rFonts w:cstheme="minorHAnsi"/>
          <w:sz w:val="26"/>
          <w:szCs w:val="26"/>
          <w:lang w:val="en-GB"/>
        </w:rPr>
        <w:t xml:space="preserve">relied on the testimony of PW9 </w:t>
      </w:r>
      <w:proofErr w:type="spellStart"/>
      <w:r w:rsidR="000419B1">
        <w:rPr>
          <w:rFonts w:cstheme="minorHAnsi"/>
          <w:sz w:val="26"/>
          <w:szCs w:val="26"/>
          <w:lang w:val="en-GB"/>
        </w:rPr>
        <w:t>Akugizibwe</w:t>
      </w:r>
      <w:proofErr w:type="spellEnd"/>
      <w:r w:rsidR="000419B1">
        <w:rPr>
          <w:rFonts w:cstheme="minorHAnsi"/>
          <w:sz w:val="26"/>
          <w:szCs w:val="26"/>
          <w:lang w:val="en-GB"/>
        </w:rPr>
        <w:t xml:space="preserve"> Yassin, a </w:t>
      </w:r>
      <w:proofErr w:type="spellStart"/>
      <w:r w:rsidR="000419B1">
        <w:rPr>
          <w:rFonts w:cstheme="minorHAnsi"/>
          <w:sz w:val="26"/>
          <w:szCs w:val="26"/>
          <w:lang w:val="en-GB"/>
        </w:rPr>
        <w:t>boda</w:t>
      </w:r>
      <w:proofErr w:type="spellEnd"/>
      <w:r w:rsidR="000419B1">
        <w:rPr>
          <w:rFonts w:cstheme="minorHAnsi"/>
          <w:sz w:val="26"/>
          <w:szCs w:val="26"/>
          <w:lang w:val="en-GB"/>
        </w:rPr>
        <w:t xml:space="preserve"> rider who testified that he went with other riders to the mortuary and identified the deceased based upon items of clothing that they knew he usually wore.</w:t>
      </w:r>
    </w:p>
    <w:p w14:paraId="366A2F33" w14:textId="280AB0BF" w:rsidR="00942587" w:rsidRDefault="00942587" w:rsidP="00A71F04">
      <w:pPr>
        <w:spacing w:after="100" w:afterAutospacing="1" w:line="360" w:lineRule="auto"/>
        <w:jc w:val="both"/>
        <w:rPr>
          <w:rFonts w:cstheme="minorHAnsi"/>
          <w:sz w:val="26"/>
          <w:szCs w:val="26"/>
          <w:lang w:val="en-GB"/>
        </w:rPr>
      </w:pPr>
      <w:r>
        <w:rPr>
          <w:rFonts w:cstheme="minorHAnsi"/>
          <w:sz w:val="26"/>
          <w:szCs w:val="26"/>
          <w:lang w:val="en-GB"/>
        </w:rPr>
        <w:t xml:space="preserve">For its part the Defence contended that the death of the deceased </w:t>
      </w:r>
      <w:proofErr w:type="gramStart"/>
      <w:r>
        <w:rPr>
          <w:rFonts w:cstheme="minorHAnsi"/>
          <w:sz w:val="26"/>
          <w:szCs w:val="26"/>
          <w:lang w:val="en-GB"/>
        </w:rPr>
        <w:t>had not been proved</w:t>
      </w:r>
      <w:proofErr w:type="gramEnd"/>
      <w:r>
        <w:rPr>
          <w:rFonts w:cstheme="minorHAnsi"/>
          <w:sz w:val="26"/>
          <w:szCs w:val="26"/>
          <w:lang w:val="en-GB"/>
        </w:rPr>
        <w:t xml:space="preserve"> as the deceased’s body was found in a decomposed state. The Defence further contended t</w:t>
      </w:r>
      <w:r w:rsidR="00BE766E">
        <w:rPr>
          <w:rFonts w:cstheme="minorHAnsi"/>
          <w:sz w:val="26"/>
          <w:szCs w:val="26"/>
          <w:lang w:val="en-GB"/>
        </w:rPr>
        <w:t xml:space="preserve">hat no DNA test had </w:t>
      </w:r>
      <w:proofErr w:type="spellStart"/>
      <w:r w:rsidR="00BE766E">
        <w:rPr>
          <w:rFonts w:cstheme="minorHAnsi"/>
          <w:sz w:val="26"/>
          <w:szCs w:val="26"/>
          <w:lang w:val="en-GB"/>
        </w:rPr>
        <w:t>beenn</w:t>
      </w:r>
      <w:r>
        <w:rPr>
          <w:rFonts w:cstheme="minorHAnsi"/>
          <w:sz w:val="26"/>
          <w:szCs w:val="26"/>
          <w:lang w:val="en-GB"/>
        </w:rPr>
        <w:t>conducted</w:t>
      </w:r>
      <w:proofErr w:type="spellEnd"/>
      <w:r>
        <w:rPr>
          <w:rFonts w:cstheme="minorHAnsi"/>
          <w:sz w:val="26"/>
          <w:szCs w:val="26"/>
          <w:lang w:val="en-GB"/>
        </w:rPr>
        <w:t xml:space="preserve"> to confirm the i</w:t>
      </w:r>
      <w:r w:rsidR="00BE766E">
        <w:rPr>
          <w:rFonts w:cstheme="minorHAnsi"/>
          <w:sz w:val="26"/>
          <w:szCs w:val="26"/>
          <w:lang w:val="en-GB"/>
        </w:rPr>
        <w:t xml:space="preserve">dentity of the deceased as PW4 </w:t>
      </w:r>
      <w:proofErr w:type="spellStart"/>
      <w:r w:rsidR="00BE766E">
        <w:rPr>
          <w:rFonts w:cstheme="minorHAnsi"/>
          <w:sz w:val="26"/>
          <w:szCs w:val="26"/>
          <w:lang w:val="en-GB"/>
        </w:rPr>
        <w:t>Bo</w:t>
      </w:r>
      <w:r>
        <w:rPr>
          <w:rFonts w:cstheme="minorHAnsi"/>
          <w:sz w:val="26"/>
          <w:szCs w:val="26"/>
          <w:lang w:val="en-GB"/>
        </w:rPr>
        <w:t>mera</w:t>
      </w:r>
      <w:proofErr w:type="spellEnd"/>
      <w:r>
        <w:rPr>
          <w:rFonts w:cstheme="minorHAnsi"/>
          <w:sz w:val="26"/>
          <w:szCs w:val="26"/>
          <w:lang w:val="en-GB"/>
        </w:rPr>
        <w:t xml:space="preserve"> Sylvester had testified that the deceased’s parents did not provide DNA. However, this was incorrect as it was PW5, the Police Surgeon who disclosed that while DNA samples </w:t>
      </w:r>
      <w:proofErr w:type="gramStart"/>
      <w:r>
        <w:rPr>
          <w:rFonts w:cstheme="minorHAnsi"/>
          <w:sz w:val="26"/>
          <w:szCs w:val="26"/>
          <w:lang w:val="en-GB"/>
        </w:rPr>
        <w:t>had been retrieved</w:t>
      </w:r>
      <w:proofErr w:type="gramEnd"/>
      <w:r>
        <w:rPr>
          <w:rFonts w:cstheme="minorHAnsi"/>
          <w:sz w:val="26"/>
          <w:szCs w:val="26"/>
          <w:lang w:val="en-GB"/>
        </w:rPr>
        <w:t xml:space="preserve"> from the bo</w:t>
      </w:r>
      <w:r w:rsidR="006A1DA2">
        <w:rPr>
          <w:rFonts w:cstheme="minorHAnsi"/>
          <w:sz w:val="26"/>
          <w:szCs w:val="26"/>
          <w:lang w:val="en-GB"/>
        </w:rPr>
        <w:t xml:space="preserve">dy, there was no person or relative that claimed the body. PW6 the Scene of Crimes Officer also confirmed this when he testified that there </w:t>
      </w:r>
      <w:r w:rsidR="00BE766E">
        <w:rPr>
          <w:rFonts w:cstheme="minorHAnsi"/>
          <w:sz w:val="26"/>
          <w:szCs w:val="26"/>
          <w:lang w:val="en-GB"/>
        </w:rPr>
        <w:t>w</w:t>
      </w:r>
      <w:r w:rsidR="006A1DA2">
        <w:rPr>
          <w:rFonts w:cstheme="minorHAnsi"/>
          <w:sz w:val="26"/>
          <w:szCs w:val="26"/>
          <w:lang w:val="en-GB"/>
        </w:rPr>
        <w:t xml:space="preserve">as no relative against whom to compare the results of the DNA profile taken from the body suspected to be that of </w:t>
      </w:r>
      <w:proofErr w:type="spellStart"/>
      <w:r w:rsidR="006A1DA2">
        <w:rPr>
          <w:rFonts w:cstheme="minorHAnsi"/>
          <w:sz w:val="26"/>
          <w:szCs w:val="26"/>
          <w:lang w:val="en-GB"/>
        </w:rPr>
        <w:t>Kasangaki</w:t>
      </w:r>
      <w:proofErr w:type="spellEnd"/>
      <w:r w:rsidR="006A1DA2">
        <w:rPr>
          <w:rFonts w:cstheme="minorHAnsi"/>
          <w:sz w:val="26"/>
          <w:szCs w:val="26"/>
          <w:lang w:val="en-GB"/>
        </w:rPr>
        <w:t xml:space="preserve"> Wilson.</w:t>
      </w:r>
    </w:p>
    <w:p w14:paraId="2AFA688F" w14:textId="291E1C87" w:rsidR="006A1DA2" w:rsidRDefault="006A1DA2" w:rsidP="00A71F04">
      <w:pPr>
        <w:spacing w:after="100" w:afterAutospacing="1" w:line="360" w:lineRule="auto"/>
        <w:jc w:val="both"/>
        <w:rPr>
          <w:rFonts w:cstheme="minorHAnsi"/>
          <w:sz w:val="26"/>
          <w:szCs w:val="26"/>
          <w:lang w:val="en-GB"/>
        </w:rPr>
      </w:pPr>
      <w:r>
        <w:rPr>
          <w:rFonts w:cstheme="minorHAnsi"/>
          <w:sz w:val="26"/>
          <w:szCs w:val="26"/>
          <w:lang w:val="en-GB"/>
        </w:rPr>
        <w:lastRenderedPageBreak/>
        <w:t xml:space="preserve">Going by the legal precedent in the </w:t>
      </w:r>
      <w:proofErr w:type="spellStart"/>
      <w:r>
        <w:rPr>
          <w:rFonts w:cstheme="minorHAnsi"/>
          <w:b/>
          <w:sz w:val="26"/>
          <w:szCs w:val="26"/>
          <w:lang w:val="en-GB"/>
        </w:rPr>
        <w:t>Kimweri</w:t>
      </w:r>
      <w:proofErr w:type="spellEnd"/>
      <w:r>
        <w:rPr>
          <w:rFonts w:cstheme="minorHAnsi"/>
          <w:b/>
          <w:sz w:val="26"/>
          <w:szCs w:val="26"/>
          <w:lang w:val="en-GB"/>
        </w:rPr>
        <w:t xml:space="preserve"> </w:t>
      </w:r>
      <w:r>
        <w:rPr>
          <w:rFonts w:cstheme="minorHAnsi"/>
          <w:sz w:val="26"/>
          <w:szCs w:val="26"/>
          <w:lang w:val="en-GB"/>
        </w:rPr>
        <w:t>case cited above, proof of death is by post mortem examination or evidence of witnesses who knew the deceased and attended burial or saw dead body.</w:t>
      </w:r>
    </w:p>
    <w:p w14:paraId="03393E7D" w14:textId="623AAEB1" w:rsidR="006A1DA2" w:rsidRDefault="006A1DA2" w:rsidP="00A71F04">
      <w:pPr>
        <w:spacing w:after="100" w:afterAutospacing="1" w:line="360" w:lineRule="auto"/>
        <w:jc w:val="both"/>
        <w:rPr>
          <w:rFonts w:cstheme="minorHAnsi"/>
          <w:sz w:val="26"/>
          <w:szCs w:val="26"/>
          <w:lang w:val="en-GB"/>
        </w:rPr>
      </w:pPr>
      <w:r>
        <w:rPr>
          <w:rFonts w:cstheme="minorHAnsi"/>
          <w:sz w:val="26"/>
          <w:szCs w:val="26"/>
          <w:lang w:val="en-GB"/>
        </w:rPr>
        <w:t>In this particular case, the eviden</w:t>
      </w:r>
      <w:r w:rsidR="00BE766E">
        <w:rPr>
          <w:rFonts w:cstheme="minorHAnsi"/>
          <w:sz w:val="26"/>
          <w:szCs w:val="26"/>
          <w:lang w:val="en-GB"/>
        </w:rPr>
        <w:t>ce</w:t>
      </w:r>
      <w:r>
        <w:rPr>
          <w:rFonts w:cstheme="minorHAnsi"/>
          <w:sz w:val="26"/>
          <w:szCs w:val="26"/>
          <w:lang w:val="en-GB"/>
        </w:rPr>
        <w:t xml:space="preserve"> leaves some reasonable doubt. Prosecution Exhibit 4D being a picture of the body recovered and suspected to be that of the deceased clearly depicts a body with just a human skull left. Indeed as the Post </w:t>
      </w:r>
      <w:proofErr w:type="gramStart"/>
      <w:r>
        <w:rPr>
          <w:rFonts w:cstheme="minorHAnsi"/>
          <w:sz w:val="26"/>
          <w:szCs w:val="26"/>
          <w:lang w:val="en-GB"/>
        </w:rPr>
        <w:t>Mortem</w:t>
      </w:r>
      <w:proofErr w:type="gramEnd"/>
      <w:r>
        <w:rPr>
          <w:rFonts w:cstheme="minorHAnsi"/>
          <w:sz w:val="26"/>
          <w:szCs w:val="26"/>
          <w:lang w:val="en-GB"/>
        </w:rPr>
        <w:t xml:space="preserve"> report (</w:t>
      </w:r>
      <w:proofErr w:type="spellStart"/>
      <w:r>
        <w:rPr>
          <w:rFonts w:cstheme="minorHAnsi"/>
          <w:sz w:val="26"/>
          <w:szCs w:val="26"/>
          <w:lang w:val="en-GB"/>
        </w:rPr>
        <w:t>PEx</w:t>
      </w:r>
      <w:proofErr w:type="spellEnd"/>
      <w:r>
        <w:rPr>
          <w:rFonts w:cstheme="minorHAnsi"/>
          <w:sz w:val="26"/>
          <w:szCs w:val="26"/>
          <w:lang w:val="en-GB"/>
        </w:rPr>
        <w:t xml:space="preserve"> 2) also noted the head lacked soft tissues due to presumable predation by wild animals. In other words, wild animals had probably eaten the deceased’s face away.  </w:t>
      </w:r>
    </w:p>
    <w:p w14:paraId="52D72284" w14:textId="77BD6382" w:rsidR="003452B6" w:rsidRDefault="003452B6" w:rsidP="00A71F04">
      <w:pPr>
        <w:spacing w:after="100" w:afterAutospacing="1" w:line="360" w:lineRule="auto"/>
        <w:jc w:val="both"/>
        <w:rPr>
          <w:rFonts w:cstheme="minorHAnsi"/>
          <w:sz w:val="26"/>
          <w:szCs w:val="26"/>
          <w:lang w:val="en-GB"/>
        </w:rPr>
      </w:pPr>
      <w:r>
        <w:rPr>
          <w:rFonts w:cstheme="minorHAnsi"/>
          <w:sz w:val="26"/>
          <w:szCs w:val="26"/>
          <w:lang w:val="en-GB"/>
        </w:rPr>
        <w:t>Going by the available e</w:t>
      </w:r>
      <w:r w:rsidR="00BE766E">
        <w:rPr>
          <w:rFonts w:cstheme="minorHAnsi"/>
          <w:sz w:val="26"/>
          <w:szCs w:val="26"/>
          <w:lang w:val="en-GB"/>
        </w:rPr>
        <w:t>vidence a body was recovered</w:t>
      </w:r>
      <w:r>
        <w:rPr>
          <w:rFonts w:cstheme="minorHAnsi"/>
          <w:sz w:val="26"/>
          <w:szCs w:val="26"/>
          <w:lang w:val="en-GB"/>
        </w:rPr>
        <w:t xml:space="preserve"> this body was not scientifically proven to be the body of </w:t>
      </w:r>
      <w:proofErr w:type="spellStart"/>
      <w:r>
        <w:rPr>
          <w:rFonts w:cstheme="minorHAnsi"/>
          <w:sz w:val="26"/>
          <w:szCs w:val="26"/>
          <w:lang w:val="en-GB"/>
        </w:rPr>
        <w:t>Kasangaki</w:t>
      </w:r>
      <w:proofErr w:type="spellEnd"/>
      <w:r>
        <w:rPr>
          <w:rFonts w:cstheme="minorHAnsi"/>
          <w:sz w:val="26"/>
          <w:szCs w:val="26"/>
          <w:lang w:val="en-GB"/>
        </w:rPr>
        <w:t xml:space="preserve"> Wilson. Furthermore, the testimony of PW9 of having identified the body by items of clothing they knew the deceased </w:t>
      </w:r>
      <w:proofErr w:type="gramStart"/>
      <w:r>
        <w:rPr>
          <w:rFonts w:cstheme="minorHAnsi"/>
          <w:sz w:val="26"/>
          <w:szCs w:val="26"/>
          <w:lang w:val="en-GB"/>
        </w:rPr>
        <w:t>to normally wear</w:t>
      </w:r>
      <w:proofErr w:type="gramEnd"/>
      <w:r>
        <w:rPr>
          <w:rFonts w:cstheme="minorHAnsi"/>
          <w:sz w:val="26"/>
          <w:szCs w:val="26"/>
          <w:lang w:val="en-GB"/>
        </w:rPr>
        <w:t xml:space="preserve"> still leaves sufficient reasonable doubt. In criminal matters, the evidential standard is proof beyond reasonable doubt. The fact that the body </w:t>
      </w:r>
      <w:proofErr w:type="gramStart"/>
      <w:r>
        <w:rPr>
          <w:rFonts w:cstheme="minorHAnsi"/>
          <w:sz w:val="26"/>
          <w:szCs w:val="26"/>
          <w:lang w:val="en-GB"/>
        </w:rPr>
        <w:t>was found</w:t>
      </w:r>
      <w:proofErr w:type="gramEnd"/>
      <w:r>
        <w:rPr>
          <w:rFonts w:cstheme="minorHAnsi"/>
          <w:sz w:val="26"/>
          <w:szCs w:val="26"/>
          <w:lang w:val="en-GB"/>
        </w:rPr>
        <w:t xml:space="preserve"> with clothes that were similar to what the deceased was known to have been wearing cannot be safely relied upon to make a conclusive determination. This is because by PW9s testimony they first saw the body before they could identify the clothing. </w:t>
      </w:r>
    </w:p>
    <w:p w14:paraId="5221DCA0" w14:textId="066F97C5" w:rsidR="003452B6" w:rsidRDefault="003452B6" w:rsidP="00A71F04">
      <w:pPr>
        <w:spacing w:after="100" w:afterAutospacing="1" w:line="360" w:lineRule="auto"/>
        <w:jc w:val="both"/>
        <w:rPr>
          <w:rFonts w:cstheme="minorHAnsi"/>
          <w:sz w:val="26"/>
          <w:szCs w:val="26"/>
          <w:lang w:val="en-GB"/>
        </w:rPr>
      </w:pPr>
      <w:r>
        <w:rPr>
          <w:rFonts w:cstheme="minorHAnsi"/>
          <w:sz w:val="26"/>
          <w:szCs w:val="26"/>
          <w:lang w:val="en-GB"/>
        </w:rPr>
        <w:t>In emotionally charged situations such as ide</w:t>
      </w:r>
      <w:r w:rsidR="003F274A">
        <w:rPr>
          <w:rFonts w:cstheme="minorHAnsi"/>
          <w:sz w:val="26"/>
          <w:szCs w:val="26"/>
          <w:lang w:val="en-GB"/>
        </w:rPr>
        <w:t>ntification of a suspected murder victim</w:t>
      </w:r>
      <w:r>
        <w:rPr>
          <w:rFonts w:cstheme="minorHAnsi"/>
          <w:sz w:val="26"/>
          <w:szCs w:val="26"/>
          <w:lang w:val="en-GB"/>
        </w:rPr>
        <w:t>, there is considerable risk of confirmation-bias</w:t>
      </w:r>
      <w:r w:rsidR="00AC3A55">
        <w:rPr>
          <w:rFonts w:cstheme="minorHAnsi"/>
          <w:sz w:val="26"/>
          <w:szCs w:val="26"/>
          <w:lang w:val="en-GB"/>
        </w:rPr>
        <w:t xml:space="preserve"> by witnesses. This is where a witness perceives a situation according to what they already believe is true. I</w:t>
      </w:r>
      <w:r w:rsidR="003F274A">
        <w:rPr>
          <w:rFonts w:cstheme="minorHAnsi"/>
          <w:sz w:val="26"/>
          <w:szCs w:val="26"/>
          <w:lang w:val="en-GB"/>
        </w:rPr>
        <w:t>t might</w:t>
      </w:r>
      <w:r w:rsidR="00AC3A55">
        <w:rPr>
          <w:rFonts w:cstheme="minorHAnsi"/>
          <w:sz w:val="26"/>
          <w:szCs w:val="26"/>
          <w:lang w:val="en-GB"/>
        </w:rPr>
        <w:t xml:space="preserve"> therefore</w:t>
      </w:r>
      <w:r w:rsidR="003F274A">
        <w:rPr>
          <w:rFonts w:cstheme="minorHAnsi"/>
          <w:sz w:val="26"/>
          <w:szCs w:val="26"/>
          <w:lang w:val="en-GB"/>
        </w:rPr>
        <w:t xml:space="preserve"> have been preferable for the police to collect information about what the deceased had been wearing on the day he </w:t>
      </w:r>
      <w:proofErr w:type="gramStart"/>
      <w:r w:rsidR="003F274A">
        <w:rPr>
          <w:rFonts w:cstheme="minorHAnsi"/>
          <w:sz w:val="26"/>
          <w:szCs w:val="26"/>
          <w:lang w:val="en-GB"/>
        </w:rPr>
        <w:t>was last seen</w:t>
      </w:r>
      <w:proofErr w:type="gramEnd"/>
      <w:r w:rsidR="003F274A">
        <w:rPr>
          <w:rFonts w:cstheme="minorHAnsi"/>
          <w:sz w:val="26"/>
          <w:szCs w:val="26"/>
          <w:lang w:val="en-GB"/>
        </w:rPr>
        <w:t xml:space="preserve"> alive before letting witnesses come to identify the body. </w:t>
      </w:r>
      <w:r w:rsidR="00AC3A55">
        <w:rPr>
          <w:rFonts w:cstheme="minorHAnsi"/>
          <w:sz w:val="26"/>
          <w:szCs w:val="26"/>
          <w:lang w:val="en-GB"/>
        </w:rPr>
        <w:t xml:space="preserve">They would therefore have been able to test the identification parameters against previously collected information. </w:t>
      </w:r>
      <w:r w:rsidR="003F274A">
        <w:rPr>
          <w:rFonts w:cstheme="minorHAnsi"/>
          <w:sz w:val="26"/>
          <w:szCs w:val="26"/>
          <w:lang w:val="en-GB"/>
        </w:rPr>
        <w:t xml:space="preserve">As the situation presently </w:t>
      </w:r>
      <w:proofErr w:type="gramStart"/>
      <w:r w:rsidR="003F274A">
        <w:rPr>
          <w:rFonts w:cstheme="minorHAnsi"/>
          <w:sz w:val="26"/>
          <w:szCs w:val="26"/>
          <w:lang w:val="en-GB"/>
        </w:rPr>
        <w:t>stands</w:t>
      </w:r>
      <w:proofErr w:type="gramEnd"/>
      <w:r w:rsidR="003F274A">
        <w:rPr>
          <w:rFonts w:cstheme="minorHAnsi"/>
          <w:sz w:val="26"/>
          <w:szCs w:val="26"/>
          <w:lang w:val="en-GB"/>
        </w:rPr>
        <w:t xml:space="preserve"> there was no independent way to confirm whether what PW9 was stating was actually correct. Even if </w:t>
      </w:r>
      <w:r w:rsidR="003F274A">
        <w:rPr>
          <w:rFonts w:cstheme="minorHAnsi"/>
          <w:sz w:val="26"/>
          <w:szCs w:val="26"/>
          <w:lang w:val="en-GB"/>
        </w:rPr>
        <w:lastRenderedPageBreak/>
        <w:t>he believed he was telling the truth, the risk of being honestly mistaken about a similarity in clothing is too high to base a conviction upon in this matter.</w:t>
      </w:r>
    </w:p>
    <w:p w14:paraId="74C4C650" w14:textId="4903EFF4" w:rsidR="003F274A" w:rsidRDefault="003F274A" w:rsidP="00A71F04">
      <w:pPr>
        <w:spacing w:after="100" w:afterAutospacing="1" w:line="360" w:lineRule="auto"/>
        <w:jc w:val="both"/>
        <w:rPr>
          <w:rFonts w:cstheme="minorHAnsi"/>
          <w:sz w:val="26"/>
          <w:szCs w:val="26"/>
          <w:lang w:val="en-GB"/>
        </w:rPr>
      </w:pPr>
      <w:r>
        <w:rPr>
          <w:rFonts w:cstheme="minorHAnsi"/>
          <w:sz w:val="26"/>
          <w:szCs w:val="26"/>
          <w:lang w:val="en-GB"/>
        </w:rPr>
        <w:t>It is also pertinent to note that whereas PW6 testified about a receipt he found in the deceased’s pocket bearing the deceased’s names and the number plate of the motorcycle he was riding, Prosecution Exhibit 4B being a scene of crime photograph depicts two receipts. One receipt is of a cash sale of oil for the sum of UGX 18,000. That same receipt bears the handwritten name “</w:t>
      </w:r>
      <w:proofErr w:type="spellStart"/>
      <w:r>
        <w:rPr>
          <w:rFonts w:cstheme="minorHAnsi"/>
          <w:sz w:val="26"/>
          <w:szCs w:val="26"/>
          <w:lang w:val="en-GB"/>
        </w:rPr>
        <w:t>Kasangaki</w:t>
      </w:r>
      <w:proofErr w:type="spellEnd"/>
      <w:r>
        <w:rPr>
          <w:rFonts w:cstheme="minorHAnsi"/>
          <w:sz w:val="26"/>
          <w:szCs w:val="26"/>
          <w:lang w:val="en-GB"/>
        </w:rPr>
        <w:t>”</w:t>
      </w:r>
      <w:r w:rsidR="00AC3A55">
        <w:rPr>
          <w:rFonts w:cstheme="minorHAnsi"/>
          <w:sz w:val="26"/>
          <w:szCs w:val="26"/>
          <w:lang w:val="en-GB"/>
        </w:rPr>
        <w:t xml:space="preserve"> and a phone number 0782516714. It also has what appears to be a number plate Reg. No. UFH 521V.</w:t>
      </w:r>
    </w:p>
    <w:p w14:paraId="37193311" w14:textId="5F8758F4" w:rsidR="00AC3A55" w:rsidRDefault="00AC3A55" w:rsidP="00A71F04">
      <w:pPr>
        <w:spacing w:after="100" w:afterAutospacing="1" w:line="360" w:lineRule="auto"/>
        <w:jc w:val="both"/>
        <w:rPr>
          <w:rFonts w:cstheme="minorHAnsi"/>
          <w:sz w:val="26"/>
          <w:szCs w:val="26"/>
          <w:lang w:val="en-GB"/>
        </w:rPr>
      </w:pPr>
      <w:r>
        <w:rPr>
          <w:rFonts w:cstheme="minorHAnsi"/>
          <w:sz w:val="26"/>
          <w:szCs w:val="26"/>
          <w:lang w:val="en-GB"/>
        </w:rPr>
        <w:t xml:space="preserve">However, there is also another receipt evident in the scene of crime photograph </w:t>
      </w:r>
      <w:proofErr w:type="spellStart"/>
      <w:r>
        <w:rPr>
          <w:rFonts w:cstheme="minorHAnsi"/>
          <w:sz w:val="26"/>
          <w:szCs w:val="26"/>
          <w:lang w:val="en-GB"/>
        </w:rPr>
        <w:t>PEx</w:t>
      </w:r>
      <w:proofErr w:type="spellEnd"/>
      <w:r>
        <w:rPr>
          <w:rFonts w:cstheme="minorHAnsi"/>
          <w:sz w:val="26"/>
          <w:szCs w:val="26"/>
          <w:lang w:val="en-GB"/>
        </w:rPr>
        <w:t xml:space="preserve"> 4B. The receipt in question is from </w:t>
      </w:r>
      <w:proofErr w:type="spellStart"/>
      <w:r>
        <w:rPr>
          <w:rFonts w:cstheme="minorHAnsi"/>
          <w:sz w:val="26"/>
          <w:szCs w:val="26"/>
          <w:lang w:val="en-GB"/>
        </w:rPr>
        <w:t>Kabarole</w:t>
      </w:r>
      <w:proofErr w:type="spellEnd"/>
      <w:r>
        <w:rPr>
          <w:rFonts w:cstheme="minorHAnsi"/>
          <w:sz w:val="26"/>
          <w:szCs w:val="26"/>
          <w:lang w:val="en-GB"/>
        </w:rPr>
        <w:t xml:space="preserve"> District </w:t>
      </w:r>
      <w:proofErr w:type="spellStart"/>
      <w:r>
        <w:rPr>
          <w:rFonts w:cstheme="minorHAnsi"/>
          <w:sz w:val="26"/>
          <w:szCs w:val="26"/>
          <w:lang w:val="en-GB"/>
        </w:rPr>
        <w:t>Boda</w:t>
      </w:r>
      <w:proofErr w:type="spellEnd"/>
      <w:r>
        <w:rPr>
          <w:rFonts w:cstheme="minorHAnsi"/>
          <w:sz w:val="26"/>
          <w:szCs w:val="26"/>
          <w:lang w:val="en-GB"/>
        </w:rPr>
        <w:t xml:space="preserve"> </w:t>
      </w:r>
      <w:proofErr w:type="spellStart"/>
      <w:r>
        <w:rPr>
          <w:rFonts w:cstheme="minorHAnsi"/>
          <w:sz w:val="26"/>
          <w:szCs w:val="26"/>
          <w:lang w:val="en-GB"/>
        </w:rPr>
        <w:t>Boda</w:t>
      </w:r>
      <w:proofErr w:type="spellEnd"/>
      <w:r>
        <w:rPr>
          <w:rFonts w:cstheme="minorHAnsi"/>
          <w:sz w:val="26"/>
          <w:szCs w:val="26"/>
          <w:lang w:val="en-GB"/>
        </w:rPr>
        <w:t xml:space="preserve"> Association dated 16</w:t>
      </w:r>
      <w:r w:rsidRPr="00AC3A55">
        <w:rPr>
          <w:rFonts w:cstheme="minorHAnsi"/>
          <w:sz w:val="26"/>
          <w:szCs w:val="26"/>
          <w:vertAlign w:val="superscript"/>
          <w:lang w:val="en-GB"/>
        </w:rPr>
        <w:t>th</w:t>
      </w:r>
      <w:r>
        <w:rPr>
          <w:rFonts w:cstheme="minorHAnsi"/>
          <w:sz w:val="26"/>
          <w:szCs w:val="26"/>
          <w:lang w:val="en-GB"/>
        </w:rPr>
        <w:t xml:space="preserve"> August 2021. The receipt is for payment of a registration fee of UGX 65,000 by a member called </w:t>
      </w:r>
      <w:proofErr w:type="spellStart"/>
      <w:r>
        <w:rPr>
          <w:rFonts w:cstheme="minorHAnsi"/>
          <w:sz w:val="26"/>
          <w:szCs w:val="26"/>
          <w:lang w:val="en-GB"/>
        </w:rPr>
        <w:t>Kanakulya</w:t>
      </w:r>
      <w:proofErr w:type="spellEnd"/>
      <w:r>
        <w:rPr>
          <w:rFonts w:cstheme="minorHAnsi"/>
          <w:sz w:val="26"/>
          <w:szCs w:val="26"/>
          <w:lang w:val="en-GB"/>
        </w:rPr>
        <w:t xml:space="preserve"> Ronald. It has a phone number 0782-129268 with the inscription “C/man” next to the number. This receipt also has what appears to be a number plate on it being UFH 521V. </w:t>
      </w:r>
      <w:r w:rsidR="009308B4">
        <w:rPr>
          <w:rFonts w:cstheme="minorHAnsi"/>
          <w:sz w:val="26"/>
          <w:szCs w:val="26"/>
          <w:lang w:val="en-GB"/>
        </w:rPr>
        <w:t xml:space="preserve">These two receipts relate to two different names with the first one only </w:t>
      </w:r>
      <w:r w:rsidR="00BE766E">
        <w:rPr>
          <w:rFonts w:cstheme="minorHAnsi"/>
          <w:sz w:val="26"/>
          <w:szCs w:val="26"/>
          <w:lang w:val="en-GB"/>
        </w:rPr>
        <w:t>bearin</w:t>
      </w:r>
      <w:r w:rsidR="009308B4">
        <w:rPr>
          <w:rFonts w:cstheme="minorHAnsi"/>
          <w:sz w:val="26"/>
          <w:szCs w:val="26"/>
          <w:lang w:val="en-GB"/>
        </w:rPr>
        <w:t>g the surname of the alleged murder victim.</w:t>
      </w:r>
    </w:p>
    <w:p w14:paraId="3E731148" w14:textId="1DEBA24F" w:rsidR="00AC3A55" w:rsidRDefault="00AC3A55" w:rsidP="00A71F04">
      <w:pPr>
        <w:spacing w:after="100" w:afterAutospacing="1" w:line="360" w:lineRule="auto"/>
        <w:jc w:val="both"/>
        <w:rPr>
          <w:rFonts w:cstheme="minorHAnsi"/>
          <w:sz w:val="26"/>
          <w:szCs w:val="26"/>
          <w:lang w:val="en-GB"/>
        </w:rPr>
      </w:pPr>
      <w:r>
        <w:rPr>
          <w:rFonts w:cstheme="minorHAnsi"/>
          <w:sz w:val="26"/>
          <w:szCs w:val="26"/>
          <w:lang w:val="en-GB"/>
        </w:rPr>
        <w:t>The discovery of these two receipts on the body of the deceased combined with the lack of facial features on the body and the absence of DNA evidence</w:t>
      </w:r>
      <w:r w:rsidR="009308B4">
        <w:rPr>
          <w:rFonts w:cstheme="minorHAnsi"/>
          <w:sz w:val="26"/>
          <w:szCs w:val="26"/>
          <w:lang w:val="en-GB"/>
        </w:rPr>
        <w:t xml:space="preserve"> leaves sufficient reasonable doubt in my mind as to not be able to conclude that </w:t>
      </w:r>
      <w:proofErr w:type="spellStart"/>
      <w:r w:rsidR="009308B4">
        <w:rPr>
          <w:rFonts w:cstheme="minorHAnsi"/>
          <w:sz w:val="26"/>
          <w:szCs w:val="26"/>
          <w:lang w:val="en-GB"/>
        </w:rPr>
        <w:t>Kasangaki</w:t>
      </w:r>
      <w:proofErr w:type="spellEnd"/>
      <w:r w:rsidR="009308B4">
        <w:rPr>
          <w:rFonts w:cstheme="minorHAnsi"/>
          <w:sz w:val="26"/>
          <w:szCs w:val="26"/>
          <w:lang w:val="en-GB"/>
        </w:rPr>
        <w:t xml:space="preserve"> Wilson is the deceased person.</w:t>
      </w:r>
    </w:p>
    <w:p w14:paraId="73BE7C26" w14:textId="6C8B3753" w:rsidR="009308B4" w:rsidRDefault="009308B4" w:rsidP="00A71F04">
      <w:pPr>
        <w:spacing w:after="100" w:afterAutospacing="1" w:line="360" w:lineRule="auto"/>
        <w:jc w:val="both"/>
        <w:rPr>
          <w:rFonts w:cstheme="minorHAnsi"/>
          <w:sz w:val="26"/>
          <w:szCs w:val="26"/>
          <w:lang w:val="en-GB"/>
        </w:rPr>
      </w:pPr>
      <w:r>
        <w:rPr>
          <w:rFonts w:cstheme="minorHAnsi"/>
          <w:sz w:val="26"/>
          <w:szCs w:val="26"/>
          <w:lang w:val="en-GB"/>
        </w:rPr>
        <w:t xml:space="preserve">I therefore find that the Prosecution has not proven beyond reasonable doubt that </w:t>
      </w:r>
      <w:proofErr w:type="spellStart"/>
      <w:r>
        <w:rPr>
          <w:rFonts w:cstheme="minorHAnsi"/>
          <w:sz w:val="26"/>
          <w:szCs w:val="26"/>
          <w:lang w:val="en-GB"/>
        </w:rPr>
        <w:t>Kasangaki</w:t>
      </w:r>
      <w:proofErr w:type="spellEnd"/>
      <w:r>
        <w:rPr>
          <w:rFonts w:cstheme="minorHAnsi"/>
          <w:sz w:val="26"/>
          <w:szCs w:val="26"/>
          <w:lang w:val="en-GB"/>
        </w:rPr>
        <w:t xml:space="preserve"> Wilson actually died. </w:t>
      </w:r>
    </w:p>
    <w:p w14:paraId="33D65840" w14:textId="55197F46" w:rsidR="009308B4" w:rsidRDefault="009308B4" w:rsidP="00A71F04">
      <w:pPr>
        <w:spacing w:after="100" w:afterAutospacing="1" w:line="360" w:lineRule="auto"/>
        <w:jc w:val="both"/>
        <w:rPr>
          <w:rFonts w:cstheme="minorHAnsi"/>
          <w:sz w:val="26"/>
          <w:szCs w:val="26"/>
          <w:lang w:val="en-GB"/>
        </w:rPr>
      </w:pPr>
      <w:r>
        <w:rPr>
          <w:rFonts w:cstheme="minorHAnsi"/>
          <w:sz w:val="26"/>
          <w:szCs w:val="26"/>
          <w:lang w:val="en-GB"/>
        </w:rPr>
        <w:t>The absence of proof of death ideally resolves whether the accused are guilty of murder in the negative as the absence of any one of the ingredients listed for murder renders a conviction impossible.</w:t>
      </w:r>
    </w:p>
    <w:p w14:paraId="4E349132" w14:textId="255E48CB" w:rsidR="009308B4" w:rsidRDefault="009308B4" w:rsidP="00A71F04">
      <w:pPr>
        <w:spacing w:after="100" w:afterAutospacing="1" w:line="360" w:lineRule="auto"/>
        <w:jc w:val="both"/>
        <w:rPr>
          <w:rFonts w:cstheme="minorHAnsi"/>
          <w:sz w:val="26"/>
          <w:szCs w:val="26"/>
          <w:lang w:val="en-GB"/>
        </w:rPr>
      </w:pPr>
      <w:r>
        <w:rPr>
          <w:rFonts w:cstheme="minorHAnsi"/>
          <w:sz w:val="26"/>
          <w:szCs w:val="26"/>
          <w:lang w:val="en-GB"/>
        </w:rPr>
        <w:lastRenderedPageBreak/>
        <w:t xml:space="preserve">However, I do feel it is important to point out another aspect that the Prosecution in my view failed to prove and that is participation of the Accused. By the available evidence, it was alleged that the accused persons were last seen with the deceased alive and by that </w:t>
      </w:r>
      <w:proofErr w:type="gramStart"/>
      <w:r>
        <w:rPr>
          <w:rFonts w:cstheme="minorHAnsi"/>
          <w:sz w:val="26"/>
          <w:szCs w:val="26"/>
          <w:lang w:val="en-GB"/>
        </w:rPr>
        <w:t>evidence</w:t>
      </w:r>
      <w:proofErr w:type="gramEnd"/>
      <w:r>
        <w:rPr>
          <w:rFonts w:cstheme="minorHAnsi"/>
          <w:sz w:val="26"/>
          <w:szCs w:val="26"/>
          <w:lang w:val="en-GB"/>
        </w:rPr>
        <w:t xml:space="preserve"> the Prosecution asserted that the Accused persons were responsible for the murder of </w:t>
      </w:r>
      <w:proofErr w:type="spellStart"/>
      <w:r>
        <w:rPr>
          <w:rFonts w:cstheme="minorHAnsi"/>
          <w:sz w:val="26"/>
          <w:szCs w:val="26"/>
          <w:lang w:val="en-GB"/>
        </w:rPr>
        <w:t>Kasangaki</w:t>
      </w:r>
      <w:proofErr w:type="spellEnd"/>
      <w:r>
        <w:rPr>
          <w:rFonts w:cstheme="minorHAnsi"/>
          <w:sz w:val="26"/>
          <w:szCs w:val="26"/>
          <w:lang w:val="en-GB"/>
        </w:rPr>
        <w:t xml:space="preserve"> Wilson. In this regard, even if it were proven that the deceased was in fact </w:t>
      </w:r>
      <w:proofErr w:type="spellStart"/>
      <w:r>
        <w:rPr>
          <w:rFonts w:cstheme="minorHAnsi"/>
          <w:sz w:val="26"/>
          <w:szCs w:val="26"/>
          <w:lang w:val="en-GB"/>
        </w:rPr>
        <w:t>Kas</w:t>
      </w:r>
      <w:r w:rsidR="0002212E">
        <w:rPr>
          <w:rFonts w:cstheme="minorHAnsi"/>
          <w:sz w:val="26"/>
          <w:szCs w:val="26"/>
          <w:lang w:val="en-GB"/>
        </w:rPr>
        <w:t>angaki</w:t>
      </w:r>
      <w:proofErr w:type="spellEnd"/>
      <w:r w:rsidR="0002212E">
        <w:rPr>
          <w:rFonts w:cstheme="minorHAnsi"/>
          <w:sz w:val="26"/>
          <w:szCs w:val="26"/>
          <w:lang w:val="en-GB"/>
        </w:rPr>
        <w:t xml:space="preserve"> Wilson I noted that the testimony of</w:t>
      </w:r>
      <w:r>
        <w:rPr>
          <w:rFonts w:cstheme="minorHAnsi"/>
          <w:sz w:val="26"/>
          <w:szCs w:val="26"/>
          <w:lang w:val="en-GB"/>
        </w:rPr>
        <w:t xml:space="preserve"> PW1 and PW2</w:t>
      </w:r>
      <w:r w:rsidR="0002212E">
        <w:rPr>
          <w:rFonts w:cstheme="minorHAnsi"/>
          <w:sz w:val="26"/>
          <w:szCs w:val="26"/>
          <w:lang w:val="en-GB"/>
        </w:rPr>
        <w:t xml:space="preserve">, who were fellow </w:t>
      </w:r>
      <w:proofErr w:type="spellStart"/>
      <w:r w:rsidR="0002212E">
        <w:rPr>
          <w:rFonts w:cstheme="minorHAnsi"/>
          <w:sz w:val="26"/>
          <w:szCs w:val="26"/>
          <w:lang w:val="en-GB"/>
        </w:rPr>
        <w:t>boda</w:t>
      </w:r>
      <w:proofErr w:type="spellEnd"/>
      <w:r w:rsidR="0002212E">
        <w:rPr>
          <w:rFonts w:cstheme="minorHAnsi"/>
          <w:sz w:val="26"/>
          <w:szCs w:val="26"/>
          <w:lang w:val="en-GB"/>
        </w:rPr>
        <w:t xml:space="preserve"> riders at the stage </w:t>
      </w:r>
      <w:proofErr w:type="spellStart"/>
      <w:r w:rsidR="0002212E">
        <w:rPr>
          <w:rFonts w:cstheme="minorHAnsi"/>
          <w:sz w:val="26"/>
          <w:szCs w:val="26"/>
          <w:lang w:val="en-GB"/>
        </w:rPr>
        <w:t>Kasangaki</w:t>
      </w:r>
      <w:proofErr w:type="spellEnd"/>
      <w:r w:rsidR="0002212E">
        <w:rPr>
          <w:rFonts w:cstheme="minorHAnsi"/>
          <w:sz w:val="26"/>
          <w:szCs w:val="26"/>
          <w:lang w:val="en-GB"/>
        </w:rPr>
        <w:t xml:space="preserve"> was last seen,</w:t>
      </w:r>
      <w:r>
        <w:rPr>
          <w:rFonts w:cstheme="minorHAnsi"/>
          <w:sz w:val="26"/>
          <w:szCs w:val="26"/>
          <w:lang w:val="en-GB"/>
        </w:rPr>
        <w:t xml:space="preserve"> was to the effect that </w:t>
      </w:r>
      <w:proofErr w:type="spellStart"/>
      <w:r>
        <w:rPr>
          <w:rFonts w:cstheme="minorHAnsi"/>
          <w:sz w:val="26"/>
          <w:szCs w:val="26"/>
          <w:lang w:val="en-GB"/>
        </w:rPr>
        <w:t>Kasangaki</w:t>
      </w:r>
      <w:proofErr w:type="spellEnd"/>
      <w:r>
        <w:rPr>
          <w:rFonts w:cstheme="minorHAnsi"/>
          <w:sz w:val="26"/>
          <w:szCs w:val="26"/>
          <w:lang w:val="en-GB"/>
        </w:rPr>
        <w:t xml:space="preserve"> left with A2 and A3 and that A1 was left behind. </w:t>
      </w:r>
      <w:r w:rsidR="00A25373">
        <w:rPr>
          <w:rFonts w:cstheme="minorHAnsi"/>
          <w:sz w:val="26"/>
          <w:szCs w:val="26"/>
          <w:lang w:val="en-GB"/>
        </w:rPr>
        <w:t xml:space="preserve">A1 </w:t>
      </w:r>
      <w:proofErr w:type="gramStart"/>
      <w:r w:rsidR="00A25373">
        <w:rPr>
          <w:rFonts w:cstheme="minorHAnsi"/>
          <w:sz w:val="26"/>
          <w:szCs w:val="26"/>
          <w:lang w:val="en-GB"/>
        </w:rPr>
        <w:t>was only identified</w:t>
      </w:r>
      <w:proofErr w:type="gramEnd"/>
      <w:r w:rsidR="00A25373">
        <w:rPr>
          <w:rFonts w:cstheme="minorHAnsi"/>
          <w:sz w:val="26"/>
          <w:szCs w:val="26"/>
          <w:lang w:val="en-GB"/>
        </w:rPr>
        <w:t xml:space="preserve"> as having left </w:t>
      </w:r>
      <w:r w:rsidR="0002212E">
        <w:rPr>
          <w:rFonts w:cstheme="minorHAnsi"/>
          <w:sz w:val="26"/>
          <w:szCs w:val="26"/>
          <w:lang w:val="en-GB"/>
        </w:rPr>
        <w:t xml:space="preserve">along with A2 and A3 </w:t>
      </w:r>
      <w:r w:rsidR="00A25373">
        <w:rPr>
          <w:rFonts w:cstheme="minorHAnsi"/>
          <w:sz w:val="26"/>
          <w:szCs w:val="26"/>
          <w:lang w:val="en-GB"/>
        </w:rPr>
        <w:t>with another rider who was later found murdered but it was not that rider’s murder that A1 was being tried for.</w:t>
      </w:r>
    </w:p>
    <w:p w14:paraId="2D2677D7" w14:textId="74FE03FE" w:rsidR="0002212E" w:rsidRDefault="0002212E" w:rsidP="00A71F04">
      <w:pPr>
        <w:spacing w:after="100" w:afterAutospacing="1" w:line="360" w:lineRule="auto"/>
        <w:jc w:val="both"/>
        <w:rPr>
          <w:rFonts w:cstheme="minorHAnsi"/>
          <w:sz w:val="26"/>
          <w:szCs w:val="26"/>
          <w:lang w:val="en-GB"/>
        </w:rPr>
      </w:pPr>
      <w:r>
        <w:rPr>
          <w:rFonts w:cstheme="minorHAnsi"/>
          <w:sz w:val="26"/>
          <w:szCs w:val="26"/>
          <w:lang w:val="en-GB"/>
        </w:rPr>
        <w:t xml:space="preserve">The Prosecution case regarding the Accused persons largely rested on the last seen doctrine whereby the person or persons last seen with the deceased are under a duty to provide a rebuttable explanation of as to how the deceased died (see </w:t>
      </w:r>
      <w:proofErr w:type="spellStart"/>
      <w:r>
        <w:rPr>
          <w:rFonts w:cstheme="minorHAnsi"/>
          <w:b/>
          <w:sz w:val="26"/>
          <w:szCs w:val="26"/>
          <w:lang w:val="en-GB"/>
        </w:rPr>
        <w:t>Busingye</w:t>
      </w:r>
      <w:proofErr w:type="spellEnd"/>
      <w:r>
        <w:rPr>
          <w:rFonts w:cstheme="minorHAnsi"/>
          <w:b/>
          <w:sz w:val="26"/>
          <w:szCs w:val="26"/>
          <w:lang w:val="en-GB"/>
        </w:rPr>
        <w:t xml:space="preserve"> Paul and Another v Uganda </w:t>
      </w:r>
      <w:r w:rsidR="009038A6">
        <w:rPr>
          <w:rFonts w:cstheme="minorHAnsi"/>
          <w:b/>
          <w:sz w:val="26"/>
          <w:szCs w:val="26"/>
          <w:lang w:val="en-GB"/>
        </w:rPr>
        <w:t>–</w:t>
      </w:r>
      <w:r>
        <w:rPr>
          <w:rFonts w:cstheme="minorHAnsi"/>
          <w:b/>
          <w:sz w:val="26"/>
          <w:szCs w:val="26"/>
          <w:lang w:val="en-GB"/>
        </w:rPr>
        <w:t xml:space="preserve"> </w:t>
      </w:r>
      <w:r w:rsidR="009038A6">
        <w:rPr>
          <w:rFonts w:cstheme="minorHAnsi"/>
          <w:b/>
          <w:sz w:val="26"/>
          <w:szCs w:val="26"/>
          <w:lang w:val="en-GB"/>
        </w:rPr>
        <w:t>Court of Appeal Criminal Appeal No. 48 of 2019</w:t>
      </w:r>
      <w:r w:rsidR="009038A6">
        <w:rPr>
          <w:rFonts w:cstheme="minorHAnsi"/>
          <w:sz w:val="26"/>
          <w:szCs w:val="26"/>
          <w:lang w:val="en-GB"/>
        </w:rPr>
        <w:t xml:space="preserve">). By the witness testimony of PW1 and PW2, it was A2 and A3 last seen departing with </w:t>
      </w:r>
      <w:proofErr w:type="spellStart"/>
      <w:r w:rsidR="009038A6">
        <w:rPr>
          <w:rFonts w:cstheme="minorHAnsi"/>
          <w:sz w:val="26"/>
          <w:szCs w:val="26"/>
          <w:lang w:val="en-GB"/>
        </w:rPr>
        <w:t>Kasangaki</w:t>
      </w:r>
      <w:proofErr w:type="spellEnd"/>
      <w:r w:rsidR="009038A6">
        <w:rPr>
          <w:rFonts w:cstheme="minorHAnsi"/>
          <w:sz w:val="26"/>
          <w:szCs w:val="26"/>
          <w:lang w:val="en-GB"/>
        </w:rPr>
        <w:t xml:space="preserve">. Short of any other evidence, it </w:t>
      </w:r>
      <w:proofErr w:type="gramStart"/>
      <w:r w:rsidR="009038A6">
        <w:rPr>
          <w:rFonts w:cstheme="minorHAnsi"/>
          <w:sz w:val="26"/>
          <w:szCs w:val="26"/>
          <w:lang w:val="en-GB"/>
        </w:rPr>
        <w:t>could not therefore be said</w:t>
      </w:r>
      <w:proofErr w:type="gramEnd"/>
      <w:r w:rsidR="009038A6">
        <w:rPr>
          <w:rFonts w:cstheme="minorHAnsi"/>
          <w:sz w:val="26"/>
          <w:szCs w:val="26"/>
          <w:lang w:val="en-GB"/>
        </w:rPr>
        <w:t xml:space="preserve"> that A1 was among those who were reasonably assumed to have been with </w:t>
      </w:r>
      <w:proofErr w:type="spellStart"/>
      <w:r w:rsidR="009038A6">
        <w:rPr>
          <w:rFonts w:cstheme="minorHAnsi"/>
          <w:sz w:val="26"/>
          <w:szCs w:val="26"/>
          <w:lang w:val="en-GB"/>
        </w:rPr>
        <w:t>Kasangaki</w:t>
      </w:r>
      <w:proofErr w:type="spellEnd"/>
      <w:r w:rsidR="009038A6">
        <w:rPr>
          <w:rFonts w:cstheme="minorHAnsi"/>
          <w:sz w:val="26"/>
          <w:szCs w:val="26"/>
          <w:lang w:val="en-GB"/>
        </w:rPr>
        <w:t xml:space="preserve"> at the material time he went missing. </w:t>
      </w:r>
      <w:r>
        <w:rPr>
          <w:rFonts w:cstheme="minorHAnsi"/>
          <w:sz w:val="26"/>
          <w:szCs w:val="26"/>
          <w:lang w:val="en-GB"/>
        </w:rPr>
        <w:t xml:space="preserve"> </w:t>
      </w:r>
    </w:p>
    <w:p w14:paraId="41920BC2" w14:textId="67FD17FE" w:rsidR="00A25373" w:rsidRDefault="00A25373" w:rsidP="00A71F04">
      <w:pPr>
        <w:spacing w:after="100" w:afterAutospacing="1" w:line="360" w:lineRule="auto"/>
        <w:jc w:val="both"/>
        <w:rPr>
          <w:rFonts w:cstheme="minorHAnsi"/>
          <w:sz w:val="26"/>
          <w:szCs w:val="26"/>
          <w:lang w:val="en-GB"/>
        </w:rPr>
      </w:pPr>
      <w:r>
        <w:rPr>
          <w:rFonts w:cstheme="minorHAnsi"/>
          <w:sz w:val="26"/>
          <w:szCs w:val="26"/>
          <w:lang w:val="en-GB"/>
        </w:rPr>
        <w:t xml:space="preserve">The other relevant issue is that the manner in which A2 and A3 </w:t>
      </w:r>
      <w:proofErr w:type="gramStart"/>
      <w:r>
        <w:rPr>
          <w:rFonts w:cstheme="minorHAnsi"/>
          <w:sz w:val="26"/>
          <w:szCs w:val="26"/>
          <w:lang w:val="en-GB"/>
        </w:rPr>
        <w:t>were subsequently identified</w:t>
      </w:r>
      <w:proofErr w:type="gramEnd"/>
      <w:r>
        <w:rPr>
          <w:rFonts w:cstheme="minorHAnsi"/>
          <w:sz w:val="26"/>
          <w:szCs w:val="26"/>
          <w:lang w:val="en-GB"/>
        </w:rPr>
        <w:t xml:space="preserve"> also cast a considerable amount of doubt on the evidence.  According to PW3, </w:t>
      </w:r>
      <w:proofErr w:type="spellStart"/>
      <w:r>
        <w:rPr>
          <w:rFonts w:cstheme="minorHAnsi"/>
          <w:sz w:val="26"/>
          <w:szCs w:val="26"/>
          <w:lang w:val="en-GB"/>
        </w:rPr>
        <w:t>Bwambale</w:t>
      </w:r>
      <w:proofErr w:type="spellEnd"/>
      <w:r>
        <w:rPr>
          <w:rFonts w:cstheme="minorHAnsi"/>
          <w:sz w:val="26"/>
          <w:szCs w:val="26"/>
          <w:lang w:val="en-GB"/>
        </w:rPr>
        <w:t xml:space="preserve"> </w:t>
      </w:r>
      <w:proofErr w:type="spellStart"/>
      <w:r>
        <w:rPr>
          <w:rFonts w:cstheme="minorHAnsi"/>
          <w:sz w:val="26"/>
          <w:szCs w:val="26"/>
          <w:lang w:val="en-GB"/>
        </w:rPr>
        <w:t>Sezi</w:t>
      </w:r>
      <w:proofErr w:type="spellEnd"/>
      <w:r>
        <w:rPr>
          <w:rFonts w:cstheme="minorHAnsi"/>
          <w:sz w:val="26"/>
          <w:szCs w:val="26"/>
          <w:lang w:val="en-GB"/>
        </w:rPr>
        <w:t xml:space="preserve">, the investigating officer, A2 and A3 were arrested </w:t>
      </w:r>
      <w:proofErr w:type="gramStart"/>
      <w:r>
        <w:rPr>
          <w:rFonts w:cstheme="minorHAnsi"/>
          <w:sz w:val="26"/>
          <w:szCs w:val="26"/>
          <w:lang w:val="en-GB"/>
        </w:rPr>
        <w:t>as a result</w:t>
      </w:r>
      <w:proofErr w:type="gramEnd"/>
      <w:r>
        <w:rPr>
          <w:rFonts w:cstheme="minorHAnsi"/>
          <w:sz w:val="26"/>
          <w:szCs w:val="26"/>
          <w:lang w:val="en-GB"/>
        </w:rPr>
        <w:t xml:space="preserve"> of a security operation conducted in July 2022. He had then calle</w:t>
      </w:r>
      <w:r w:rsidR="009038A6">
        <w:rPr>
          <w:rFonts w:cstheme="minorHAnsi"/>
          <w:sz w:val="26"/>
          <w:szCs w:val="26"/>
          <w:lang w:val="en-GB"/>
        </w:rPr>
        <w:t xml:space="preserve">d upon PW2 Francis </w:t>
      </w:r>
      <w:proofErr w:type="spellStart"/>
      <w:r w:rsidR="009038A6">
        <w:rPr>
          <w:rFonts w:cstheme="minorHAnsi"/>
          <w:sz w:val="26"/>
          <w:szCs w:val="26"/>
          <w:lang w:val="en-GB"/>
        </w:rPr>
        <w:t>Tinkasimire</w:t>
      </w:r>
      <w:proofErr w:type="spellEnd"/>
      <w:r w:rsidR="009038A6">
        <w:rPr>
          <w:rFonts w:cstheme="minorHAnsi"/>
          <w:sz w:val="26"/>
          <w:szCs w:val="26"/>
          <w:lang w:val="en-GB"/>
        </w:rPr>
        <w:t xml:space="preserve"> </w:t>
      </w:r>
      <w:r>
        <w:rPr>
          <w:rFonts w:cstheme="minorHAnsi"/>
          <w:sz w:val="26"/>
          <w:szCs w:val="26"/>
          <w:lang w:val="en-GB"/>
        </w:rPr>
        <w:t xml:space="preserve">to identify the suspects. </w:t>
      </w:r>
    </w:p>
    <w:p w14:paraId="17477DE6" w14:textId="2A686F71" w:rsidR="00A25373" w:rsidRDefault="00A71F04" w:rsidP="00A71F04">
      <w:pPr>
        <w:spacing w:after="100" w:afterAutospacing="1" w:line="360" w:lineRule="auto"/>
        <w:jc w:val="both"/>
        <w:rPr>
          <w:rFonts w:cstheme="minorHAnsi"/>
          <w:sz w:val="26"/>
          <w:szCs w:val="26"/>
          <w:lang w:val="en-GB"/>
        </w:rPr>
      </w:pPr>
      <w:r>
        <w:rPr>
          <w:rFonts w:cstheme="minorHAnsi"/>
          <w:sz w:val="26"/>
          <w:szCs w:val="26"/>
          <w:lang w:val="en-GB"/>
        </w:rPr>
        <w:t>The Defence argued about</w:t>
      </w:r>
      <w:r w:rsidR="00A25373">
        <w:rPr>
          <w:rFonts w:cstheme="minorHAnsi"/>
          <w:sz w:val="26"/>
          <w:szCs w:val="26"/>
          <w:lang w:val="en-GB"/>
        </w:rPr>
        <w:t xml:space="preserve"> the manner in which the identification parade took place saying that the procedures relevant to identification parades as laid out in the case of </w:t>
      </w:r>
      <w:r w:rsidR="00A25373">
        <w:rPr>
          <w:rFonts w:cstheme="minorHAnsi"/>
          <w:b/>
          <w:sz w:val="26"/>
          <w:szCs w:val="26"/>
          <w:lang w:val="en-GB"/>
        </w:rPr>
        <w:t xml:space="preserve">Uganda v </w:t>
      </w:r>
      <w:proofErr w:type="spellStart"/>
      <w:r w:rsidR="00A25373">
        <w:rPr>
          <w:rFonts w:cstheme="minorHAnsi"/>
          <w:b/>
          <w:sz w:val="26"/>
          <w:szCs w:val="26"/>
          <w:lang w:val="en-GB"/>
        </w:rPr>
        <w:t>Lanyero</w:t>
      </w:r>
      <w:proofErr w:type="spellEnd"/>
      <w:r w:rsidR="00A25373">
        <w:rPr>
          <w:rFonts w:cstheme="minorHAnsi"/>
          <w:b/>
          <w:sz w:val="26"/>
          <w:szCs w:val="26"/>
          <w:lang w:val="en-GB"/>
        </w:rPr>
        <w:t xml:space="preserve"> Grace – HCT-02-CO-SC-0062-2016 </w:t>
      </w:r>
      <w:proofErr w:type="gramStart"/>
      <w:r w:rsidR="00A25373">
        <w:rPr>
          <w:rFonts w:cstheme="minorHAnsi"/>
          <w:sz w:val="26"/>
          <w:szCs w:val="26"/>
          <w:lang w:val="en-GB"/>
        </w:rPr>
        <w:t>were not followed</w:t>
      </w:r>
      <w:proofErr w:type="gramEnd"/>
      <w:r w:rsidR="00A25373">
        <w:rPr>
          <w:rFonts w:cstheme="minorHAnsi"/>
          <w:sz w:val="26"/>
          <w:szCs w:val="26"/>
          <w:lang w:val="en-GB"/>
        </w:rPr>
        <w:t xml:space="preserve">. </w:t>
      </w:r>
      <w:r w:rsidR="00F00E4D">
        <w:rPr>
          <w:rFonts w:cstheme="minorHAnsi"/>
          <w:sz w:val="26"/>
          <w:szCs w:val="26"/>
          <w:lang w:val="en-GB"/>
        </w:rPr>
        <w:t xml:space="preserve">The Defence </w:t>
      </w:r>
      <w:r w:rsidR="00F00E4D">
        <w:rPr>
          <w:rFonts w:cstheme="minorHAnsi"/>
          <w:sz w:val="26"/>
          <w:szCs w:val="26"/>
          <w:lang w:val="en-GB"/>
        </w:rPr>
        <w:lastRenderedPageBreak/>
        <w:t xml:space="preserve">specifically raised issue with the fact PW7 testified that the suspects in the ID parade for A2 and A3 were not similar in appearance to A2 and A3 and </w:t>
      </w:r>
      <w:proofErr w:type="gramStart"/>
      <w:r w:rsidR="00F00E4D">
        <w:rPr>
          <w:rFonts w:cstheme="minorHAnsi"/>
          <w:sz w:val="26"/>
          <w:szCs w:val="26"/>
          <w:lang w:val="en-GB"/>
        </w:rPr>
        <w:t>were only paraded</w:t>
      </w:r>
      <w:proofErr w:type="gramEnd"/>
      <w:r w:rsidR="00F00E4D">
        <w:rPr>
          <w:rFonts w:cstheme="minorHAnsi"/>
          <w:sz w:val="26"/>
          <w:szCs w:val="26"/>
          <w:lang w:val="en-GB"/>
        </w:rPr>
        <w:t xml:space="preserve"> because they were suspected motorcycle thieves. Defence Counsel further contended that PW2 was able to see the suspects prior to their being paraded. </w:t>
      </w:r>
    </w:p>
    <w:p w14:paraId="70D281A9" w14:textId="33DD8ECA" w:rsidR="00F00E4D" w:rsidRDefault="00F00E4D" w:rsidP="00A71F04">
      <w:pPr>
        <w:spacing w:after="100" w:afterAutospacing="1" w:line="360" w:lineRule="auto"/>
        <w:jc w:val="both"/>
        <w:rPr>
          <w:rFonts w:cstheme="minorHAnsi"/>
          <w:sz w:val="26"/>
          <w:szCs w:val="26"/>
          <w:lang w:val="en-GB"/>
        </w:rPr>
      </w:pPr>
      <w:r>
        <w:rPr>
          <w:rFonts w:cstheme="minorHAnsi"/>
          <w:sz w:val="26"/>
          <w:szCs w:val="26"/>
          <w:lang w:val="en-GB"/>
        </w:rPr>
        <w:t>Concerning the identification of A2 and A3</w:t>
      </w:r>
      <w:r w:rsidR="00BE766E">
        <w:rPr>
          <w:rFonts w:cstheme="minorHAnsi"/>
          <w:sz w:val="26"/>
          <w:szCs w:val="26"/>
          <w:lang w:val="en-GB"/>
        </w:rPr>
        <w:t>,</w:t>
      </w:r>
      <w:r>
        <w:rPr>
          <w:rFonts w:cstheme="minorHAnsi"/>
          <w:sz w:val="26"/>
          <w:szCs w:val="26"/>
          <w:lang w:val="en-GB"/>
        </w:rPr>
        <w:t xml:space="preserve"> I reviewed the Identification Parade Report on Police Form 69 as related to the identification of A2 and A3 and tendered in evidence as </w:t>
      </w:r>
      <w:proofErr w:type="spellStart"/>
      <w:r>
        <w:rPr>
          <w:rFonts w:cstheme="minorHAnsi"/>
          <w:sz w:val="26"/>
          <w:szCs w:val="26"/>
          <w:lang w:val="en-GB"/>
        </w:rPr>
        <w:t>PEx</w:t>
      </w:r>
      <w:proofErr w:type="spellEnd"/>
      <w:r>
        <w:rPr>
          <w:rFonts w:cstheme="minorHAnsi"/>
          <w:sz w:val="26"/>
          <w:szCs w:val="26"/>
          <w:lang w:val="en-GB"/>
        </w:rPr>
        <w:t xml:space="preserve"> 6. From that form</w:t>
      </w:r>
      <w:r w:rsidR="00BE766E">
        <w:rPr>
          <w:rFonts w:cstheme="minorHAnsi"/>
          <w:sz w:val="26"/>
          <w:szCs w:val="26"/>
          <w:lang w:val="en-GB"/>
        </w:rPr>
        <w:t>,</w:t>
      </w:r>
      <w:r>
        <w:rPr>
          <w:rFonts w:cstheme="minorHAnsi"/>
          <w:sz w:val="26"/>
          <w:szCs w:val="26"/>
          <w:lang w:val="en-GB"/>
        </w:rPr>
        <w:t xml:space="preserve"> the following was immediately apparent</w:t>
      </w:r>
      <w:r w:rsidR="00A71F04">
        <w:rPr>
          <w:rFonts w:cstheme="minorHAnsi"/>
          <w:sz w:val="26"/>
          <w:szCs w:val="26"/>
          <w:lang w:val="en-GB"/>
        </w:rPr>
        <w:t xml:space="preserve"> to me</w:t>
      </w:r>
      <w:r>
        <w:rPr>
          <w:rFonts w:cstheme="minorHAnsi"/>
          <w:sz w:val="26"/>
          <w:szCs w:val="26"/>
          <w:lang w:val="en-GB"/>
        </w:rPr>
        <w:t>:</w:t>
      </w:r>
    </w:p>
    <w:p w14:paraId="22040A56" w14:textId="60246253" w:rsidR="00F00E4D" w:rsidRDefault="0043038F" w:rsidP="00A71F04">
      <w:pPr>
        <w:pStyle w:val="ListParagraph"/>
        <w:numPr>
          <w:ilvl w:val="0"/>
          <w:numId w:val="19"/>
        </w:numPr>
        <w:spacing w:after="100" w:afterAutospacing="1" w:line="360" w:lineRule="auto"/>
        <w:jc w:val="both"/>
        <w:rPr>
          <w:rFonts w:cstheme="minorHAnsi"/>
          <w:sz w:val="26"/>
          <w:szCs w:val="26"/>
          <w:lang w:val="en-GB"/>
        </w:rPr>
      </w:pPr>
      <w:r>
        <w:rPr>
          <w:rFonts w:cstheme="minorHAnsi"/>
          <w:sz w:val="26"/>
          <w:szCs w:val="26"/>
          <w:lang w:val="en-GB"/>
        </w:rPr>
        <w:t>Concerning</w:t>
      </w:r>
      <w:r w:rsidR="00F00E4D">
        <w:rPr>
          <w:rFonts w:cstheme="minorHAnsi"/>
          <w:sz w:val="26"/>
          <w:szCs w:val="26"/>
          <w:lang w:val="en-GB"/>
        </w:rPr>
        <w:t xml:space="preserve"> the presence of an advocate there is provision in the form to indicate whether the suspect(s) requested that an advocate be present</w:t>
      </w:r>
      <w:r>
        <w:rPr>
          <w:rFonts w:cstheme="minorHAnsi"/>
          <w:sz w:val="26"/>
          <w:szCs w:val="26"/>
          <w:lang w:val="en-GB"/>
        </w:rPr>
        <w:t>. The answer written in the form is “No”. However, PW7 the officer who conducted the parade never testified as to whether he informed the suspects of their right to have an advocate present. This is pertinent because the suspects could not request an advocate if they had not been advised of their rights.</w:t>
      </w:r>
    </w:p>
    <w:p w14:paraId="6EDCF05A" w14:textId="601B32B2" w:rsidR="0043038F" w:rsidRDefault="0043038F" w:rsidP="00A71F04">
      <w:pPr>
        <w:pStyle w:val="ListParagraph"/>
        <w:numPr>
          <w:ilvl w:val="0"/>
          <w:numId w:val="19"/>
        </w:numPr>
        <w:spacing w:after="100" w:afterAutospacing="1" w:line="360" w:lineRule="auto"/>
        <w:jc w:val="both"/>
        <w:rPr>
          <w:rFonts w:cstheme="minorHAnsi"/>
          <w:sz w:val="26"/>
          <w:szCs w:val="26"/>
          <w:lang w:val="en-GB"/>
        </w:rPr>
      </w:pPr>
      <w:r>
        <w:rPr>
          <w:rFonts w:cstheme="minorHAnsi"/>
          <w:sz w:val="26"/>
          <w:szCs w:val="26"/>
          <w:lang w:val="en-GB"/>
        </w:rPr>
        <w:t xml:space="preserve">It was also indicated in the form that the suspects did not object to any other person they were paraded with </w:t>
      </w:r>
      <w:proofErr w:type="gramStart"/>
      <w:r>
        <w:rPr>
          <w:rFonts w:cstheme="minorHAnsi"/>
          <w:sz w:val="26"/>
          <w:szCs w:val="26"/>
          <w:lang w:val="en-GB"/>
        </w:rPr>
        <w:t>and also</w:t>
      </w:r>
      <w:proofErr w:type="gramEnd"/>
      <w:r>
        <w:rPr>
          <w:rFonts w:cstheme="minorHAnsi"/>
          <w:sz w:val="26"/>
          <w:szCs w:val="26"/>
          <w:lang w:val="en-GB"/>
        </w:rPr>
        <w:t xml:space="preserve"> to the arrangement of the parade. Once </w:t>
      </w:r>
      <w:proofErr w:type="gramStart"/>
      <w:r>
        <w:rPr>
          <w:rFonts w:cstheme="minorHAnsi"/>
          <w:sz w:val="26"/>
          <w:szCs w:val="26"/>
          <w:lang w:val="en-GB"/>
        </w:rPr>
        <w:t>again</w:t>
      </w:r>
      <w:proofErr w:type="gramEnd"/>
      <w:r>
        <w:rPr>
          <w:rFonts w:cstheme="minorHAnsi"/>
          <w:sz w:val="26"/>
          <w:szCs w:val="26"/>
          <w:lang w:val="en-GB"/>
        </w:rPr>
        <w:t xml:space="preserve"> it is pertinent to note that PW7 gave no indication that the suspects had been advised of their right to raise objections of this nature.</w:t>
      </w:r>
    </w:p>
    <w:p w14:paraId="0E74D021" w14:textId="113A23AD" w:rsidR="0043038F" w:rsidRDefault="0043038F" w:rsidP="00A71F04">
      <w:pPr>
        <w:pStyle w:val="ListParagraph"/>
        <w:numPr>
          <w:ilvl w:val="0"/>
          <w:numId w:val="19"/>
        </w:numPr>
        <w:spacing w:after="100" w:afterAutospacing="1" w:line="360" w:lineRule="auto"/>
        <w:jc w:val="both"/>
        <w:rPr>
          <w:rFonts w:cstheme="minorHAnsi"/>
          <w:sz w:val="26"/>
          <w:szCs w:val="26"/>
          <w:lang w:val="en-GB"/>
        </w:rPr>
      </w:pPr>
      <w:r>
        <w:rPr>
          <w:rFonts w:cstheme="minorHAnsi"/>
          <w:sz w:val="26"/>
          <w:szCs w:val="26"/>
          <w:lang w:val="en-GB"/>
        </w:rPr>
        <w:t xml:space="preserve">As concerns whether the suspects were satisfied that the parade </w:t>
      </w:r>
      <w:proofErr w:type="gramStart"/>
      <w:r>
        <w:rPr>
          <w:rFonts w:cstheme="minorHAnsi"/>
          <w:sz w:val="26"/>
          <w:szCs w:val="26"/>
          <w:lang w:val="en-GB"/>
        </w:rPr>
        <w:t>was conducted</w:t>
      </w:r>
      <w:proofErr w:type="gramEnd"/>
      <w:r>
        <w:rPr>
          <w:rFonts w:cstheme="minorHAnsi"/>
          <w:sz w:val="26"/>
          <w:szCs w:val="26"/>
          <w:lang w:val="en-GB"/>
        </w:rPr>
        <w:t xml:space="preserve"> in a satisfactory manner there was only the word “Yes” written in the form. Despite the fact that the form clearly indicated that the suspects be invited to sign their reply or statement</w:t>
      </w:r>
      <w:r w:rsidR="00EF5231">
        <w:rPr>
          <w:rFonts w:cstheme="minorHAnsi"/>
          <w:sz w:val="26"/>
          <w:szCs w:val="26"/>
          <w:lang w:val="en-GB"/>
        </w:rPr>
        <w:t>. T</w:t>
      </w:r>
      <w:r>
        <w:rPr>
          <w:rFonts w:cstheme="minorHAnsi"/>
          <w:sz w:val="26"/>
          <w:szCs w:val="26"/>
          <w:lang w:val="en-GB"/>
        </w:rPr>
        <w:t>here was no evidence t</w:t>
      </w:r>
      <w:r w:rsidR="00BE766E">
        <w:rPr>
          <w:rFonts w:cstheme="minorHAnsi"/>
          <w:sz w:val="26"/>
          <w:szCs w:val="26"/>
          <w:lang w:val="en-GB"/>
        </w:rPr>
        <w:t>hat the suspects signed to confi</w:t>
      </w:r>
      <w:r>
        <w:rPr>
          <w:rFonts w:cstheme="minorHAnsi"/>
          <w:sz w:val="26"/>
          <w:szCs w:val="26"/>
          <w:lang w:val="en-GB"/>
        </w:rPr>
        <w:t xml:space="preserve">rm that the ID parade </w:t>
      </w:r>
      <w:proofErr w:type="gramStart"/>
      <w:r>
        <w:rPr>
          <w:rFonts w:cstheme="minorHAnsi"/>
          <w:sz w:val="26"/>
          <w:szCs w:val="26"/>
          <w:lang w:val="en-GB"/>
        </w:rPr>
        <w:t>was satisfactorily done</w:t>
      </w:r>
      <w:proofErr w:type="gramEnd"/>
      <w:r>
        <w:rPr>
          <w:rFonts w:cstheme="minorHAnsi"/>
          <w:sz w:val="26"/>
          <w:szCs w:val="26"/>
          <w:lang w:val="en-GB"/>
        </w:rPr>
        <w:t>.</w:t>
      </w:r>
    </w:p>
    <w:p w14:paraId="6DA9D2B8" w14:textId="7DAA475C" w:rsidR="00B713BC" w:rsidRDefault="00B713BC" w:rsidP="00A71F04">
      <w:pPr>
        <w:spacing w:after="100" w:afterAutospacing="1" w:line="360" w:lineRule="auto"/>
        <w:jc w:val="both"/>
        <w:rPr>
          <w:rFonts w:cstheme="minorHAnsi"/>
          <w:sz w:val="26"/>
          <w:szCs w:val="26"/>
          <w:lang w:val="en-GB"/>
        </w:rPr>
      </w:pPr>
      <w:r>
        <w:rPr>
          <w:rFonts w:cstheme="minorHAnsi"/>
          <w:sz w:val="26"/>
          <w:szCs w:val="26"/>
          <w:lang w:val="en-GB"/>
        </w:rPr>
        <w:t xml:space="preserve">The rules governing the conduct of identification parades have been previously established by the courts as follows (see </w:t>
      </w:r>
      <w:proofErr w:type="spellStart"/>
      <w:r>
        <w:rPr>
          <w:rFonts w:cstheme="minorHAnsi"/>
          <w:b/>
          <w:sz w:val="26"/>
          <w:szCs w:val="26"/>
          <w:lang w:val="en-GB"/>
        </w:rPr>
        <w:t>Sentala</w:t>
      </w:r>
      <w:proofErr w:type="spellEnd"/>
      <w:r>
        <w:rPr>
          <w:rFonts w:cstheme="minorHAnsi"/>
          <w:b/>
          <w:sz w:val="26"/>
          <w:szCs w:val="26"/>
          <w:lang w:val="en-GB"/>
        </w:rPr>
        <w:t xml:space="preserve"> v Uganda [1968] EA 365; R v </w:t>
      </w:r>
      <w:proofErr w:type="spellStart"/>
      <w:r>
        <w:rPr>
          <w:rFonts w:cstheme="minorHAnsi"/>
          <w:b/>
          <w:sz w:val="26"/>
          <w:szCs w:val="26"/>
          <w:lang w:val="en-GB"/>
        </w:rPr>
        <w:t>Mwanga</w:t>
      </w:r>
      <w:proofErr w:type="spellEnd"/>
      <w:r>
        <w:rPr>
          <w:rFonts w:cstheme="minorHAnsi"/>
          <w:b/>
          <w:sz w:val="26"/>
          <w:szCs w:val="26"/>
          <w:lang w:val="en-GB"/>
        </w:rPr>
        <w:t xml:space="preserve"> s/o </w:t>
      </w:r>
      <w:proofErr w:type="spellStart"/>
      <w:r>
        <w:rPr>
          <w:rFonts w:cstheme="minorHAnsi"/>
          <w:b/>
          <w:sz w:val="26"/>
          <w:szCs w:val="26"/>
          <w:lang w:val="en-GB"/>
        </w:rPr>
        <w:t>Manaa</w:t>
      </w:r>
      <w:proofErr w:type="spellEnd"/>
      <w:r>
        <w:rPr>
          <w:rFonts w:cstheme="minorHAnsi"/>
          <w:b/>
          <w:sz w:val="26"/>
          <w:szCs w:val="26"/>
          <w:lang w:val="en-GB"/>
        </w:rPr>
        <w:t xml:space="preserve"> [1936] </w:t>
      </w:r>
      <w:proofErr w:type="gramStart"/>
      <w:r>
        <w:rPr>
          <w:rFonts w:cstheme="minorHAnsi"/>
          <w:b/>
          <w:sz w:val="26"/>
          <w:szCs w:val="26"/>
          <w:lang w:val="en-GB"/>
        </w:rPr>
        <w:t>3</w:t>
      </w:r>
      <w:proofErr w:type="gramEnd"/>
      <w:r>
        <w:rPr>
          <w:rFonts w:cstheme="minorHAnsi"/>
          <w:b/>
          <w:sz w:val="26"/>
          <w:szCs w:val="26"/>
          <w:lang w:val="en-GB"/>
        </w:rPr>
        <w:t xml:space="preserve"> EACA 29; and Simon </w:t>
      </w:r>
      <w:proofErr w:type="spellStart"/>
      <w:r>
        <w:rPr>
          <w:rFonts w:cstheme="minorHAnsi"/>
          <w:b/>
          <w:sz w:val="26"/>
          <w:szCs w:val="26"/>
          <w:lang w:val="en-GB"/>
        </w:rPr>
        <w:t>Musoke</w:t>
      </w:r>
      <w:proofErr w:type="spellEnd"/>
      <w:r>
        <w:rPr>
          <w:rFonts w:cstheme="minorHAnsi"/>
          <w:b/>
          <w:sz w:val="26"/>
          <w:szCs w:val="26"/>
          <w:lang w:val="en-GB"/>
        </w:rPr>
        <w:t xml:space="preserve"> v R [1958] EA 715)</w:t>
      </w:r>
      <w:r>
        <w:rPr>
          <w:rFonts w:cstheme="minorHAnsi"/>
          <w:sz w:val="26"/>
          <w:szCs w:val="26"/>
          <w:lang w:val="en-GB"/>
        </w:rPr>
        <w:t>:</w:t>
      </w:r>
    </w:p>
    <w:p w14:paraId="088094DA" w14:textId="705AB6F7" w:rsidR="00B713BC" w:rsidRDefault="00B713BC" w:rsidP="00A71F04">
      <w:pPr>
        <w:pStyle w:val="ListParagraph"/>
        <w:numPr>
          <w:ilvl w:val="0"/>
          <w:numId w:val="20"/>
        </w:numPr>
        <w:spacing w:after="100" w:afterAutospacing="1" w:line="360" w:lineRule="auto"/>
        <w:jc w:val="both"/>
        <w:rPr>
          <w:rFonts w:cstheme="minorHAnsi"/>
          <w:sz w:val="26"/>
          <w:szCs w:val="26"/>
          <w:lang w:val="en-GB"/>
        </w:rPr>
      </w:pPr>
      <w:r>
        <w:rPr>
          <w:rFonts w:cstheme="minorHAnsi"/>
          <w:sz w:val="26"/>
          <w:szCs w:val="26"/>
          <w:lang w:val="en-GB"/>
        </w:rPr>
        <w:lastRenderedPageBreak/>
        <w:t xml:space="preserve">The Accused person </w:t>
      </w:r>
      <w:proofErr w:type="gramStart"/>
      <w:r>
        <w:rPr>
          <w:rFonts w:cstheme="minorHAnsi"/>
          <w:sz w:val="26"/>
          <w:szCs w:val="26"/>
          <w:lang w:val="en-GB"/>
        </w:rPr>
        <w:t>is always informed</w:t>
      </w:r>
      <w:proofErr w:type="gramEnd"/>
      <w:r>
        <w:rPr>
          <w:rFonts w:cstheme="minorHAnsi"/>
          <w:sz w:val="26"/>
          <w:szCs w:val="26"/>
          <w:lang w:val="en-GB"/>
        </w:rPr>
        <w:t xml:space="preserve"> that he may have an advocate or friend present when the parade takes place.</w:t>
      </w:r>
    </w:p>
    <w:p w14:paraId="632A26F3" w14:textId="6FCD15F3" w:rsidR="00B713BC" w:rsidRDefault="00B713BC" w:rsidP="00A71F04">
      <w:pPr>
        <w:pStyle w:val="ListParagraph"/>
        <w:numPr>
          <w:ilvl w:val="0"/>
          <w:numId w:val="20"/>
        </w:numPr>
        <w:spacing w:after="100" w:afterAutospacing="1" w:line="360" w:lineRule="auto"/>
        <w:jc w:val="both"/>
        <w:rPr>
          <w:rFonts w:cstheme="minorHAnsi"/>
          <w:sz w:val="26"/>
          <w:szCs w:val="26"/>
          <w:lang w:val="en-GB"/>
        </w:rPr>
      </w:pPr>
      <w:r>
        <w:rPr>
          <w:rFonts w:cstheme="minorHAnsi"/>
          <w:sz w:val="26"/>
          <w:szCs w:val="26"/>
          <w:lang w:val="en-GB"/>
        </w:rPr>
        <w:t>The Officer in Charge of the case does not carry out the ID parade.</w:t>
      </w:r>
    </w:p>
    <w:p w14:paraId="29CFFE72" w14:textId="5F9012C3" w:rsidR="00B713BC" w:rsidRDefault="00B713BC" w:rsidP="00A71F04">
      <w:pPr>
        <w:pStyle w:val="ListParagraph"/>
        <w:numPr>
          <w:ilvl w:val="0"/>
          <w:numId w:val="20"/>
        </w:numPr>
        <w:spacing w:after="100" w:afterAutospacing="1" w:line="360" w:lineRule="auto"/>
        <w:jc w:val="both"/>
        <w:rPr>
          <w:rFonts w:cstheme="minorHAnsi"/>
          <w:sz w:val="26"/>
          <w:szCs w:val="26"/>
          <w:lang w:val="en-GB"/>
        </w:rPr>
      </w:pPr>
      <w:r>
        <w:rPr>
          <w:rFonts w:cstheme="minorHAnsi"/>
          <w:sz w:val="26"/>
          <w:szCs w:val="26"/>
          <w:lang w:val="en-GB"/>
        </w:rPr>
        <w:t xml:space="preserve">The witness does not see the accused before the parade. </w:t>
      </w:r>
    </w:p>
    <w:p w14:paraId="352C9AA8" w14:textId="5B53B95C" w:rsidR="00B713BC" w:rsidRDefault="00B713BC" w:rsidP="00A71F04">
      <w:pPr>
        <w:pStyle w:val="ListParagraph"/>
        <w:numPr>
          <w:ilvl w:val="0"/>
          <w:numId w:val="20"/>
        </w:numPr>
        <w:spacing w:after="100" w:afterAutospacing="1" w:line="360" w:lineRule="auto"/>
        <w:jc w:val="both"/>
        <w:rPr>
          <w:rFonts w:cstheme="minorHAnsi"/>
          <w:sz w:val="26"/>
          <w:szCs w:val="26"/>
          <w:lang w:val="en-GB"/>
        </w:rPr>
      </w:pPr>
      <w:r>
        <w:rPr>
          <w:rFonts w:cstheme="minorHAnsi"/>
          <w:sz w:val="26"/>
          <w:szCs w:val="26"/>
          <w:lang w:val="en-GB"/>
        </w:rPr>
        <w:t xml:space="preserve">The accused </w:t>
      </w:r>
      <w:proofErr w:type="gramStart"/>
      <w:r>
        <w:rPr>
          <w:rFonts w:cstheme="minorHAnsi"/>
          <w:sz w:val="26"/>
          <w:szCs w:val="26"/>
          <w:lang w:val="en-GB"/>
        </w:rPr>
        <w:t>is placed</w:t>
      </w:r>
      <w:proofErr w:type="gramEnd"/>
      <w:r>
        <w:rPr>
          <w:rFonts w:cstheme="minorHAnsi"/>
          <w:sz w:val="26"/>
          <w:szCs w:val="26"/>
          <w:lang w:val="en-GB"/>
        </w:rPr>
        <w:t xml:space="preserve"> among at least 8 persons as far as possible of similar age, height, general appearance and class of life as the accused.</w:t>
      </w:r>
    </w:p>
    <w:p w14:paraId="35FAE9CC" w14:textId="59B3B886" w:rsidR="00B713BC" w:rsidRDefault="00B713BC" w:rsidP="00A71F04">
      <w:pPr>
        <w:pStyle w:val="ListParagraph"/>
        <w:numPr>
          <w:ilvl w:val="0"/>
          <w:numId w:val="20"/>
        </w:numPr>
        <w:spacing w:after="100" w:afterAutospacing="1" w:line="360" w:lineRule="auto"/>
        <w:jc w:val="both"/>
        <w:rPr>
          <w:rFonts w:cstheme="minorHAnsi"/>
          <w:sz w:val="26"/>
          <w:szCs w:val="26"/>
          <w:lang w:val="en-GB"/>
        </w:rPr>
      </w:pPr>
      <w:r>
        <w:rPr>
          <w:rFonts w:cstheme="minorHAnsi"/>
          <w:sz w:val="26"/>
          <w:szCs w:val="26"/>
          <w:lang w:val="en-GB"/>
        </w:rPr>
        <w:t>Accused is allowed to take any position he or she wishes after the identifying witness has left if he or she so desires.</w:t>
      </w:r>
    </w:p>
    <w:p w14:paraId="5EBAC16C" w14:textId="79DFF11A" w:rsidR="00B713BC" w:rsidRDefault="00B713BC" w:rsidP="00A71F04">
      <w:pPr>
        <w:pStyle w:val="ListParagraph"/>
        <w:numPr>
          <w:ilvl w:val="0"/>
          <w:numId w:val="20"/>
        </w:numPr>
        <w:spacing w:after="100" w:afterAutospacing="1" w:line="360" w:lineRule="auto"/>
        <w:jc w:val="both"/>
        <w:rPr>
          <w:rFonts w:cstheme="minorHAnsi"/>
          <w:sz w:val="26"/>
          <w:szCs w:val="26"/>
          <w:lang w:val="en-GB"/>
        </w:rPr>
      </w:pPr>
      <w:r>
        <w:rPr>
          <w:rFonts w:cstheme="minorHAnsi"/>
          <w:sz w:val="26"/>
          <w:szCs w:val="26"/>
          <w:lang w:val="en-GB"/>
        </w:rPr>
        <w:t xml:space="preserve">Witnesses </w:t>
      </w:r>
      <w:proofErr w:type="gramStart"/>
      <w:r>
        <w:rPr>
          <w:rFonts w:cstheme="minorHAnsi"/>
          <w:sz w:val="26"/>
          <w:szCs w:val="26"/>
          <w:lang w:val="en-GB"/>
        </w:rPr>
        <w:t>are not allowed</w:t>
      </w:r>
      <w:proofErr w:type="gramEnd"/>
      <w:r>
        <w:rPr>
          <w:rFonts w:cstheme="minorHAnsi"/>
          <w:sz w:val="26"/>
          <w:szCs w:val="26"/>
          <w:lang w:val="en-GB"/>
        </w:rPr>
        <w:t xml:space="preserve"> to communicate after the parade.</w:t>
      </w:r>
    </w:p>
    <w:p w14:paraId="1F316576" w14:textId="24145C46" w:rsidR="00B713BC" w:rsidRDefault="00B713BC" w:rsidP="00A71F04">
      <w:pPr>
        <w:pStyle w:val="ListParagraph"/>
        <w:numPr>
          <w:ilvl w:val="0"/>
          <w:numId w:val="20"/>
        </w:numPr>
        <w:spacing w:after="100" w:afterAutospacing="1" w:line="360" w:lineRule="auto"/>
        <w:jc w:val="both"/>
        <w:rPr>
          <w:rFonts w:cstheme="minorHAnsi"/>
          <w:sz w:val="26"/>
          <w:szCs w:val="26"/>
          <w:lang w:val="en-GB"/>
        </w:rPr>
      </w:pPr>
      <w:r>
        <w:rPr>
          <w:rFonts w:cstheme="minorHAnsi"/>
          <w:sz w:val="26"/>
          <w:szCs w:val="26"/>
          <w:lang w:val="en-GB"/>
        </w:rPr>
        <w:t>The parade should exclude anybody who has no business there.</w:t>
      </w:r>
    </w:p>
    <w:p w14:paraId="3C24B170" w14:textId="744AB75C" w:rsidR="00B713BC" w:rsidRDefault="00B713BC" w:rsidP="00A71F04">
      <w:pPr>
        <w:pStyle w:val="ListParagraph"/>
        <w:numPr>
          <w:ilvl w:val="0"/>
          <w:numId w:val="20"/>
        </w:numPr>
        <w:spacing w:after="100" w:afterAutospacing="1" w:line="360" w:lineRule="auto"/>
        <w:jc w:val="both"/>
        <w:rPr>
          <w:rFonts w:cstheme="minorHAnsi"/>
          <w:sz w:val="26"/>
          <w:szCs w:val="26"/>
          <w:lang w:val="en-GB"/>
        </w:rPr>
      </w:pPr>
      <w:r>
        <w:rPr>
          <w:rFonts w:cstheme="minorHAnsi"/>
          <w:sz w:val="26"/>
          <w:szCs w:val="26"/>
          <w:lang w:val="en-GB"/>
        </w:rPr>
        <w:t xml:space="preserve">The Officer in Charge should note after witness leaves whether or not the identification </w:t>
      </w:r>
      <w:proofErr w:type="gramStart"/>
      <w:r>
        <w:rPr>
          <w:rFonts w:cstheme="minorHAnsi"/>
          <w:sz w:val="26"/>
          <w:szCs w:val="26"/>
          <w:lang w:val="en-GB"/>
        </w:rPr>
        <w:t>was made</w:t>
      </w:r>
      <w:proofErr w:type="gramEnd"/>
      <w:r>
        <w:rPr>
          <w:rFonts w:cstheme="minorHAnsi"/>
          <w:sz w:val="26"/>
          <w:szCs w:val="26"/>
          <w:lang w:val="en-GB"/>
        </w:rPr>
        <w:t xml:space="preserve"> and the circumstances.</w:t>
      </w:r>
    </w:p>
    <w:p w14:paraId="716930EA" w14:textId="6B42CFA5" w:rsidR="00B713BC" w:rsidRDefault="00B713BC" w:rsidP="00A71F04">
      <w:pPr>
        <w:pStyle w:val="ListParagraph"/>
        <w:numPr>
          <w:ilvl w:val="0"/>
          <w:numId w:val="20"/>
        </w:numPr>
        <w:spacing w:after="100" w:afterAutospacing="1" w:line="360" w:lineRule="auto"/>
        <w:jc w:val="both"/>
        <w:rPr>
          <w:rFonts w:cstheme="minorHAnsi"/>
          <w:sz w:val="26"/>
          <w:szCs w:val="26"/>
          <w:lang w:val="en-GB"/>
        </w:rPr>
      </w:pPr>
      <w:r>
        <w:rPr>
          <w:rFonts w:cstheme="minorHAnsi"/>
          <w:sz w:val="26"/>
          <w:szCs w:val="26"/>
          <w:lang w:val="en-GB"/>
        </w:rPr>
        <w:t>If the witness desires to see the accused walk, speak, remove or put on a hat</w:t>
      </w:r>
      <w:r w:rsidR="00D92ABE">
        <w:rPr>
          <w:rFonts w:cstheme="minorHAnsi"/>
          <w:sz w:val="26"/>
          <w:szCs w:val="26"/>
          <w:lang w:val="en-GB"/>
        </w:rPr>
        <w:t xml:space="preserve">, it </w:t>
      </w:r>
      <w:proofErr w:type="gramStart"/>
      <w:r w:rsidR="00D92ABE">
        <w:rPr>
          <w:rFonts w:cstheme="minorHAnsi"/>
          <w:sz w:val="26"/>
          <w:szCs w:val="26"/>
          <w:lang w:val="en-GB"/>
        </w:rPr>
        <w:t>should be done</w:t>
      </w:r>
      <w:proofErr w:type="gramEnd"/>
      <w:r w:rsidR="00D92ABE">
        <w:rPr>
          <w:rFonts w:cstheme="minorHAnsi"/>
          <w:sz w:val="26"/>
          <w:szCs w:val="26"/>
          <w:lang w:val="en-GB"/>
        </w:rPr>
        <w:t xml:space="preserve"> but care taken to ensure all persons on parade do the same.</w:t>
      </w:r>
    </w:p>
    <w:p w14:paraId="7D24E439" w14:textId="0D75D6BF" w:rsidR="00D92ABE" w:rsidRDefault="00D92ABE" w:rsidP="00A71F04">
      <w:pPr>
        <w:pStyle w:val="ListParagraph"/>
        <w:numPr>
          <w:ilvl w:val="0"/>
          <w:numId w:val="20"/>
        </w:numPr>
        <w:spacing w:after="100" w:afterAutospacing="1" w:line="360" w:lineRule="auto"/>
        <w:jc w:val="both"/>
        <w:rPr>
          <w:rFonts w:cstheme="minorHAnsi"/>
          <w:sz w:val="26"/>
          <w:szCs w:val="26"/>
          <w:lang w:val="en-GB"/>
        </w:rPr>
      </w:pPr>
      <w:r>
        <w:rPr>
          <w:rFonts w:cstheme="minorHAnsi"/>
          <w:sz w:val="26"/>
          <w:szCs w:val="26"/>
          <w:lang w:val="en-GB"/>
        </w:rPr>
        <w:t>The witness should touch the identified person.</w:t>
      </w:r>
    </w:p>
    <w:p w14:paraId="7CBC1A9A" w14:textId="4F338DA0" w:rsidR="00D92ABE" w:rsidRDefault="00D92ABE" w:rsidP="00A71F04">
      <w:pPr>
        <w:pStyle w:val="ListParagraph"/>
        <w:numPr>
          <w:ilvl w:val="0"/>
          <w:numId w:val="20"/>
        </w:numPr>
        <w:spacing w:after="100" w:afterAutospacing="1" w:line="360" w:lineRule="auto"/>
        <w:jc w:val="both"/>
        <w:rPr>
          <w:rFonts w:cstheme="minorHAnsi"/>
          <w:sz w:val="26"/>
          <w:szCs w:val="26"/>
          <w:lang w:val="en-GB"/>
        </w:rPr>
      </w:pPr>
      <w:r>
        <w:rPr>
          <w:rFonts w:cstheme="minorHAnsi"/>
          <w:sz w:val="26"/>
          <w:szCs w:val="26"/>
          <w:lang w:val="en-GB"/>
        </w:rPr>
        <w:t xml:space="preserve">During preparations for or at the </w:t>
      </w:r>
      <w:proofErr w:type="gramStart"/>
      <w:r>
        <w:rPr>
          <w:rFonts w:cstheme="minorHAnsi"/>
          <w:sz w:val="26"/>
          <w:szCs w:val="26"/>
          <w:lang w:val="en-GB"/>
        </w:rPr>
        <w:t>parade</w:t>
      </w:r>
      <w:proofErr w:type="gramEnd"/>
      <w:r>
        <w:rPr>
          <w:rFonts w:cstheme="minorHAnsi"/>
          <w:sz w:val="26"/>
          <w:szCs w:val="26"/>
          <w:lang w:val="en-GB"/>
        </w:rPr>
        <w:t xml:space="preserve"> the accused should be asked if they are satisfied that the parade is being conducted in a fair manner and note the reply.</w:t>
      </w:r>
    </w:p>
    <w:p w14:paraId="07CD1955" w14:textId="623E9EEA" w:rsidR="00D92ABE" w:rsidRDefault="00D92ABE" w:rsidP="00A71F04">
      <w:pPr>
        <w:pStyle w:val="ListParagraph"/>
        <w:numPr>
          <w:ilvl w:val="0"/>
          <w:numId w:val="20"/>
        </w:numPr>
        <w:spacing w:after="100" w:afterAutospacing="1" w:line="360" w:lineRule="auto"/>
        <w:jc w:val="both"/>
        <w:rPr>
          <w:rFonts w:cstheme="minorHAnsi"/>
          <w:sz w:val="26"/>
          <w:szCs w:val="26"/>
          <w:lang w:val="en-GB"/>
        </w:rPr>
      </w:pPr>
      <w:r>
        <w:rPr>
          <w:rFonts w:cstheme="minorHAnsi"/>
          <w:sz w:val="26"/>
          <w:szCs w:val="26"/>
          <w:lang w:val="en-GB"/>
        </w:rPr>
        <w:t xml:space="preserve">Prior to the parade, the witness </w:t>
      </w:r>
      <w:proofErr w:type="gramStart"/>
      <w:r>
        <w:rPr>
          <w:rFonts w:cstheme="minorHAnsi"/>
          <w:sz w:val="26"/>
          <w:szCs w:val="26"/>
          <w:lang w:val="en-GB"/>
        </w:rPr>
        <w:t>should be informed</w:t>
      </w:r>
      <w:proofErr w:type="gramEnd"/>
      <w:r>
        <w:rPr>
          <w:rFonts w:cstheme="minorHAnsi"/>
          <w:sz w:val="26"/>
          <w:szCs w:val="26"/>
          <w:lang w:val="en-GB"/>
        </w:rPr>
        <w:t xml:space="preserve"> that the group of people may or may not contain the suspect. Furthermore, witness </w:t>
      </w:r>
      <w:proofErr w:type="gramStart"/>
      <w:r>
        <w:rPr>
          <w:rFonts w:cstheme="minorHAnsi"/>
          <w:sz w:val="26"/>
          <w:szCs w:val="26"/>
          <w:lang w:val="en-GB"/>
        </w:rPr>
        <w:t>should not be told to pick out someone or otherwise influenced in any way</w:t>
      </w:r>
      <w:proofErr w:type="gramEnd"/>
      <w:r>
        <w:rPr>
          <w:rFonts w:cstheme="minorHAnsi"/>
          <w:sz w:val="26"/>
          <w:szCs w:val="26"/>
          <w:lang w:val="en-GB"/>
        </w:rPr>
        <w:t>.</w:t>
      </w:r>
    </w:p>
    <w:p w14:paraId="4004BB1A" w14:textId="6CD921D1" w:rsidR="00D92ABE" w:rsidRDefault="00D92ABE" w:rsidP="00A71F04">
      <w:pPr>
        <w:pStyle w:val="ListParagraph"/>
        <w:numPr>
          <w:ilvl w:val="0"/>
          <w:numId w:val="20"/>
        </w:numPr>
        <w:spacing w:after="100" w:afterAutospacing="1" w:line="360" w:lineRule="auto"/>
        <w:jc w:val="both"/>
        <w:rPr>
          <w:rFonts w:cstheme="minorHAnsi"/>
          <w:sz w:val="26"/>
          <w:szCs w:val="26"/>
          <w:lang w:val="en-GB"/>
        </w:rPr>
      </w:pPr>
      <w:r>
        <w:rPr>
          <w:rFonts w:cstheme="minorHAnsi"/>
          <w:sz w:val="26"/>
          <w:szCs w:val="26"/>
          <w:lang w:val="en-GB"/>
        </w:rPr>
        <w:t xml:space="preserve">The Officer in Charge should act with scrupulous fairness </w:t>
      </w:r>
      <w:proofErr w:type="gramStart"/>
      <w:r>
        <w:rPr>
          <w:rFonts w:cstheme="minorHAnsi"/>
          <w:sz w:val="26"/>
          <w:szCs w:val="26"/>
          <w:lang w:val="en-GB"/>
        </w:rPr>
        <w:t>otherwise</w:t>
      </w:r>
      <w:proofErr w:type="gramEnd"/>
      <w:r>
        <w:rPr>
          <w:rFonts w:cstheme="minorHAnsi"/>
          <w:sz w:val="26"/>
          <w:szCs w:val="26"/>
          <w:lang w:val="en-GB"/>
        </w:rPr>
        <w:t xml:space="preserve"> the value of the ID parade will depreciate considerably.</w:t>
      </w:r>
    </w:p>
    <w:p w14:paraId="60F330A1" w14:textId="20E59F35" w:rsidR="00D92ABE" w:rsidRDefault="00D92ABE" w:rsidP="00A71F04">
      <w:pPr>
        <w:spacing w:after="100" w:afterAutospacing="1" w:line="360" w:lineRule="auto"/>
        <w:jc w:val="both"/>
        <w:rPr>
          <w:rFonts w:cstheme="minorHAnsi"/>
          <w:sz w:val="26"/>
          <w:szCs w:val="26"/>
          <w:lang w:val="en-GB"/>
        </w:rPr>
      </w:pPr>
      <w:r>
        <w:rPr>
          <w:rFonts w:cstheme="minorHAnsi"/>
          <w:sz w:val="26"/>
          <w:szCs w:val="26"/>
          <w:lang w:val="en-GB"/>
        </w:rPr>
        <w:t xml:space="preserve">In light of the rules outlined above, as I have already noted there was no evidence that the suspects </w:t>
      </w:r>
      <w:proofErr w:type="gramStart"/>
      <w:r>
        <w:rPr>
          <w:rFonts w:cstheme="minorHAnsi"/>
          <w:sz w:val="26"/>
          <w:szCs w:val="26"/>
          <w:lang w:val="en-GB"/>
        </w:rPr>
        <w:t>were advised</w:t>
      </w:r>
      <w:proofErr w:type="gramEnd"/>
      <w:r>
        <w:rPr>
          <w:rFonts w:cstheme="minorHAnsi"/>
          <w:sz w:val="26"/>
          <w:szCs w:val="26"/>
          <w:lang w:val="en-GB"/>
        </w:rPr>
        <w:t xml:space="preserve"> of their right to have an advocate or even a friend present. There was also no evidence that they were advised of their right to object to the manner in which the parade was being conducted or to even choose where they prefer to stand </w:t>
      </w:r>
      <w:r>
        <w:rPr>
          <w:rFonts w:cstheme="minorHAnsi"/>
          <w:sz w:val="26"/>
          <w:szCs w:val="26"/>
          <w:lang w:val="en-GB"/>
        </w:rPr>
        <w:lastRenderedPageBreak/>
        <w:t xml:space="preserve">in the parade. In all these instances it is not enough for the Officer in Charge of the parade to </w:t>
      </w:r>
      <w:r w:rsidR="00D35C7B">
        <w:rPr>
          <w:rFonts w:cstheme="minorHAnsi"/>
          <w:sz w:val="26"/>
          <w:szCs w:val="26"/>
          <w:lang w:val="en-GB"/>
        </w:rPr>
        <w:t xml:space="preserve">simply enter one-word answers “yes” or “no”. There is ample space provided in the form in which a diligent officer ought to indicate whether the suspects </w:t>
      </w:r>
      <w:proofErr w:type="gramStart"/>
      <w:r w:rsidR="00D35C7B">
        <w:rPr>
          <w:rFonts w:cstheme="minorHAnsi"/>
          <w:sz w:val="26"/>
          <w:szCs w:val="26"/>
          <w:lang w:val="en-GB"/>
        </w:rPr>
        <w:t>have been advised</w:t>
      </w:r>
      <w:proofErr w:type="gramEnd"/>
      <w:r w:rsidR="00D35C7B">
        <w:rPr>
          <w:rFonts w:cstheme="minorHAnsi"/>
          <w:sz w:val="26"/>
          <w:szCs w:val="26"/>
          <w:lang w:val="en-GB"/>
        </w:rPr>
        <w:t xml:space="preserve"> of the right in question. As things stand, PW7 never testified in court as to whether these critical issues were put to the suspects and it </w:t>
      </w:r>
      <w:proofErr w:type="gramStart"/>
      <w:r w:rsidR="00D35C7B">
        <w:rPr>
          <w:rFonts w:cstheme="minorHAnsi"/>
          <w:sz w:val="26"/>
          <w:szCs w:val="26"/>
          <w:lang w:val="en-GB"/>
        </w:rPr>
        <w:t>is also</w:t>
      </w:r>
      <w:proofErr w:type="gramEnd"/>
      <w:r w:rsidR="00D35C7B">
        <w:rPr>
          <w:rFonts w:cstheme="minorHAnsi"/>
          <w:sz w:val="26"/>
          <w:szCs w:val="26"/>
          <w:lang w:val="en-GB"/>
        </w:rPr>
        <w:t xml:space="preserve"> not evident in Police Form 69 exhibited as Prosecution Exhibit 6. </w:t>
      </w:r>
    </w:p>
    <w:p w14:paraId="24197D29" w14:textId="08323749" w:rsidR="00D35C7B" w:rsidRDefault="00D35C7B" w:rsidP="00A71F04">
      <w:pPr>
        <w:spacing w:after="100" w:afterAutospacing="1" w:line="360" w:lineRule="auto"/>
        <w:jc w:val="both"/>
        <w:rPr>
          <w:rFonts w:cstheme="minorHAnsi"/>
          <w:sz w:val="26"/>
          <w:szCs w:val="26"/>
          <w:lang w:val="en-GB"/>
        </w:rPr>
      </w:pPr>
      <w:r>
        <w:rPr>
          <w:rFonts w:cstheme="minorHAnsi"/>
          <w:sz w:val="26"/>
          <w:szCs w:val="26"/>
          <w:lang w:val="en-GB"/>
        </w:rPr>
        <w:t xml:space="preserve">It is also particularly damaging that the suspects never endorsed their consent that the parade </w:t>
      </w:r>
      <w:proofErr w:type="gramStart"/>
      <w:r>
        <w:rPr>
          <w:rFonts w:cstheme="minorHAnsi"/>
          <w:sz w:val="26"/>
          <w:szCs w:val="26"/>
          <w:lang w:val="en-GB"/>
        </w:rPr>
        <w:t>was conducted</w:t>
      </w:r>
      <w:proofErr w:type="gramEnd"/>
      <w:r>
        <w:rPr>
          <w:rFonts w:cstheme="minorHAnsi"/>
          <w:sz w:val="26"/>
          <w:szCs w:val="26"/>
          <w:lang w:val="en-GB"/>
        </w:rPr>
        <w:t xml:space="preserve"> fairly. </w:t>
      </w:r>
    </w:p>
    <w:p w14:paraId="114CCA7C" w14:textId="7F7F9372" w:rsidR="00D35C7B" w:rsidRDefault="00D35C7B" w:rsidP="00A71F04">
      <w:pPr>
        <w:spacing w:after="100" w:afterAutospacing="1" w:line="360" w:lineRule="auto"/>
        <w:jc w:val="both"/>
        <w:rPr>
          <w:rFonts w:cstheme="minorHAnsi"/>
          <w:sz w:val="26"/>
          <w:szCs w:val="26"/>
          <w:lang w:val="en-GB"/>
        </w:rPr>
      </w:pPr>
      <w:r>
        <w:rPr>
          <w:rFonts w:cstheme="minorHAnsi"/>
          <w:sz w:val="26"/>
          <w:szCs w:val="26"/>
          <w:lang w:val="en-GB"/>
        </w:rPr>
        <w:t xml:space="preserve">Once </w:t>
      </w:r>
      <w:r w:rsidR="00A05A1B">
        <w:rPr>
          <w:rFonts w:cstheme="minorHAnsi"/>
          <w:sz w:val="26"/>
          <w:szCs w:val="26"/>
          <w:lang w:val="en-GB"/>
        </w:rPr>
        <w:t xml:space="preserve">there is a failure to meet </w:t>
      </w:r>
      <w:r>
        <w:rPr>
          <w:rFonts w:cstheme="minorHAnsi"/>
          <w:sz w:val="26"/>
          <w:szCs w:val="26"/>
          <w:lang w:val="en-GB"/>
        </w:rPr>
        <w:t>any of the requi</w:t>
      </w:r>
      <w:r w:rsidR="00A05A1B">
        <w:rPr>
          <w:rFonts w:cstheme="minorHAnsi"/>
          <w:sz w:val="26"/>
          <w:szCs w:val="26"/>
          <w:lang w:val="en-GB"/>
        </w:rPr>
        <w:t>rements listed above</w:t>
      </w:r>
      <w:r>
        <w:rPr>
          <w:rFonts w:cstheme="minorHAnsi"/>
          <w:sz w:val="26"/>
          <w:szCs w:val="26"/>
          <w:lang w:val="en-GB"/>
        </w:rPr>
        <w:t xml:space="preserve">, it is unsafe for this court to draw a conclusion that the suspects </w:t>
      </w:r>
      <w:proofErr w:type="gramStart"/>
      <w:r>
        <w:rPr>
          <w:rFonts w:cstheme="minorHAnsi"/>
          <w:sz w:val="26"/>
          <w:szCs w:val="26"/>
          <w:lang w:val="en-GB"/>
        </w:rPr>
        <w:t>were properly identified</w:t>
      </w:r>
      <w:proofErr w:type="gramEnd"/>
      <w:r>
        <w:rPr>
          <w:rFonts w:cstheme="minorHAnsi"/>
          <w:sz w:val="26"/>
          <w:szCs w:val="26"/>
          <w:lang w:val="en-GB"/>
        </w:rPr>
        <w:t xml:space="preserve">. The identification parade is not to </w:t>
      </w:r>
      <w:proofErr w:type="gramStart"/>
      <w:r>
        <w:rPr>
          <w:rFonts w:cstheme="minorHAnsi"/>
          <w:sz w:val="26"/>
          <w:szCs w:val="26"/>
          <w:lang w:val="en-GB"/>
        </w:rPr>
        <w:t>be treated</w:t>
      </w:r>
      <w:proofErr w:type="gramEnd"/>
      <w:r>
        <w:rPr>
          <w:rFonts w:cstheme="minorHAnsi"/>
          <w:sz w:val="26"/>
          <w:szCs w:val="26"/>
          <w:lang w:val="en-GB"/>
        </w:rPr>
        <w:t xml:space="preserve"> lightly. It is a procedural precursor to the guarantee of the right to a fair trial under Article 28</w:t>
      </w:r>
      <w:r w:rsidR="0055455A">
        <w:rPr>
          <w:rFonts w:cstheme="minorHAnsi"/>
          <w:sz w:val="26"/>
          <w:szCs w:val="26"/>
          <w:lang w:val="en-GB"/>
        </w:rPr>
        <w:t xml:space="preserve">(3) of the Constitution and once there is any indication that the identification parade </w:t>
      </w:r>
      <w:proofErr w:type="gramStart"/>
      <w:r w:rsidR="0055455A">
        <w:rPr>
          <w:rFonts w:cstheme="minorHAnsi"/>
          <w:sz w:val="26"/>
          <w:szCs w:val="26"/>
          <w:lang w:val="en-GB"/>
        </w:rPr>
        <w:t>has not been done</w:t>
      </w:r>
      <w:proofErr w:type="gramEnd"/>
      <w:r w:rsidR="0055455A">
        <w:rPr>
          <w:rFonts w:cstheme="minorHAnsi"/>
          <w:sz w:val="26"/>
          <w:szCs w:val="26"/>
          <w:lang w:val="en-GB"/>
        </w:rPr>
        <w:t xml:space="preserve"> properly, the court cannot safely base a conviction</w:t>
      </w:r>
      <w:r w:rsidR="00A05A1B">
        <w:rPr>
          <w:rFonts w:cstheme="minorHAnsi"/>
          <w:sz w:val="26"/>
          <w:szCs w:val="26"/>
          <w:lang w:val="en-GB"/>
        </w:rPr>
        <w:t xml:space="preserve"> on the impugned parade. The identification process </w:t>
      </w:r>
      <w:proofErr w:type="gramStart"/>
      <w:r w:rsidR="00A05A1B">
        <w:rPr>
          <w:rFonts w:cstheme="minorHAnsi"/>
          <w:sz w:val="26"/>
          <w:szCs w:val="26"/>
          <w:lang w:val="en-GB"/>
        </w:rPr>
        <w:t>should therefore always be treated</w:t>
      </w:r>
      <w:proofErr w:type="gramEnd"/>
      <w:r w:rsidR="00A05A1B">
        <w:rPr>
          <w:rFonts w:cstheme="minorHAnsi"/>
          <w:sz w:val="26"/>
          <w:szCs w:val="26"/>
          <w:lang w:val="en-GB"/>
        </w:rPr>
        <w:t xml:space="preserve"> with utmost care and seriousness. It is only by following the outlined rules that the court can be satisfied that the officer in charge acted with scrupulous fairness and therefore assign the required weight to the evidence derived therefrom.</w:t>
      </w:r>
      <w:r w:rsidR="006E3128">
        <w:rPr>
          <w:rFonts w:cstheme="minorHAnsi"/>
          <w:sz w:val="26"/>
          <w:szCs w:val="26"/>
          <w:lang w:val="en-GB"/>
        </w:rPr>
        <w:t xml:space="preserve"> Short of this, an accused person </w:t>
      </w:r>
      <w:proofErr w:type="gramStart"/>
      <w:r w:rsidR="006E3128">
        <w:rPr>
          <w:rFonts w:cstheme="minorHAnsi"/>
          <w:sz w:val="26"/>
          <w:szCs w:val="26"/>
          <w:lang w:val="en-GB"/>
        </w:rPr>
        <w:t>cannot be guaranteed</w:t>
      </w:r>
      <w:proofErr w:type="gramEnd"/>
      <w:r w:rsidR="006E3128">
        <w:rPr>
          <w:rFonts w:cstheme="minorHAnsi"/>
          <w:sz w:val="26"/>
          <w:szCs w:val="26"/>
          <w:lang w:val="en-GB"/>
        </w:rPr>
        <w:t xml:space="preserve"> a fair trial and the risk of wrongful conviction rises exponentially. </w:t>
      </w:r>
    </w:p>
    <w:p w14:paraId="07B4C2B6" w14:textId="3CB0326A" w:rsidR="0055455A" w:rsidRDefault="0055455A" w:rsidP="00A71F04">
      <w:pPr>
        <w:spacing w:after="100" w:afterAutospacing="1" w:line="360" w:lineRule="auto"/>
        <w:jc w:val="both"/>
        <w:rPr>
          <w:rFonts w:cstheme="minorHAnsi"/>
          <w:sz w:val="26"/>
          <w:szCs w:val="26"/>
          <w:lang w:val="en-GB"/>
        </w:rPr>
      </w:pPr>
      <w:r>
        <w:rPr>
          <w:rFonts w:cstheme="minorHAnsi"/>
          <w:sz w:val="26"/>
          <w:szCs w:val="26"/>
          <w:lang w:val="en-GB"/>
        </w:rPr>
        <w:t xml:space="preserve">In this case, PW2 testified to having seen A2 and A3 leave with </w:t>
      </w:r>
      <w:proofErr w:type="spellStart"/>
      <w:r>
        <w:rPr>
          <w:rFonts w:cstheme="minorHAnsi"/>
          <w:sz w:val="26"/>
          <w:szCs w:val="26"/>
          <w:lang w:val="en-GB"/>
        </w:rPr>
        <w:t>Kasangaki</w:t>
      </w:r>
      <w:proofErr w:type="spellEnd"/>
      <w:r>
        <w:rPr>
          <w:rFonts w:cstheme="minorHAnsi"/>
          <w:sz w:val="26"/>
          <w:szCs w:val="26"/>
          <w:lang w:val="en-GB"/>
        </w:rPr>
        <w:t xml:space="preserve"> Wilson. He was the only witness that the Prosecution subsequently produced in terms of the identification parade. However, given the glaring procedural irregularities of the ID parade coupled with him being the only witness that the prosecution produced in concerning the impugned parade,</w:t>
      </w:r>
      <w:r w:rsidR="00FA7865">
        <w:rPr>
          <w:rFonts w:cstheme="minorHAnsi"/>
          <w:sz w:val="26"/>
          <w:szCs w:val="26"/>
          <w:lang w:val="en-GB"/>
        </w:rPr>
        <w:t xml:space="preserve"> I find myself unable to </w:t>
      </w:r>
      <w:r>
        <w:rPr>
          <w:rFonts w:cstheme="minorHAnsi"/>
          <w:sz w:val="26"/>
          <w:szCs w:val="26"/>
          <w:lang w:val="en-GB"/>
        </w:rPr>
        <w:t>conclude</w:t>
      </w:r>
      <w:r w:rsidR="00FA7865">
        <w:rPr>
          <w:rFonts w:cstheme="minorHAnsi"/>
          <w:sz w:val="26"/>
          <w:szCs w:val="26"/>
          <w:lang w:val="en-GB"/>
        </w:rPr>
        <w:t xml:space="preserve"> beyond a reasonable doubt</w:t>
      </w:r>
      <w:r w:rsidR="00A05A1B">
        <w:rPr>
          <w:rFonts w:cstheme="minorHAnsi"/>
          <w:sz w:val="26"/>
          <w:szCs w:val="26"/>
          <w:lang w:val="en-GB"/>
        </w:rPr>
        <w:t xml:space="preserve"> that he reliably</w:t>
      </w:r>
      <w:r>
        <w:rPr>
          <w:rFonts w:cstheme="minorHAnsi"/>
          <w:sz w:val="26"/>
          <w:szCs w:val="26"/>
          <w:lang w:val="en-GB"/>
        </w:rPr>
        <w:t xml:space="preserve"> identified A2 and A3. In such circumstances, it might have helped </w:t>
      </w:r>
      <w:r>
        <w:rPr>
          <w:rFonts w:cstheme="minorHAnsi"/>
          <w:sz w:val="26"/>
          <w:szCs w:val="26"/>
          <w:lang w:val="en-GB"/>
        </w:rPr>
        <w:lastRenderedPageBreak/>
        <w:t xml:space="preserve">to produce other witnesses from the ID parade that independently identified A2 and A3 but </w:t>
      </w:r>
      <w:proofErr w:type="gramStart"/>
      <w:r>
        <w:rPr>
          <w:rFonts w:cstheme="minorHAnsi"/>
          <w:sz w:val="26"/>
          <w:szCs w:val="26"/>
          <w:lang w:val="en-GB"/>
        </w:rPr>
        <w:t>unfortunately</w:t>
      </w:r>
      <w:proofErr w:type="gramEnd"/>
      <w:r>
        <w:rPr>
          <w:rFonts w:cstheme="minorHAnsi"/>
          <w:sz w:val="26"/>
          <w:szCs w:val="26"/>
          <w:lang w:val="en-GB"/>
        </w:rPr>
        <w:t xml:space="preserve"> this was not done. </w:t>
      </w:r>
    </w:p>
    <w:p w14:paraId="4E8AEC57" w14:textId="05661AB5" w:rsidR="009038A6" w:rsidRDefault="009038A6" w:rsidP="00A71F04">
      <w:pPr>
        <w:spacing w:after="100" w:afterAutospacing="1" w:line="360" w:lineRule="auto"/>
        <w:jc w:val="both"/>
        <w:rPr>
          <w:rFonts w:cstheme="minorHAnsi"/>
          <w:sz w:val="26"/>
          <w:szCs w:val="26"/>
          <w:lang w:val="en-GB"/>
        </w:rPr>
      </w:pPr>
      <w:r>
        <w:rPr>
          <w:rFonts w:cstheme="minorHAnsi"/>
          <w:sz w:val="26"/>
          <w:szCs w:val="26"/>
          <w:lang w:val="en-GB"/>
        </w:rPr>
        <w:t xml:space="preserve">According to the available evidence there was a </w:t>
      </w:r>
      <w:proofErr w:type="gramStart"/>
      <w:r>
        <w:rPr>
          <w:rFonts w:cstheme="minorHAnsi"/>
          <w:sz w:val="26"/>
          <w:szCs w:val="26"/>
          <w:lang w:val="en-GB"/>
        </w:rPr>
        <w:t>fairly significant</w:t>
      </w:r>
      <w:proofErr w:type="gramEnd"/>
      <w:r>
        <w:rPr>
          <w:rFonts w:cstheme="minorHAnsi"/>
          <w:sz w:val="26"/>
          <w:szCs w:val="26"/>
          <w:lang w:val="en-GB"/>
        </w:rPr>
        <w:t xml:space="preserve"> amount of time that passed between when PW1 and PW2 saw A2 and A3 in October 2021 and July 2022. Given that A2 and A3 were not persons previously known to PW1 and PW2, the process of identifying them after arrest needed to </w:t>
      </w:r>
      <w:proofErr w:type="gramStart"/>
      <w:r>
        <w:rPr>
          <w:rFonts w:cstheme="minorHAnsi"/>
          <w:sz w:val="26"/>
          <w:szCs w:val="26"/>
          <w:lang w:val="en-GB"/>
        </w:rPr>
        <w:t>be conducted</w:t>
      </w:r>
      <w:proofErr w:type="gramEnd"/>
      <w:r>
        <w:rPr>
          <w:rFonts w:cstheme="minorHAnsi"/>
          <w:sz w:val="26"/>
          <w:szCs w:val="26"/>
          <w:lang w:val="en-GB"/>
        </w:rPr>
        <w:t xml:space="preserve"> with utmost care leaving no room for reasonable doubt that the correct persons were identified. However, as I have already pointed out above, the identification parade left a lot to </w:t>
      </w:r>
      <w:proofErr w:type="gramStart"/>
      <w:r>
        <w:rPr>
          <w:rFonts w:cstheme="minorHAnsi"/>
          <w:sz w:val="26"/>
          <w:szCs w:val="26"/>
          <w:lang w:val="en-GB"/>
        </w:rPr>
        <w:t>be desired</w:t>
      </w:r>
      <w:proofErr w:type="gramEnd"/>
      <w:r>
        <w:rPr>
          <w:rFonts w:cstheme="minorHAnsi"/>
          <w:sz w:val="26"/>
          <w:szCs w:val="26"/>
          <w:lang w:val="en-GB"/>
        </w:rPr>
        <w:t>.</w:t>
      </w:r>
    </w:p>
    <w:p w14:paraId="3657E040" w14:textId="410FCCF4" w:rsidR="0055455A" w:rsidRDefault="0055455A" w:rsidP="00A71F04">
      <w:pPr>
        <w:spacing w:after="100" w:afterAutospacing="1" w:line="360" w:lineRule="auto"/>
        <w:jc w:val="both"/>
        <w:rPr>
          <w:rFonts w:cstheme="minorHAnsi"/>
          <w:sz w:val="26"/>
          <w:szCs w:val="26"/>
          <w:lang w:val="en-GB"/>
        </w:rPr>
      </w:pPr>
      <w:r>
        <w:rPr>
          <w:rFonts w:cstheme="minorHAnsi"/>
          <w:sz w:val="26"/>
          <w:szCs w:val="26"/>
          <w:lang w:val="en-GB"/>
        </w:rPr>
        <w:t>As concerns A1</w:t>
      </w:r>
      <w:r w:rsidR="00A71F04">
        <w:rPr>
          <w:rFonts w:cstheme="minorHAnsi"/>
          <w:sz w:val="26"/>
          <w:szCs w:val="26"/>
          <w:lang w:val="en-GB"/>
        </w:rPr>
        <w:t>,</w:t>
      </w:r>
      <w:r>
        <w:rPr>
          <w:rFonts w:cstheme="minorHAnsi"/>
          <w:sz w:val="26"/>
          <w:szCs w:val="26"/>
          <w:lang w:val="en-GB"/>
        </w:rPr>
        <w:t xml:space="preserve"> the situation is even worse because he </w:t>
      </w:r>
      <w:proofErr w:type="gramStart"/>
      <w:r>
        <w:rPr>
          <w:rFonts w:cstheme="minorHAnsi"/>
          <w:sz w:val="26"/>
          <w:szCs w:val="26"/>
          <w:lang w:val="en-GB"/>
        </w:rPr>
        <w:t>was not even seen</w:t>
      </w:r>
      <w:proofErr w:type="gramEnd"/>
      <w:r>
        <w:rPr>
          <w:rFonts w:cstheme="minorHAnsi"/>
          <w:sz w:val="26"/>
          <w:szCs w:val="26"/>
          <w:lang w:val="en-GB"/>
        </w:rPr>
        <w:t xml:space="preserve"> to leave with </w:t>
      </w:r>
      <w:proofErr w:type="spellStart"/>
      <w:r>
        <w:rPr>
          <w:rFonts w:cstheme="minorHAnsi"/>
          <w:sz w:val="26"/>
          <w:szCs w:val="26"/>
          <w:lang w:val="en-GB"/>
        </w:rPr>
        <w:t>Kasangaki</w:t>
      </w:r>
      <w:proofErr w:type="spellEnd"/>
      <w:r>
        <w:rPr>
          <w:rFonts w:cstheme="minorHAnsi"/>
          <w:sz w:val="26"/>
          <w:szCs w:val="26"/>
          <w:lang w:val="en-GB"/>
        </w:rPr>
        <w:t xml:space="preserve">. He </w:t>
      </w:r>
      <w:proofErr w:type="gramStart"/>
      <w:r>
        <w:rPr>
          <w:rFonts w:cstheme="minorHAnsi"/>
          <w:sz w:val="26"/>
          <w:szCs w:val="26"/>
          <w:lang w:val="en-GB"/>
        </w:rPr>
        <w:t>cannot therefore be considered</w:t>
      </w:r>
      <w:proofErr w:type="gramEnd"/>
      <w:r>
        <w:rPr>
          <w:rFonts w:cstheme="minorHAnsi"/>
          <w:sz w:val="26"/>
          <w:szCs w:val="26"/>
          <w:lang w:val="en-GB"/>
        </w:rPr>
        <w:t xml:space="preserve"> as someone last seen with </w:t>
      </w:r>
      <w:proofErr w:type="spellStart"/>
      <w:r>
        <w:rPr>
          <w:rFonts w:cstheme="minorHAnsi"/>
          <w:sz w:val="26"/>
          <w:szCs w:val="26"/>
          <w:lang w:val="en-GB"/>
        </w:rPr>
        <w:t>Kasangaki</w:t>
      </w:r>
      <w:proofErr w:type="spellEnd"/>
      <w:r>
        <w:rPr>
          <w:rFonts w:cstheme="minorHAnsi"/>
          <w:sz w:val="26"/>
          <w:szCs w:val="26"/>
          <w:lang w:val="en-GB"/>
        </w:rPr>
        <w:t>.</w:t>
      </w:r>
      <w:r w:rsidR="001436EF">
        <w:rPr>
          <w:rFonts w:cstheme="minorHAnsi"/>
          <w:sz w:val="26"/>
          <w:szCs w:val="26"/>
          <w:lang w:val="en-GB"/>
        </w:rPr>
        <w:t xml:space="preserve"> Nevertheless, he too was put through the process of an identification </w:t>
      </w:r>
      <w:proofErr w:type="gramStart"/>
      <w:r w:rsidR="001436EF">
        <w:rPr>
          <w:rFonts w:cstheme="minorHAnsi"/>
          <w:sz w:val="26"/>
          <w:szCs w:val="26"/>
          <w:lang w:val="en-GB"/>
        </w:rPr>
        <w:t>parade which</w:t>
      </w:r>
      <w:proofErr w:type="gramEnd"/>
      <w:r w:rsidR="001436EF">
        <w:rPr>
          <w:rFonts w:cstheme="minorHAnsi"/>
          <w:sz w:val="26"/>
          <w:szCs w:val="26"/>
          <w:lang w:val="en-GB"/>
        </w:rPr>
        <w:t xml:space="preserve"> was documented in Police Form 69 exhibited as Prosecution Exhibit 7. By that </w:t>
      </w:r>
      <w:proofErr w:type="gramStart"/>
      <w:r w:rsidR="001436EF">
        <w:rPr>
          <w:rFonts w:cstheme="minorHAnsi"/>
          <w:sz w:val="26"/>
          <w:szCs w:val="26"/>
          <w:lang w:val="en-GB"/>
        </w:rPr>
        <w:t>record</w:t>
      </w:r>
      <w:proofErr w:type="gramEnd"/>
      <w:r w:rsidR="001436EF">
        <w:rPr>
          <w:rFonts w:cstheme="minorHAnsi"/>
          <w:sz w:val="26"/>
          <w:szCs w:val="26"/>
          <w:lang w:val="en-GB"/>
        </w:rPr>
        <w:t xml:space="preserve"> the same shortcomings as those in the identification parade for A2 and A3 were apparent. </w:t>
      </w:r>
      <w:proofErr w:type="gramStart"/>
      <w:r w:rsidR="001436EF">
        <w:rPr>
          <w:rFonts w:cstheme="minorHAnsi"/>
          <w:sz w:val="26"/>
          <w:szCs w:val="26"/>
          <w:lang w:val="en-GB"/>
        </w:rPr>
        <w:t>But</w:t>
      </w:r>
      <w:proofErr w:type="gramEnd"/>
      <w:r w:rsidR="001436EF">
        <w:rPr>
          <w:rFonts w:cstheme="minorHAnsi"/>
          <w:sz w:val="26"/>
          <w:szCs w:val="26"/>
          <w:lang w:val="en-GB"/>
        </w:rPr>
        <w:t xml:space="preserve"> even beyond that there was no response indicated from the suspect as to whether he felt the parade was satisfactorily conducted. </w:t>
      </w:r>
      <w:proofErr w:type="gramStart"/>
      <w:r w:rsidR="001436EF">
        <w:rPr>
          <w:rFonts w:cstheme="minorHAnsi"/>
          <w:sz w:val="26"/>
          <w:szCs w:val="26"/>
          <w:lang w:val="en-GB"/>
        </w:rPr>
        <w:t>So</w:t>
      </w:r>
      <w:proofErr w:type="gramEnd"/>
      <w:r w:rsidR="001436EF">
        <w:rPr>
          <w:rFonts w:cstheme="minorHAnsi"/>
          <w:sz w:val="26"/>
          <w:szCs w:val="26"/>
          <w:lang w:val="en-GB"/>
        </w:rPr>
        <w:t xml:space="preserve"> even if A1 had been seen leaving with </w:t>
      </w:r>
      <w:proofErr w:type="spellStart"/>
      <w:r w:rsidR="001436EF">
        <w:rPr>
          <w:rFonts w:cstheme="minorHAnsi"/>
          <w:sz w:val="26"/>
          <w:szCs w:val="26"/>
          <w:lang w:val="en-GB"/>
        </w:rPr>
        <w:t>Kasangaki</w:t>
      </w:r>
      <w:proofErr w:type="spellEnd"/>
      <w:r w:rsidR="001436EF">
        <w:rPr>
          <w:rFonts w:cstheme="minorHAnsi"/>
          <w:sz w:val="26"/>
          <w:szCs w:val="26"/>
          <w:lang w:val="en-GB"/>
        </w:rPr>
        <w:t xml:space="preserve"> and </w:t>
      </w:r>
      <w:proofErr w:type="spellStart"/>
      <w:r w:rsidR="001436EF">
        <w:rPr>
          <w:rFonts w:cstheme="minorHAnsi"/>
          <w:sz w:val="26"/>
          <w:szCs w:val="26"/>
          <w:lang w:val="en-GB"/>
        </w:rPr>
        <w:t>Kasangaki</w:t>
      </w:r>
      <w:proofErr w:type="spellEnd"/>
      <w:r w:rsidR="001436EF">
        <w:rPr>
          <w:rFonts w:cstheme="minorHAnsi"/>
          <w:sz w:val="26"/>
          <w:szCs w:val="26"/>
          <w:lang w:val="en-GB"/>
        </w:rPr>
        <w:t xml:space="preserve"> had been conclusively identified as deceased, there would still be reason</w:t>
      </w:r>
      <w:r w:rsidR="00EF5231">
        <w:rPr>
          <w:rFonts w:cstheme="minorHAnsi"/>
          <w:sz w:val="26"/>
          <w:szCs w:val="26"/>
          <w:lang w:val="en-GB"/>
        </w:rPr>
        <w:t>able doubt about A1s</w:t>
      </w:r>
      <w:r w:rsidR="001436EF">
        <w:rPr>
          <w:rFonts w:cstheme="minorHAnsi"/>
          <w:sz w:val="26"/>
          <w:szCs w:val="26"/>
          <w:lang w:val="en-GB"/>
        </w:rPr>
        <w:t xml:space="preserve"> correct identification.</w:t>
      </w:r>
    </w:p>
    <w:p w14:paraId="24983933" w14:textId="288686F3" w:rsidR="00A05A1B" w:rsidRDefault="0055455A" w:rsidP="00B24A72">
      <w:pPr>
        <w:spacing w:after="100" w:afterAutospacing="1" w:line="360" w:lineRule="auto"/>
        <w:jc w:val="both"/>
        <w:rPr>
          <w:rFonts w:cstheme="minorHAnsi"/>
          <w:b/>
          <w:sz w:val="26"/>
          <w:szCs w:val="26"/>
          <w:u w:val="single"/>
          <w:lang w:val="en-GB"/>
        </w:rPr>
      </w:pPr>
      <w:r>
        <w:rPr>
          <w:rFonts w:cstheme="minorHAnsi"/>
          <w:sz w:val="26"/>
          <w:szCs w:val="26"/>
          <w:lang w:val="en-GB"/>
        </w:rPr>
        <w:t xml:space="preserve">It is for the reasons laid out above that </w:t>
      </w:r>
      <w:r w:rsidR="00FA7865">
        <w:rPr>
          <w:rFonts w:cstheme="minorHAnsi"/>
          <w:sz w:val="26"/>
          <w:szCs w:val="26"/>
          <w:lang w:val="en-GB"/>
        </w:rPr>
        <w:t xml:space="preserve">I do hereby find that the Prosecution has not proved beyond reasonable doubt that the Accused persons murdered </w:t>
      </w:r>
      <w:proofErr w:type="spellStart"/>
      <w:r w:rsidR="00FA7865">
        <w:rPr>
          <w:rFonts w:cstheme="minorHAnsi"/>
          <w:sz w:val="26"/>
          <w:szCs w:val="26"/>
          <w:lang w:val="en-GB"/>
        </w:rPr>
        <w:t>Kasangaki</w:t>
      </w:r>
      <w:proofErr w:type="spellEnd"/>
      <w:r w:rsidR="00FA7865">
        <w:rPr>
          <w:rFonts w:cstheme="minorHAnsi"/>
          <w:sz w:val="26"/>
          <w:szCs w:val="26"/>
          <w:lang w:val="en-GB"/>
        </w:rPr>
        <w:t xml:space="preserve"> Wilson. The death of </w:t>
      </w:r>
      <w:proofErr w:type="spellStart"/>
      <w:r w:rsidR="00FA7865">
        <w:rPr>
          <w:rFonts w:cstheme="minorHAnsi"/>
          <w:sz w:val="26"/>
          <w:szCs w:val="26"/>
          <w:lang w:val="en-GB"/>
        </w:rPr>
        <w:t>Kasangaki</w:t>
      </w:r>
      <w:proofErr w:type="spellEnd"/>
      <w:r w:rsidR="00FA7865">
        <w:rPr>
          <w:rFonts w:cstheme="minorHAnsi"/>
          <w:sz w:val="26"/>
          <w:szCs w:val="26"/>
          <w:lang w:val="en-GB"/>
        </w:rPr>
        <w:t xml:space="preserve"> Wilson </w:t>
      </w:r>
      <w:proofErr w:type="gramStart"/>
      <w:r w:rsidR="00FA7865">
        <w:rPr>
          <w:rFonts w:cstheme="minorHAnsi"/>
          <w:sz w:val="26"/>
          <w:szCs w:val="26"/>
          <w:lang w:val="en-GB"/>
        </w:rPr>
        <w:t>has not been proved</w:t>
      </w:r>
      <w:proofErr w:type="gramEnd"/>
      <w:r w:rsidR="00FA7865">
        <w:rPr>
          <w:rFonts w:cstheme="minorHAnsi"/>
          <w:sz w:val="26"/>
          <w:szCs w:val="26"/>
          <w:lang w:val="en-GB"/>
        </w:rPr>
        <w:t xml:space="preserve"> and even if it had</w:t>
      </w:r>
      <w:r w:rsidR="001436EF">
        <w:rPr>
          <w:rFonts w:cstheme="minorHAnsi"/>
          <w:sz w:val="26"/>
          <w:szCs w:val="26"/>
          <w:lang w:val="en-GB"/>
        </w:rPr>
        <w:t>,</w:t>
      </w:r>
      <w:r w:rsidR="00FA7865">
        <w:rPr>
          <w:rFonts w:cstheme="minorHAnsi"/>
          <w:sz w:val="26"/>
          <w:szCs w:val="26"/>
          <w:lang w:val="en-GB"/>
        </w:rPr>
        <w:t xml:space="preserve"> the evidence identifying the Accused persons was not sufficient to prove beyond reasonable doubt that they were the persons last seen with </w:t>
      </w:r>
      <w:proofErr w:type="spellStart"/>
      <w:r w:rsidR="00FA7865">
        <w:rPr>
          <w:rFonts w:cstheme="minorHAnsi"/>
          <w:sz w:val="26"/>
          <w:szCs w:val="26"/>
          <w:lang w:val="en-GB"/>
        </w:rPr>
        <w:t>Kasangaki</w:t>
      </w:r>
      <w:proofErr w:type="spellEnd"/>
      <w:r w:rsidR="00FA7865">
        <w:rPr>
          <w:rFonts w:cstheme="minorHAnsi"/>
          <w:sz w:val="26"/>
          <w:szCs w:val="26"/>
          <w:lang w:val="en-GB"/>
        </w:rPr>
        <w:t xml:space="preserve"> and therefore responsible for his murder.</w:t>
      </w:r>
    </w:p>
    <w:p w14:paraId="4AC21675" w14:textId="77777777" w:rsidR="001436EF" w:rsidRDefault="001436EF">
      <w:pPr>
        <w:spacing w:after="160" w:line="259" w:lineRule="auto"/>
        <w:rPr>
          <w:rFonts w:cstheme="minorHAnsi"/>
          <w:b/>
          <w:sz w:val="26"/>
          <w:szCs w:val="26"/>
          <w:u w:val="single"/>
          <w:lang w:val="en-GB"/>
        </w:rPr>
      </w:pPr>
      <w:r>
        <w:rPr>
          <w:rFonts w:cstheme="minorHAnsi"/>
          <w:b/>
          <w:sz w:val="26"/>
          <w:szCs w:val="26"/>
          <w:u w:val="single"/>
          <w:lang w:val="en-GB"/>
        </w:rPr>
        <w:br w:type="page"/>
      </w:r>
    </w:p>
    <w:p w14:paraId="595C97D8" w14:textId="28972DBB" w:rsidR="00FA7865" w:rsidRPr="00A71F04" w:rsidRDefault="00FA7865" w:rsidP="00A71F04">
      <w:pPr>
        <w:spacing w:after="100" w:afterAutospacing="1" w:line="360" w:lineRule="auto"/>
        <w:jc w:val="both"/>
        <w:rPr>
          <w:rFonts w:cstheme="minorHAnsi"/>
          <w:b/>
          <w:sz w:val="26"/>
          <w:szCs w:val="26"/>
          <w:u w:val="single"/>
          <w:lang w:val="en-GB"/>
        </w:rPr>
      </w:pPr>
      <w:r w:rsidRPr="00A71F04">
        <w:rPr>
          <w:rFonts w:cstheme="minorHAnsi"/>
          <w:b/>
          <w:sz w:val="26"/>
          <w:szCs w:val="26"/>
          <w:u w:val="single"/>
          <w:lang w:val="en-GB"/>
        </w:rPr>
        <w:lastRenderedPageBreak/>
        <w:t>Count 2: Aggravated Robbery</w:t>
      </w:r>
    </w:p>
    <w:p w14:paraId="2869C52F" w14:textId="3A60D48E" w:rsidR="00D320E0" w:rsidRDefault="00D320E0" w:rsidP="00A71F04">
      <w:pPr>
        <w:spacing w:after="100" w:afterAutospacing="1" w:line="360" w:lineRule="auto"/>
        <w:jc w:val="both"/>
        <w:rPr>
          <w:rFonts w:cstheme="minorHAnsi"/>
          <w:sz w:val="26"/>
          <w:szCs w:val="26"/>
          <w:lang w:val="en-GB"/>
        </w:rPr>
      </w:pPr>
      <w:r>
        <w:rPr>
          <w:rFonts w:cstheme="minorHAnsi"/>
          <w:sz w:val="26"/>
          <w:szCs w:val="26"/>
          <w:lang w:val="en-GB"/>
        </w:rPr>
        <w:t>As concerns this offence, I also find that the Prosecution has failed to prove beyond reasonable doubt that the Accused persons committed the offence. By the prosecution’s submissions</w:t>
      </w:r>
      <w:r w:rsidR="00A71F04">
        <w:rPr>
          <w:rFonts w:cstheme="minorHAnsi"/>
          <w:sz w:val="26"/>
          <w:szCs w:val="26"/>
          <w:lang w:val="en-GB"/>
        </w:rPr>
        <w:t>,</w:t>
      </w:r>
      <w:r>
        <w:rPr>
          <w:rFonts w:cstheme="minorHAnsi"/>
          <w:sz w:val="26"/>
          <w:szCs w:val="26"/>
          <w:lang w:val="en-GB"/>
        </w:rPr>
        <w:t xml:space="preserve"> </w:t>
      </w:r>
      <w:proofErr w:type="spellStart"/>
      <w:r>
        <w:rPr>
          <w:rFonts w:cstheme="minorHAnsi"/>
          <w:sz w:val="26"/>
          <w:szCs w:val="26"/>
          <w:lang w:val="en-GB"/>
        </w:rPr>
        <w:t>Kasangaki</w:t>
      </w:r>
      <w:proofErr w:type="spellEnd"/>
      <w:r>
        <w:rPr>
          <w:rFonts w:cstheme="minorHAnsi"/>
          <w:sz w:val="26"/>
          <w:szCs w:val="26"/>
          <w:lang w:val="en-GB"/>
        </w:rPr>
        <w:t xml:space="preserve"> Wilson </w:t>
      </w:r>
      <w:proofErr w:type="gramStart"/>
      <w:r>
        <w:rPr>
          <w:rFonts w:cstheme="minorHAnsi"/>
          <w:sz w:val="26"/>
          <w:szCs w:val="26"/>
          <w:lang w:val="en-GB"/>
        </w:rPr>
        <w:t>was seen</w:t>
      </w:r>
      <w:proofErr w:type="gramEnd"/>
      <w:r>
        <w:rPr>
          <w:rFonts w:cstheme="minorHAnsi"/>
          <w:sz w:val="26"/>
          <w:szCs w:val="26"/>
          <w:lang w:val="en-GB"/>
        </w:rPr>
        <w:t xml:space="preserve"> leaving with the A2 and A3 and the Motorcycle was never seen again. However, for the same reasons I have laid out above, it was not proved that </w:t>
      </w:r>
      <w:proofErr w:type="spellStart"/>
      <w:r>
        <w:rPr>
          <w:rFonts w:cstheme="minorHAnsi"/>
          <w:sz w:val="26"/>
          <w:szCs w:val="26"/>
          <w:lang w:val="en-GB"/>
        </w:rPr>
        <w:t>Kasangaki</w:t>
      </w:r>
      <w:proofErr w:type="spellEnd"/>
      <w:r>
        <w:rPr>
          <w:rFonts w:cstheme="minorHAnsi"/>
          <w:sz w:val="26"/>
          <w:szCs w:val="26"/>
          <w:lang w:val="en-GB"/>
        </w:rPr>
        <w:t xml:space="preserve"> was in fact murdered and therefore by necessary implication even the theft of the motorcycle he was using </w:t>
      </w:r>
      <w:proofErr w:type="gramStart"/>
      <w:r>
        <w:rPr>
          <w:rFonts w:cstheme="minorHAnsi"/>
          <w:sz w:val="26"/>
          <w:szCs w:val="26"/>
          <w:lang w:val="en-GB"/>
        </w:rPr>
        <w:t>cannot be proved</w:t>
      </w:r>
      <w:proofErr w:type="gramEnd"/>
      <w:r>
        <w:rPr>
          <w:rFonts w:cstheme="minorHAnsi"/>
          <w:sz w:val="26"/>
          <w:szCs w:val="26"/>
          <w:lang w:val="en-GB"/>
        </w:rPr>
        <w:t xml:space="preserve">. </w:t>
      </w:r>
    </w:p>
    <w:p w14:paraId="4B98D78E" w14:textId="1578BA7D" w:rsidR="00D320E0" w:rsidRDefault="00D320E0" w:rsidP="00A71F04">
      <w:pPr>
        <w:spacing w:after="100" w:afterAutospacing="1" w:line="360" w:lineRule="auto"/>
        <w:jc w:val="both"/>
        <w:rPr>
          <w:rFonts w:cstheme="minorHAnsi"/>
          <w:sz w:val="26"/>
          <w:szCs w:val="26"/>
          <w:lang w:val="en-GB"/>
        </w:rPr>
      </w:pPr>
      <w:r>
        <w:rPr>
          <w:rFonts w:cstheme="minorHAnsi"/>
          <w:sz w:val="26"/>
          <w:szCs w:val="26"/>
          <w:lang w:val="en-GB"/>
        </w:rPr>
        <w:t xml:space="preserve">It is also pertinent that A2 and A3 </w:t>
      </w:r>
      <w:proofErr w:type="gramStart"/>
      <w:r>
        <w:rPr>
          <w:rFonts w:cstheme="minorHAnsi"/>
          <w:sz w:val="26"/>
          <w:szCs w:val="26"/>
          <w:lang w:val="en-GB"/>
        </w:rPr>
        <w:t>were not properly identified</w:t>
      </w:r>
      <w:proofErr w:type="gramEnd"/>
      <w:r>
        <w:rPr>
          <w:rFonts w:cstheme="minorHAnsi"/>
          <w:sz w:val="26"/>
          <w:szCs w:val="26"/>
          <w:lang w:val="en-GB"/>
        </w:rPr>
        <w:t xml:space="preserve"> as the perpetrators for the reasons also outlined above. There was also no evidence linking A1 to the theft as by the available evidence he had stayed behind when A2 and A3 allegedly left with </w:t>
      </w:r>
      <w:proofErr w:type="spellStart"/>
      <w:r>
        <w:rPr>
          <w:rFonts w:cstheme="minorHAnsi"/>
          <w:sz w:val="26"/>
          <w:szCs w:val="26"/>
          <w:lang w:val="en-GB"/>
        </w:rPr>
        <w:t>Kasangaki</w:t>
      </w:r>
      <w:proofErr w:type="spellEnd"/>
      <w:r>
        <w:rPr>
          <w:rFonts w:cstheme="minorHAnsi"/>
          <w:sz w:val="26"/>
          <w:szCs w:val="26"/>
          <w:lang w:val="en-GB"/>
        </w:rPr>
        <w:t>.</w:t>
      </w:r>
    </w:p>
    <w:p w14:paraId="539719B0" w14:textId="6216BCEC" w:rsidR="00D320E0" w:rsidRPr="00A71F04" w:rsidRDefault="00D320E0" w:rsidP="00A71F04">
      <w:pPr>
        <w:spacing w:after="100" w:afterAutospacing="1" w:line="360" w:lineRule="auto"/>
        <w:jc w:val="both"/>
        <w:rPr>
          <w:rFonts w:cstheme="minorHAnsi"/>
          <w:b/>
          <w:sz w:val="26"/>
          <w:szCs w:val="26"/>
          <w:u w:val="single"/>
          <w:lang w:val="en-GB"/>
        </w:rPr>
      </w:pPr>
      <w:r w:rsidRPr="00A71F04">
        <w:rPr>
          <w:rFonts w:cstheme="minorHAnsi"/>
          <w:b/>
          <w:sz w:val="26"/>
          <w:szCs w:val="26"/>
          <w:u w:val="single"/>
          <w:lang w:val="en-GB"/>
        </w:rPr>
        <w:t>ACQUITTAL:</w:t>
      </w:r>
    </w:p>
    <w:p w14:paraId="1D5A85D3" w14:textId="21F37363" w:rsidR="00D320E0" w:rsidRDefault="00D320E0" w:rsidP="00A71F04">
      <w:pPr>
        <w:spacing w:after="100" w:afterAutospacing="1" w:line="360" w:lineRule="auto"/>
        <w:jc w:val="both"/>
        <w:rPr>
          <w:rFonts w:cstheme="minorHAnsi"/>
          <w:sz w:val="26"/>
          <w:szCs w:val="26"/>
          <w:lang w:val="en-GB"/>
        </w:rPr>
      </w:pPr>
      <w:r>
        <w:rPr>
          <w:rFonts w:cstheme="minorHAnsi"/>
          <w:sz w:val="26"/>
          <w:szCs w:val="26"/>
          <w:lang w:val="en-GB"/>
        </w:rPr>
        <w:t xml:space="preserve">It is </w:t>
      </w:r>
      <w:proofErr w:type="gramStart"/>
      <w:r>
        <w:rPr>
          <w:rFonts w:cstheme="minorHAnsi"/>
          <w:sz w:val="26"/>
          <w:szCs w:val="26"/>
          <w:lang w:val="en-GB"/>
        </w:rPr>
        <w:t>on the basis of</w:t>
      </w:r>
      <w:proofErr w:type="gramEnd"/>
      <w:r>
        <w:rPr>
          <w:rFonts w:cstheme="minorHAnsi"/>
          <w:sz w:val="26"/>
          <w:szCs w:val="26"/>
          <w:lang w:val="en-GB"/>
        </w:rPr>
        <w:t xml:space="preserve"> the above that I do hereby disagree with the Assessors and find the Accused persons not guilty of the offences of </w:t>
      </w:r>
      <w:r w:rsidR="0093024C">
        <w:rPr>
          <w:rFonts w:cstheme="minorHAnsi"/>
          <w:sz w:val="26"/>
          <w:szCs w:val="26"/>
          <w:lang w:val="en-GB"/>
        </w:rPr>
        <w:t xml:space="preserve">murder of </w:t>
      </w:r>
      <w:proofErr w:type="spellStart"/>
      <w:r w:rsidR="0093024C">
        <w:rPr>
          <w:rFonts w:cstheme="minorHAnsi"/>
          <w:sz w:val="26"/>
          <w:szCs w:val="26"/>
          <w:lang w:val="en-GB"/>
        </w:rPr>
        <w:t>Kasangaki</w:t>
      </w:r>
      <w:proofErr w:type="spellEnd"/>
      <w:r w:rsidR="0093024C">
        <w:rPr>
          <w:rFonts w:cstheme="minorHAnsi"/>
          <w:sz w:val="26"/>
          <w:szCs w:val="26"/>
          <w:lang w:val="en-GB"/>
        </w:rPr>
        <w:t xml:space="preserve"> Wilson and Aggravated Robbery.</w:t>
      </w:r>
    </w:p>
    <w:p w14:paraId="139E6B7E" w14:textId="56524204" w:rsidR="0093024C" w:rsidRDefault="0093024C" w:rsidP="00A71F04">
      <w:pPr>
        <w:spacing w:after="100" w:afterAutospacing="1" w:line="360" w:lineRule="auto"/>
        <w:jc w:val="both"/>
        <w:rPr>
          <w:rFonts w:cstheme="minorHAnsi"/>
          <w:sz w:val="26"/>
          <w:szCs w:val="26"/>
          <w:lang w:val="en-GB"/>
        </w:rPr>
      </w:pPr>
      <w:r>
        <w:rPr>
          <w:rFonts w:cstheme="minorHAnsi"/>
          <w:sz w:val="26"/>
          <w:szCs w:val="26"/>
          <w:lang w:val="en-GB"/>
        </w:rPr>
        <w:t>The Assessors indicated</w:t>
      </w:r>
      <w:r w:rsidR="00A71F04">
        <w:rPr>
          <w:rFonts w:cstheme="minorHAnsi"/>
          <w:sz w:val="26"/>
          <w:szCs w:val="26"/>
          <w:lang w:val="en-GB"/>
        </w:rPr>
        <w:t xml:space="preserve"> inter alia</w:t>
      </w:r>
      <w:r>
        <w:rPr>
          <w:rFonts w:cstheme="minorHAnsi"/>
          <w:sz w:val="26"/>
          <w:szCs w:val="26"/>
          <w:lang w:val="en-GB"/>
        </w:rPr>
        <w:t xml:space="preserve"> in their opinion that there was death of a human being but it is not enough to establish death of a human being alone. I guided in the summing up notes that death </w:t>
      </w:r>
      <w:proofErr w:type="gramStart"/>
      <w:r>
        <w:rPr>
          <w:rFonts w:cstheme="minorHAnsi"/>
          <w:sz w:val="26"/>
          <w:szCs w:val="26"/>
          <w:lang w:val="en-GB"/>
        </w:rPr>
        <w:t>is proved</w:t>
      </w:r>
      <w:proofErr w:type="gramEnd"/>
      <w:r>
        <w:rPr>
          <w:rFonts w:cstheme="minorHAnsi"/>
          <w:sz w:val="26"/>
          <w:szCs w:val="26"/>
          <w:lang w:val="en-GB"/>
        </w:rPr>
        <w:t xml:space="preserve"> by post mortem report or evidence of witnesses who knew the deceased and attended the burial or saw the dead body. The purpose of this proof is also to confirm that the person who died is the one who the Prosecution</w:t>
      </w:r>
      <w:r w:rsidR="00A71F04">
        <w:rPr>
          <w:rFonts w:cstheme="minorHAnsi"/>
          <w:sz w:val="26"/>
          <w:szCs w:val="26"/>
          <w:lang w:val="en-GB"/>
        </w:rPr>
        <w:t xml:space="preserve"> alleges died</w:t>
      </w:r>
      <w:r>
        <w:rPr>
          <w:rFonts w:cstheme="minorHAnsi"/>
          <w:sz w:val="26"/>
          <w:szCs w:val="26"/>
          <w:lang w:val="en-GB"/>
        </w:rPr>
        <w:t xml:space="preserve">. The available evidence clearly showed that there was no conclusive identification of the deceased beyond the clothes was wearing and some inconclusive receipts found on the body. The post mortem report not only ascertains cause of death but also helps to identify the deceased person. By the account of the Medical Examiner </w:t>
      </w:r>
      <w:r w:rsidR="000A5691">
        <w:rPr>
          <w:rFonts w:cstheme="minorHAnsi"/>
          <w:sz w:val="26"/>
          <w:szCs w:val="26"/>
          <w:lang w:val="en-GB"/>
        </w:rPr>
        <w:t xml:space="preserve">PW5 this </w:t>
      </w:r>
      <w:proofErr w:type="gramStart"/>
      <w:r w:rsidR="000A5691">
        <w:rPr>
          <w:rFonts w:cstheme="minorHAnsi"/>
          <w:sz w:val="26"/>
          <w:szCs w:val="26"/>
          <w:lang w:val="en-GB"/>
        </w:rPr>
        <w:t>was never done</w:t>
      </w:r>
      <w:proofErr w:type="gramEnd"/>
      <w:r w:rsidR="000A5691">
        <w:rPr>
          <w:rFonts w:cstheme="minorHAnsi"/>
          <w:sz w:val="26"/>
          <w:szCs w:val="26"/>
          <w:lang w:val="en-GB"/>
        </w:rPr>
        <w:t xml:space="preserve">. </w:t>
      </w:r>
      <w:r w:rsidR="000A5691">
        <w:rPr>
          <w:rFonts w:cstheme="minorHAnsi"/>
          <w:sz w:val="26"/>
          <w:szCs w:val="26"/>
          <w:lang w:val="en-GB"/>
        </w:rPr>
        <w:lastRenderedPageBreak/>
        <w:t>I could not therefore agree with the Assessors that the Accused persons were guilty of murder.</w:t>
      </w:r>
    </w:p>
    <w:p w14:paraId="377B9BF6" w14:textId="0481D42A" w:rsidR="000A5691" w:rsidRDefault="000A5691" w:rsidP="00A71F04">
      <w:pPr>
        <w:spacing w:after="100" w:afterAutospacing="1" w:line="360" w:lineRule="auto"/>
        <w:jc w:val="both"/>
        <w:rPr>
          <w:rFonts w:cstheme="minorHAnsi"/>
          <w:sz w:val="26"/>
          <w:szCs w:val="26"/>
          <w:lang w:val="en-GB"/>
        </w:rPr>
      </w:pPr>
      <w:r>
        <w:rPr>
          <w:rFonts w:cstheme="minorHAnsi"/>
          <w:sz w:val="26"/>
          <w:szCs w:val="26"/>
          <w:lang w:val="en-GB"/>
        </w:rPr>
        <w:t xml:space="preserve">The failure </w:t>
      </w:r>
      <w:proofErr w:type="gramStart"/>
      <w:r>
        <w:rPr>
          <w:rFonts w:cstheme="minorHAnsi"/>
          <w:sz w:val="26"/>
          <w:szCs w:val="26"/>
          <w:lang w:val="en-GB"/>
        </w:rPr>
        <w:t>to conclusively identify</w:t>
      </w:r>
      <w:proofErr w:type="gramEnd"/>
      <w:r>
        <w:rPr>
          <w:rFonts w:cstheme="minorHAnsi"/>
          <w:sz w:val="26"/>
          <w:szCs w:val="26"/>
          <w:lang w:val="en-GB"/>
        </w:rPr>
        <w:t xml:space="preserve"> </w:t>
      </w:r>
      <w:proofErr w:type="spellStart"/>
      <w:r>
        <w:rPr>
          <w:rFonts w:cstheme="minorHAnsi"/>
          <w:sz w:val="26"/>
          <w:szCs w:val="26"/>
          <w:lang w:val="en-GB"/>
        </w:rPr>
        <w:t>Kasangaki</w:t>
      </w:r>
      <w:proofErr w:type="spellEnd"/>
      <w:r w:rsidR="001436EF">
        <w:rPr>
          <w:rFonts w:cstheme="minorHAnsi"/>
          <w:sz w:val="26"/>
          <w:szCs w:val="26"/>
          <w:lang w:val="en-GB"/>
        </w:rPr>
        <w:t xml:space="preserve"> Wilson as deceased</w:t>
      </w:r>
      <w:r>
        <w:rPr>
          <w:rFonts w:cstheme="minorHAnsi"/>
          <w:sz w:val="26"/>
          <w:szCs w:val="26"/>
          <w:lang w:val="en-GB"/>
        </w:rPr>
        <w:t xml:space="preserve"> also meant that the offence of robbery could not stand as the Prosecution </w:t>
      </w:r>
      <w:r w:rsidR="00A71F04">
        <w:rPr>
          <w:rFonts w:cstheme="minorHAnsi"/>
          <w:sz w:val="26"/>
          <w:szCs w:val="26"/>
          <w:lang w:val="en-GB"/>
        </w:rPr>
        <w:t xml:space="preserve">case was that it was </w:t>
      </w:r>
      <w:proofErr w:type="spellStart"/>
      <w:r w:rsidR="00A71F04">
        <w:rPr>
          <w:rFonts w:cstheme="minorHAnsi"/>
          <w:sz w:val="26"/>
          <w:szCs w:val="26"/>
          <w:lang w:val="en-GB"/>
        </w:rPr>
        <w:t>Kasangaki</w:t>
      </w:r>
      <w:proofErr w:type="spellEnd"/>
      <w:r w:rsidR="00A71F04">
        <w:rPr>
          <w:rFonts w:cstheme="minorHAnsi"/>
          <w:sz w:val="26"/>
          <w:szCs w:val="26"/>
          <w:lang w:val="en-GB"/>
        </w:rPr>
        <w:t xml:space="preserve"> </w:t>
      </w:r>
      <w:r>
        <w:rPr>
          <w:rFonts w:cstheme="minorHAnsi"/>
          <w:sz w:val="26"/>
          <w:szCs w:val="26"/>
          <w:lang w:val="en-GB"/>
        </w:rPr>
        <w:t xml:space="preserve">who was robbed of a motorcycle. Since the body remained unidentified, it </w:t>
      </w:r>
      <w:proofErr w:type="gramStart"/>
      <w:r>
        <w:rPr>
          <w:rFonts w:cstheme="minorHAnsi"/>
          <w:sz w:val="26"/>
          <w:szCs w:val="26"/>
          <w:lang w:val="en-GB"/>
        </w:rPr>
        <w:t>could not be said</w:t>
      </w:r>
      <w:proofErr w:type="gramEnd"/>
      <w:r>
        <w:rPr>
          <w:rFonts w:cstheme="minorHAnsi"/>
          <w:sz w:val="26"/>
          <w:szCs w:val="26"/>
          <w:lang w:val="en-GB"/>
        </w:rPr>
        <w:t xml:space="preserve"> that he was the one that was robbed and murdered. It is to that extent that I could not agree with the Assessors on the guilt of the Ac</w:t>
      </w:r>
      <w:r w:rsidR="001436EF">
        <w:rPr>
          <w:rFonts w:cstheme="minorHAnsi"/>
          <w:sz w:val="26"/>
          <w:szCs w:val="26"/>
          <w:lang w:val="en-GB"/>
        </w:rPr>
        <w:t>cused with regard to Aggravated Robbery.</w:t>
      </w:r>
    </w:p>
    <w:p w14:paraId="155DBE90" w14:textId="240E8F7B" w:rsidR="00A05A1B" w:rsidRDefault="000A5691" w:rsidP="00A71F04">
      <w:pPr>
        <w:spacing w:after="100" w:afterAutospacing="1" w:line="360" w:lineRule="auto"/>
        <w:jc w:val="both"/>
        <w:rPr>
          <w:rFonts w:cstheme="minorHAnsi"/>
          <w:sz w:val="26"/>
          <w:szCs w:val="26"/>
          <w:lang w:val="en-GB"/>
        </w:rPr>
      </w:pPr>
      <w:r>
        <w:rPr>
          <w:rFonts w:cstheme="minorHAnsi"/>
          <w:sz w:val="26"/>
          <w:szCs w:val="26"/>
          <w:lang w:val="en-GB"/>
        </w:rPr>
        <w:t xml:space="preserve">The Accused persons </w:t>
      </w:r>
      <w:proofErr w:type="gramStart"/>
      <w:r>
        <w:rPr>
          <w:rFonts w:cstheme="minorHAnsi"/>
          <w:sz w:val="26"/>
          <w:szCs w:val="26"/>
          <w:lang w:val="en-GB"/>
        </w:rPr>
        <w:t>are therefore wholly acquitted</w:t>
      </w:r>
      <w:proofErr w:type="gramEnd"/>
      <w:r>
        <w:rPr>
          <w:rFonts w:cstheme="minorHAnsi"/>
          <w:sz w:val="26"/>
          <w:szCs w:val="26"/>
          <w:lang w:val="en-GB"/>
        </w:rPr>
        <w:t xml:space="preserve"> in this matter and may go free unless they have other pending charges. </w:t>
      </w:r>
    </w:p>
    <w:p w14:paraId="5DA31C47" w14:textId="72E02846" w:rsidR="006B465E" w:rsidRDefault="006B465E" w:rsidP="00A71F04">
      <w:pPr>
        <w:spacing w:after="100" w:afterAutospacing="1" w:line="360" w:lineRule="auto"/>
        <w:jc w:val="both"/>
        <w:rPr>
          <w:rFonts w:cstheme="minorHAnsi"/>
          <w:sz w:val="26"/>
          <w:szCs w:val="26"/>
          <w:lang w:val="en-GB"/>
        </w:rPr>
      </w:pPr>
      <w:r>
        <w:rPr>
          <w:rFonts w:cstheme="minorHAnsi"/>
          <w:sz w:val="26"/>
          <w:szCs w:val="26"/>
          <w:lang w:val="en-GB"/>
        </w:rPr>
        <w:t>Right of appeal explained.</w:t>
      </w:r>
      <w:bookmarkStart w:id="2" w:name="_GoBack"/>
      <w:bookmarkEnd w:id="2"/>
    </w:p>
    <w:p w14:paraId="620B0F37" w14:textId="53D6FC29" w:rsidR="00A05A1B" w:rsidRDefault="00A05A1B" w:rsidP="00A05A1B">
      <w:pPr>
        <w:spacing w:after="0" w:line="240" w:lineRule="auto"/>
        <w:jc w:val="center"/>
        <w:rPr>
          <w:rFonts w:cstheme="minorHAnsi"/>
          <w:sz w:val="26"/>
          <w:szCs w:val="26"/>
          <w:lang w:val="en-GB"/>
        </w:rPr>
      </w:pPr>
    </w:p>
    <w:p w14:paraId="79949C0A" w14:textId="30180CF8" w:rsidR="00A05A1B" w:rsidRDefault="00A05A1B" w:rsidP="00A05A1B">
      <w:pPr>
        <w:spacing w:after="0" w:line="240" w:lineRule="auto"/>
        <w:jc w:val="center"/>
        <w:rPr>
          <w:rFonts w:cstheme="minorHAnsi"/>
          <w:sz w:val="26"/>
          <w:szCs w:val="26"/>
          <w:lang w:val="en-GB"/>
        </w:rPr>
      </w:pPr>
    </w:p>
    <w:p w14:paraId="0411E093" w14:textId="22588242" w:rsidR="00A05A1B" w:rsidRDefault="00A05A1B" w:rsidP="00625A2D">
      <w:pPr>
        <w:spacing w:after="0" w:line="240" w:lineRule="auto"/>
        <w:rPr>
          <w:rFonts w:cstheme="minorHAnsi"/>
          <w:sz w:val="26"/>
          <w:szCs w:val="26"/>
          <w:lang w:val="en-GB"/>
        </w:rPr>
      </w:pPr>
    </w:p>
    <w:p w14:paraId="6FF57876" w14:textId="68BA3FB3" w:rsidR="00A05A1B" w:rsidRDefault="00A05A1B" w:rsidP="00A05A1B">
      <w:pPr>
        <w:spacing w:after="0" w:line="240" w:lineRule="auto"/>
        <w:jc w:val="center"/>
        <w:rPr>
          <w:rFonts w:cstheme="minorHAnsi"/>
          <w:b/>
          <w:sz w:val="26"/>
          <w:szCs w:val="26"/>
          <w:lang w:val="en-GB"/>
        </w:rPr>
      </w:pPr>
      <w:r>
        <w:rPr>
          <w:rFonts w:cstheme="minorHAnsi"/>
          <w:b/>
          <w:sz w:val="26"/>
          <w:szCs w:val="26"/>
          <w:lang w:val="en-GB"/>
        </w:rPr>
        <w:t>David S.L. Makumbi</w:t>
      </w:r>
    </w:p>
    <w:p w14:paraId="4C2AB0FC" w14:textId="59BE72C4" w:rsidR="00625A2D" w:rsidRDefault="00625A2D" w:rsidP="00A05A1B">
      <w:pPr>
        <w:spacing w:after="0" w:line="240" w:lineRule="auto"/>
        <w:jc w:val="center"/>
        <w:rPr>
          <w:rFonts w:cstheme="minorHAnsi"/>
          <w:b/>
          <w:sz w:val="26"/>
          <w:szCs w:val="26"/>
          <w:lang w:val="en-GB"/>
        </w:rPr>
      </w:pPr>
      <w:r>
        <w:rPr>
          <w:rFonts w:cstheme="minorHAnsi"/>
          <w:b/>
          <w:sz w:val="26"/>
          <w:szCs w:val="26"/>
          <w:lang w:val="en-GB"/>
        </w:rPr>
        <w:t>JUDGE</w:t>
      </w:r>
    </w:p>
    <w:p w14:paraId="7A45AAC2" w14:textId="00852DE6" w:rsidR="00625A2D" w:rsidRPr="00A05A1B" w:rsidRDefault="00625A2D" w:rsidP="00A05A1B">
      <w:pPr>
        <w:spacing w:after="0" w:line="240" w:lineRule="auto"/>
        <w:jc w:val="center"/>
        <w:rPr>
          <w:rFonts w:cstheme="minorHAnsi"/>
          <w:b/>
          <w:sz w:val="26"/>
          <w:szCs w:val="26"/>
          <w:lang w:val="en-GB"/>
        </w:rPr>
      </w:pPr>
      <w:r>
        <w:rPr>
          <w:rFonts w:cstheme="minorHAnsi"/>
          <w:b/>
          <w:sz w:val="26"/>
          <w:szCs w:val="26"/>
          <w:lang w:val="en-GB"/>
        </w:rPr>
        <w:t>21/06/24</w:t>
      </w:r>
    </w:p>
    <w:p w14:paraId="337AE5BB" w14:textId="7117C181" w:rsidR="00730497" w:rsidRPr="00F70805" w:rsidRDefault="00730497" w:rsidP="00A71F04">
      <w:pPr>
        <w:spacing w:after="100" w:afterAutospacing="1" w:line="240" w:lineRule="auto"/>
        <w:jc w:val="both"/>
        <w:rPr>
          <w:rFonts w:cstheme="minorHAnsi"/>
          <w:b/>
          <w:sz w:val="26"/>
          <w:szCs w:val="26"/>
          <w:lang w:val="en-GB"/>
        </w:rPr>
      </w:pPr>
    </w:p>
    <w:sectPr w:rsidR="00730497" w:rsidRPr="00F70805" w:rsidSect="00317DB0">
      <w:footerReference w:type="default" r:id="rId7"/>
      <w:pgSz w:w="12240" w:h="15840"/>
      <w:pgMar w:top="1440" w:right="1440" w:bottom="1440" w:left="1440" w:header="720" w:footer="720" w:gutter="0"/>
      <w:lnNumType w:countBy="5"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A39128" w14:textId="77777777" w:rsidR="00F91B4B" w:rsidRDefault="00F91B4B" w:rsidP="00EE5064">
      <w:pPr>
        <w:spacing w:after="0" w:line="240" w:lineRule="auto"/>
      </w:pPr>
      <w:r>
        <w:separator/>
      </w:r>
    </w:p>
  </w:endnote>
  <w:endnote w:type="continuationSeparator" w:id="0">
    <w:p w14:paraId="5E0FF896" w14:textId="77777777" w:rsidR="00F91B4B" w:rsidRDefault="00F91B4B" w:rsidP="00EE50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338718"/>
      <w:docPartObj>
        <w:docPartGallery w:val="Page Numbers (Bottom of Page)"/>
        <w:docPartUnique/>
      </w:docPartObj>
    </w:sdtPr>
    <w:sdtEndPr/>
    <w:sdtContent>
      <w:sdt>
        <w:sdtPr>
          <w:id w:val="1728636285"/>
          <w:docPartObj>
            <w:docPartGallery w:val="Page Numbers (Top of Page)"/>
            <w:docPartUnique/>
          </w:docPartObj>
        </w:sdtPr>
        <w:sdtEndPr/>
        <w:sdtContent>
          <w:p w14:paraId="3AD67E3C" w14:textId="1CB52B38" w:rsidR="009038A6" w:rsidRDefault="009038A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064C74">
              <w:rPr>
                <w:b/>
                <w:bCs/>
                <w:noProof/>
              </w:rPr>
              <w:t>13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64C74">
              <w:rPr>
                <w:b/>
                <w:bCs/>
                <w:noProof/>
              </w:rPr>
              <w:t>14</w:t>
            </w:r>
            <w:r>
              <w:rPr>
                <w:b/>
                <w:bCs/>
                <w:sz w:val="24"/>
                <w:szCs w:val="24"/>
              </w:rPr>
              <w:fldChar w:fldCharType="end"/>
            </w:r>
          </w:p>
        </w:sdtContent>
      </w:sdt>
    </w:sdtContent>
  </w:sdt>
  <w:p w14:paraId="58CF7F9F" w14:textId="77777777" w:rsidR="009038A6" w:rsidRDefault="009038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1B23EF" w14:textId="77777777" w:rsidR="00F91B4B" w:rsidRDefault="00F91B4B" w:rsidP="00EE5064">
      <w:pPr>
        <w:spacing w:after="0" w:line="240" w:lineRule="auto"/>
      </w:pPr>
      <w:r>
        <w:separator/>
      </w:r>
    </w:p>
  </w:footnote>
  <w:footnote w:type="continuationSeparator" w:id="0">
    <w:p w14:paraId="770D4A3D" w14:textId="77777777" w:rsidR="00F91B4B" w:rsidRDefault="00F91B4B" w:rsidP="00EE50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95F72"/>
    <w:multiLevelType w:val="hybridMultilevel"/>
    <w:tmpl w:val="1752E8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99380F"/>
    <w:multiLevelType w:val="hybridMultilevel"/>
    <w:tmpl w:val="844A8110"/>
    <w:lvl w:ilvl="0" w:tplc="D2522D20">
      <w:start w:val="1"/>
      <w:numFmt w:val="lowerRoman"/>
      <w:lvlText w:val="(%1)"/>
      <w:lvlJc w:val="left"/>
      <w:pPr>
        <w:ind w:left="795" w:hanging="720"/>
      </w:pPr>
      <w:rPr>
        <w:rFonts w:hint="default"/>
        <w:b w:val="0"/>
        <w:i w:val="0"/>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2" w15:restartNumberingAfterBreak="0">
    <w:nsid w:val="323D0BC1"/>
    <w:multiLevelType w:val="hybridMultilevel"/>
    <w:tmpl w:val="64B84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86473D"/>
    <w:multiLevelType w:val="hybridMultilevel"/>
    <w:tmpl w:val="D804A6CE"/>
    <w:lvl w:ilvl="0" w:tplc="4BCAE078">
      <w:start w:val="1"/>
      <w:numFmt w:val="decimal"/>
      <w:lvlText w:val="%1)"/>
      <w:lvlJc w:val="left"/>
      <w:pPr>
        <w:ind w:left="720" w:hanging="360"/>
      </w:pPr>
      <w:rPr>
        <w:rFonts w:hint="default"/>
        <w:color w:val="2C3A49"/>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3BE21B2E"/>
    <w:multiLevelType w:val="hybridMultilevel"/>
    <w:tmpl w:val="E21045E8"/>
    <w:lvl w:ilvl="0" w:tplc="2526A2D8">
      <w:start w:val="1"/>
      <w:numFmt w:val="decimal"/>
      <w:lvlText w:val="%1)"/>
      <w:lvlJc w:val="left"/>
      <w:pPr>
        <w:ind w:left="795" w:hanging="720"/>
      </w:pPr>
      <w:rPr>
        <w:rFonts w:asciiTheme="minorHAnsi" w:eastAsiaTheme="minorHAnsi" w:hAnsiTheme="minorHAnsi" w:cstheme="minorHAnsi"/>
        <w:b w:val="0"/>
        <w:i w:val="0"/>
      </w:rPr>
    </w:lvl>
    <w:lvl w:ilvl="1" w:tplc="FFFFFFFF" w:tentative="1">
      <w:start w:val="1"/>
      <w:numFmt w:val="lowerLetter"/>
      <w:lvlText w:val="%2."/>
      <w:lvlJc w:val="left"/>
      <w:pPr>
        <w:ind w:left="1155" w:hanging="360"/>
      </w:pPr>
    </w:lvl>
    <w:lvl w:ilvl="2" w:tplc="FFFFFFFF" w:tentative="1">
      <w:start w:val="1"/>
      <w:numFmt w:val="lowerRoman"/>
      <w:lvlText w:val="%3."/>
      <w:lvlJc w:val="right"/>
      <w:pPr>
        <w:ind w:left="1875" w:hanging="180"/>
      </w:pPr>
    </w:lvl>
    <w:lvl w:ilvl="3" w:tplc="FFFFFFFF" w:tentative="1">
      <w:start w:val="1"/>
      <w:numFmt w:val="decimal"/>
      <w:lvlText w:val="%4."/>
      <w:lvlJc w:val="left"/>
      <w:pPr>
        <w:ind w:left="2595" w:hanging="360"/>
      </w:pPr>
    </w:lvl>
    <w:lvl w:ilvl="4" w:tplc="FFFFFFFF" w:tentative="1">
      <w:start w:val="1"/>
      <w:numFmt w:val="lowerLetter"/>
      <w:lvlText w:val="%5."/>
      <w:lvlJc w:val="left"/>
      <w:pPr>
        <w:ind w:left="3315" w:hanging="360"/>
      </w:pPr>
    </w:lvl>
    <w:lvl w:ilvl="5" w:tplc="FFFFFFFF" w:tentative="1">
      <w:start w:val="1"/>
      <w:numFmt w:val="lowerRoman"/>
      <w:lvlText w:val="%6."/>
      <w:lvlJc w:val="right"/>
      <w:pPr>
        <w:ind w:left="4035" w:hanging="180"/>
      </w:pPr>
    </w:lvl>
    <w:lvl w:ilvl="6" w:tplc="FFFFFFFF" w:tentative="1">
      <w:start w:val="1"/>
      <w:numFmt w:val="decimal"/>
      <w:lvlText w:val="%7."/>
      <w:lvlJc w:val="left"/>
      <w:pPr>
        <w:ind w:left="4755" w:hanging="360"/>
      </w:pPr>
    </w:lvl>
    <w:lvl w:ilvl="7" w:tplc="FFFFFFFF" w:tentative="1">
      <w:start w:val="1"/>
      <w:numFmt w:val="lowerLetter"/>
      <w:lvlText w:val="%8."/>
      <w:lvlJc w:val="left"/>
      <w:pPr>
        <w:ind w:left="5475" w:hanging="360"/>
      </w:pPr>
    </w:lvl>
    <w:lvl w:ilvl="8" w:tplc="FFFFFFFF" w:tentative="1">
      <w:start w:val="1"/>
      <w:numFmt w:val="lowerRoman"/>
      <w:lvlText w:val="%9."/>
      <w:lvlJc w:val="right"/>
      <w:pPr>
        <w:ind w:left="6195" w:hanging="180"/>
      </w:pPr>
    </w:lvl>
  </w:abstractNum>
  <w:abstractNum w:abstractNumId="5" w15:restartNumberingAfterBreak="0">
    <w:nsid w:val="41E3727A"/>
    <w:multiLevelType w:val="hybridMultilevel"/>
    <w:tmpl w:val="1EA2A2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9F273B"/>
    <w:multiLevelType w:val="hybridMultilevel"/>
    <w:tmpl w:val="C3B461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D7074B"/>
    <w:multiLevelType w:val="hybridMultilevel"/>
    <w:tmpl w:val="F3B2A4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5C6611"/>
    <w:multiLevelType w:val="hybridMultilevel"/>
    <w:tmpl w:val="22708500"/>
    <w:lvl w:ilvl="0" w:tplc="AE7A3038">
      <w:start w:val="7"/>
      <w:numFmt w:val="bullet"/>
      <w:lvlText w:val="-"/>
      <w:lvlJc w:val="left"/>
      <w:pPr>
        <w:ind w:left="1080" w:hanging="360"/>
      </w:pPr>
      <w:rPr>
        <w:rFonts w:ascii="Times New Roman" w:eastAsiaTheme="minorEastAsia"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5037231E"/>
    <w:multiLevelType w:val="hybridMultilevel"/>
    <w:tmpl w:val="C62618CE"/>
    <w:lvl w:ilvl="0" w:tplc="CA6C430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393FB8"/>
    <w:multiLevelType w:val="hybridMultilevel"/>
    <w:tmpl w:val="C64E4652"/>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 w15:restartNumberingAfterBreak="0">
    <w:nsid w:val="530540D4"/>
    <w:multiLevelType w:val="hybridMultilevel"/>
    <w:tmpl w:val="64B84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D65489"/>
    <w:multiLevelType w:val="hybridMultilevel"/>
    <w:tmpl w:val="060A21D8"/>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15:restartNumberingAfterBreak="0">
    <w:nsid w:val="64333C42"/>
    <w:multiLevelType w:val="hybridMultilevel"/>
    <w:tmpl w:val="360CD2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8014E16"/>
    <w:multiLevelType w:val="hybridMultilevel"/>
    <w:tmpl w:val="D7A8F01C"/>
    <w:lvl w:ilvl="0" w:tplc="7CAEA8B6">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72C54784"/>
    <w:multiLevelType w:val="hybridMultilevel"/>
    <w:tmpl w:val="8C32C454"/>
    <w:lvl w:ilvl="0" w:tplc="2000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7344C58"/>
    <w:multiLevelType w:val="hybridMultilevel"/>
    <w:tmpl w:val="64B84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7456E9D"/>
    <w:multiLevelType w:val="hybridMultilevel"/>
    <w:tmpl w:val="B0CE41EE"/>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8" w15:restartNumberingAfterBreak="0">
    <w:nsid w:val="7D0F0B3A"/>
    <w:multiLevelType w:val="hybridMultilevel"/>
    <w:tmpl w:val="E3720C4A"/>
    <w:lvl w:ilvl="0" w:tplc="20000017">
      <w:start w:val="1"/>
      <w:numFmt w:val="lowerLetter"/>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9" w15:restartNumberingAfterBreak="0">
    <w:nsid w:val="7F314FA6"/>
    <w:multiLevelType w:val="hybridMultilevel"/>
    <w:tmpl w:val="83B643D6"/>
    <w:lvl w:ilvl="0" w:tplc="B36CAD80">
      <w:start w:val="7"/>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5"/>
  </w:num>
  <w:num w:numId="3">
    <w:abstractNumId w:val="9"/>
  </w:num>
  <w:num w:numId="4">
    <w:abstractNumId w:val="11"/>
  </w:num>
  <w:num w:numId="5">
    <w:abstractNumId w:val="8"/>
  </w:num>
  <w:num w:numId="6">
    <w:abstractNumId w:val="16"/>
  </w:num>
  <w:num w:numId="7">
    <w:abstractNumId w:val="6"/>
  </w:num>
  <w:num w:numId="8">
    <w:abstractNumId w:val="5"/>
  </w:num>
  <w:num w:numId="9">
    <w:abstractNumId w:val="0"/>
  </w:num>
  <w:num w:numId="10">
    <w:abstractNumId w:val="19"/>
  </w:num>
  <w:num w:numId="11">
    <w:abstractNumId w:val="10"/>
  </w:num>
  <w:num w:numId="12">
    <w:abstractNumId w:val="1"/>
  </w:num>
  <w:num w:numId="13">
    <w:abstractNumId w:val="12"/>
  </w:num>
  <w:num w:numId="14">
    <w:abstractNumId w:val="4"/>
  </w:num>
  <w:num w:numId="15">
    <w:abstractNumId w:val="3"/>
  </w:num>
  <w:num w:numId="16">
    <w:abstractNumId w:val="18"/>
  </w:num>
  <w:num w:numId="17">
    <w:abstractNumId w:val="17"/>
  </w:num>
  <w:num w:numId="18">
    <w:abstractNumId w:val="14"/>
  </w:num>
  <w:num w:numId="19">
    <w:abstractNumId w:val="7"/>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53B"/>
    <w:rsid w:val="00011CEA"/>
    <w:rsid w:val="00011E85"/>
    <w:rsid w:val="000126C6"/>
    <w:rsid w:val="000210E3"/>
    <w:rsid w:val="0002212E"/>
    <w:rsid w:val="000238FC"/>
    <w:rsid w:val="00023C0A"/>
    <w:rsid w:val="00024426"/>
    <w:rsid w:val="00030BED"/>
    <w:rsid w:val="000335F8"/>
    <w:rsid w:val="00033AD3"/>
    <w:rsid w:val="000377E4"/>
    <w:rsid w:val="000419B1"/>
    <w:rsid w:val="00042A20"/>
    <w:rsid w:val="0006029E"/>
    <w:rsid w:val="0006050D"/>
    <w:rsid w:val="00061FDA"/>
    <w:rsid w:val="00062DE5"/>
    <w:rsid w:val="0006364E"/>
    <w:rsid w:val="00064249"/>
    <w:rsid w:val="00064C74"/>
    <w:rsid w:val="00080817"/>
    <w:rsid w:val="00085173"/>
    <w:rsid w:val="00085287"/>
    <w:rsid w:val="00085EAC"/>
    <w:rsid w:val="00086C49"/>
    <w:rsid w:val="0009154D"/>
    <w:rsid w:val="00092EC0"/>
    <w:rsid w:val="0009675C"/>
    <w:rsid w:val="00096C16"/>
    <w:rsid w:val="000A165E"/>
    <w:rsid w:val="000A1D6D"/>
    <w:rsid w:val="000A5691"/>
    <w:rsid w:val="000A6EF7"/>
    <w:rsid w:val="000B37DB"/>
    <w:rsid w:val="000B7845"/>
    <w:rsid w:val="000C1BDC"/>
    <w:rsid w:val="000D198C"/>
    <w:rsid w:val="000D63D0"/>
    <w:rsid w:val="000E187A"/>
    <w:rsid w:val="000F7AFB"/>
    <w:rsid w:val="00110EE3"/>
    <w:rsid w:val="001130F5"/>
    <w:rsid w:val="00114812"/>
    <w:rsid w:val="0013154E"/>
    <w:rsid w:val="00141596"/>
    <w:rsid w:val="00141EE3"/>
    <w:rsid w:val="001436EF"/>
    <w:rsid w:val="001470BC"/>
    <w:rsid w:val="00147AE8"/>
    <w:rsid w:val="00154991"/>
    <w:rsid w:val="0016449A"/>
    <w:rsid w:val="00165D81"/>
    <w:rsid w:val="001662CC"/>
    <w:rsid w:val="00166F3B"/>
    <w:rsid w:val="00167D37"/>
    <w:rsid w:val="00174FC1"/>
    <w:rsid w:val="0017740B"/>
    <w:rsid w:val="00181948"/>
    <w:rsid w:val="00182659"/>
    <w:rsid w:val="00190875"/>
    <w:rsid w:val="00194469"/>
    <w:rsid w:val="00196352"/>
    <w:rsid w:val="0019690F"/>
    <w:rsid w:val="001A19A5"/>
    <w:rsid w:val="001A1BB8"/>
    <w:rsid w:val="001A1DE1"/>
    <w:rsid w:val="001A42F4"/>
    <w:rsid w:val="001B19DE"/>
    <w:rsid w:val="001C0E8D"/>
    <w:rsid w:val="001C26B8"/>
    <w:rsid w:val="001D0BA4"/>
    <w:rsid w:val="001D4584"/>
    <w:rsid w:val="001E0A28"/>
    <w:rsid w:val="001E65BE"/>
    <w:rsid w:val="001E67BF"/>
    <w:rsid w:val="001F671A"/>
    <w:rsid w:val="001F683B"/>
    <w:rsid w:val="002065A1"/>
    <w:rsid w:val="00206B92"/>
    <w:rsid w:val="00214FBF"/>
    <w:rsid w:val="0021548A"/>
    <w:rsid w:val="00215752"/>
    <w:rsid w:val="0021759C"/>
    <w:rsid w:val="0022279D"/>
    <w:rsid w:val="002275E3"/>
    <w:rsid w:val="00233120"/>
    <w:rsid w:val="00233E11"/>
    <w:rsid w:val="00240054"/>
    <w:rsid w:val="00243537"/>
    <w:rsid w:val="002445D4"/>
    <w:rsid w:val="002547EB"/>
    <w:rsid w:val="00260A02"/>
    <w:rsid w:val="00263AAF"/>
    <w:rsid w:val="002661B9"/>
    <w:rsid w:val="00275B22"/>
    <w:rsid w:val="002764DE"/>
    <w:rsid w:val="00277826"/>
    <w:rsid w:val="00277B62"/>
    <w:rsid w:val="00281CE5"/>
    <w:rsid w:val="00283CF3"/>
    <w:rsid w:val="00285B5B"/>
    <w:rsid w:val="0029288E"/>
    <w:rsid w:val="0029480C"/>
    <w:rsid w:val="00295912"/>
    <w:rsid w:val="00295FBB"/>
    <w:rsid w:val="002A4688"/>
    <w:rsid w:val="002A68D8"/>
    <w:rsid w:val="002A7D30"/>
    <w:rsid w:val="002B2A44"/>
    <w:rsid w:val="002B320C"/>
    <w:rsid w:val="002B6863"/>
    <w:rsid w:val="002C03EC"/>
    <w:rsid w:val="002C1CDD"/>
    <w:rsid w:val="002D05D4"/>
    <w:rsid w:val="002D2F44"/>
    <w:rsid w:val="002D308D"/>
    <w:rsid w:val="002D458C"/>
    <w:rsid w:val="002E45ED"/>
    <w:rsid w:val="002E7C99"/>
    <w:rsid w:val="002E7D5F"/>
    <w:rsid w:val="002F18A5"/>
    <w:rsid w:val="002F34D4"/>
    <w:rsid w:val="003006BF"/>
    <w:rsid w:val="0030478F"/>
    <w:rsid w:val="00313450"/>
    <w:rsid w:val="00315C46"/>
    <w:rsid w:val="00317DB0"/>
    <w:rsid w:val="0032191D"/>
    <w:rsid w:val="00325973"/>
    <w:rsid w:val="00326F28"/>
    <w:rsid w:val="00327FD1"/>
    <w:rsid w:val="00332B13"/>
    <w:rsid w:val="003331AB"/>
    <w:rsid w:val="0034106F"/>
    <w:rsid w:val="00344512"/>
    <w:rsid w:val="003452B6"/>
    <w:rsid w:val="003472B4"/>
    <w:rsid w:val="00362285"/>
    <w:rsid w:val="0036289A"/>
    <w:rsid w:val="00366013"/>
    <w:rsid w:val="00370942"/>
    <w:rsid w:val="0038094E"/>
    <w:rsid w:val="00383EB5"/>
    <w:rsid w:val="00384A4E"/>
    <w:rsid w:val="003876A1"/>
    <w:rsid w:val="00391E28"/>
    <w:rsid w:val="00393004"/>
    <w:rsid w:val="00395714"/>
    <w:rsid w:val="003A0169"/>
    <w:rsid w:val="003A4F5B"/>
    <w:rsid w:val="003A70AA"/>
    <w:rsid w:val="003A7EA3"/>
    <w:rsid w:val="003B734D"/>
    <w:rsid w:val="003C0B45"/>
    <w:rsid w:val="003C62A2"/>
    <w:rsid w:val="003D2E5B"/>
    <w:rsid w:val="003E43F3"/>
    <w:rsid w:val="003E4F75"/>
    <w:rsid w:val="003E7984"/>
    <w:rsid w:val="003F02F2"/>
    <w:rsid w:val="003F0BF2"/>
    <w:rsid w:val="003F1679"/>
    <w:rsid w:val="003F274A"/>
    <w:rsid w:val="003F330B"/>
    <w:rsid w:val="003F5937"/>
    <w:rsid w:val="003F6814"/>
    <w:rsid w:val="003F77A1"/>
    <w:rsid w:val="00400ED3"/>
    <w:rsid w:val="00401124"/>
    <w:rsid w:val="004032F8"/>
    <w:rsid w:val="00405189"/>
    <w:rsid w:val="00407728"/>
    <w:rsid w:val="00407876"/>
    <w:rsid w:val="00424455"/>
    <w:rsid w:val="0043038F"/>
    <w:rsid w:val="004323D7"/>
    <w:rsid w:val="00433889"/>
    <w:rsid w:val="00437891"/>
    <w:rsid w:val="0044366C"/>
    <w:rsid w:val="0044424D"/>
    <w:rsid w:val="00452B4D"/>
    <w:rsid w:val="00460F7C"/>
    <w:rsid w:val="00463C70"/>
    <w:rsid w:val="00464986"/>
    <w:rsid w:val="00470062"/>
    <w:rsid w:val="00475066"/>
    <w:rsid w:val="00477E57"/>
    <w:rsid w:val="00481DB5"/>
    <w:rsid w:val="00482003"/>
    <w:rsid w:val="004837D3"/>
    <w:rsid w:val="00493AAB"/>
    <w:rsid w:val="004A3E57"/>
    <w:rsid w:val="004B65CF"/>
    <w:rsid w:val="004B759F"/>
    <w:rsid w:val="004C05F1"/>
    <w:rsid w:val="004C2368"/>
    <w:rsid w:val="004C616E"/>
    <w:rsid w:val="004C749F"/>
    <w:rsid w:val="004D6806"/>
    <w:rsid w:val="004E24AF"/>
    <w:rsid w:val="004E54D3"/>
    <w:rsid w:val="004F08A5"/>
    <w:rsid w:val="004F2331"/>
    <w:rsid w:val="00505718"/>
    <w:rsid w:val="00505E35"/>
    <w:rsid w:val="005067BF"/>
    <w:rsid w:val="0051033E"/>
    <w:rsid w:val="00514414"/>
    <w:rsid w:val="00514B9C"/>
    <w:rsid w:val="00515422"/>
    <w:rsid w:val="005155E6"/>
    <w:rsid w:val="005164B7"/>
    <w:rsid w:val="005201C0"/>
    <w:rsid w:val="00521A30"/>
    <w:rsid w:val="0052658C"/>
    <w:rsid w:val="00527130"/>
    <w:rsid w:val="00542E3F"/>
    <w:rsid w:val="0054489D"/>
    <w:rsid w:val="00544A3A"/>
    <w:rsid w:val="00546BB6"/>
    <w:rsid w:val="00550960"/>
    <w:rsid w:val="00553FA7"/>
    <w:rsid w:val="0055455A"/>
    <w:rsid w:val="00570F7B"/>
    <w:rsid w:val="00574741"/>
    <w:rsid w:val="00581ACE"/>
    <w:rsid w:val="00585EB5"/>
    <w:rsid w:val="00597D7B"/>
    <w:rsid w:val="005A5238"/>
    <w:rsid w:val="005B0308"/>
    <w:rsid w:val="005B1511"/>
    <w:rsid w:val="005B3241"/>
    <w:rsid w:val="005C0040"/>
    <w:rsid w:val="005C3535"/>
    <w:rsid w:val="005C3559"/>
    <w:rsid w:val="005C35BE"/>
    <w:rsid w:val="005C59F4"/>
    <w:rsid w:val="005D1753"/>
    <w:rsid w:val="005D39F9"/>
    <w:rsid w:val="005E147F"/>
    <w:rsid w:val="005F5E98"/>
    <w:rsid w:val="005F690C"/>
    <w:rsid w:val="006122CF"/>
    <w:rsid w:val="006164A5"/>
    <w:rsid w:val="00621E29"/>
    <w:rsid w:val="0062520E"/>
    <w:rsid w:val="00625A2D"/>
    <w:rsid w:val="0064260C"/>
    <w:rsid w:val="00643811"/>
    <w:rsid w:val="006532E9"/>
    <w:rsid w:val="00655EDD"/>
    <w:rsid w:val="00657EC3"/>
    <w:rsid w:val="006603E2"/>
    <w:rsid w:val="006632C7"/>
    <w:rsid w:val="0066730F"/>
    <w:rsid w:val="00667B3E"/>
    <w:rsid w:val="0067674D"/>
    <w:rsid w:val="00677669"/>
    <w:rsid w:val="00692EA1"/>
    <w:rsid w:val="006A1DA2"/>
    <w:rsid w:val="006A3169"/>
    <w:rsid w:val="006A472D"/>
    <w:rsid w:val="006B2BB0"/>
    <w:rsid w:val="006B3474"/>
    <w:rsid w:val="006B4335"/>
    <w:rsid w:val="006B465E"/>
    <w:rsid w:val="006C01EC"/>
    <w:rsid w:val="006C6BB6"/>
    <w:rsid w:val="006D04D4"/>
    <w:rsid w:val="006D3AEC"/>
    <w:rsid w:val="006E2B59"/>
    <w:rsid w:val="006E3128"/>
    <w:rsid w:val="006E40DE"/>
    <w:rsid w:val="006F0703"/>
    <w:rsid w:val="006F3C59"/>
    <w:rsid w:val="006F5B3F"/>
    <w:rsid w:val="006F6170"/>
    <w:rsid w:val="007115A9"/>
    <w:rsid w:val="007139F4"/>
    <w:rsid w:val="00715527"/>
    <w:rsid w:val="00726129"/>
    <w:rsid w:val="00727BED"/>
    <w:rsid w:val="00730497"/>
    <w:rsid w:val="007304E2"/>
    <w:rsid w:val="00741046"/>
    <w:rsid w:val="00741152"/>
    <w:rsid w:val="00752271"/>
    <w:rsid w:val="00753397"/>
    <w:rsid w:val="007576D0"/>
    <w:rsid w:val="00757A13"/>
    <w:rsid w:val="00767CFA"/>
    <w:rsid w:val="00783D03"/>
    <w:rsid w:val="0078565A"/>
    <w:rsid w:val="00785BE8"/>
    <w:rsid w:val="00787A15"/>
    <w:rsid w:val="007A13A2"/>
    <w:rsid w:val="007A669A"/>
    <w:rsid w:val="007C3D8B"/>
    <w:rsid w:val="007C5DC2"/>
    <w:rsid w:val="007E4F08"/>
    <w:rsid w:val="007E740B"/>
    <w:rsid w:val="007F70E9"/>
    <w:rsid w:val="008001CD"/>
    <w:rsid w:val="00800A20"/>
    <w:rsid w:val="00801B5C"/>
    <w:rsid w:val="0080208A"/>
    <w:rsid w:val="00806C7F"/>
    <w:rsid w:val="008077A9"/>
    <w:rsid w:val="0081075E"/>
    <w:rsid w:val="00812819"/>
    <w:rsid w:val="00812E78"/>
    <w:rsid w:val="008142C0"/>
    <w:rsid w:val="00815995"/>
    <w:rsid w:val="00821748"/>
    <w:rsid w:val="00826280"/>
    <w:rsid w:val="00827137"/>
    <w:rsid w:val="008303EF"/>
    <w:rsid w:val="0083175C"/>
    <w:rsid w:val="00832D41"/>
    <w:rsid w:val="008344DA"/>
    <w:rsid w:val="00835BF5"/>
    <w:rsid w:val="00854915"/>
    <w:rsid w:val="008850E1"/>
    <w:rsid w:val="00886F07"/>
    <w:rsid w:val="008879C9"/>
    <w:rsid w:val="00890399"/>
    <w:rsid w:val="008913E9"/>
    <w:rsid w:val="008A2419"/>
    <w:rsid w:val="008A55D0"/>
    <w:rsid w:val="008A6199"/>
    <w:rsid w:val="008A718D"/>
    <w:rsid w:val="008A77AD"/>
    <w:rsid w:val="008B25EF"/>
    <w:rsid w:val="008B345F"/>
    <w:rsid w:val="008B36BD"/>
    <w:rsid w:val="008B680C"/>
    <w:rsid w:val="008C24EF"/>
    <w:rsid w:val="008C3971"/>
    <w:rsid w:val="008C3B8A"/>
    <w:rsid w:val="008C3E27"/>
    <w:rsid w:val="008C72B6"/>
    <w:rsid w:val="008C76BD"/>
    <w:rsid w:val="008D41EC"/>
    <w:rsid w:val="008D5C82"/>
    <w:rsid w:val="008E66A2"/>
    <w:rsid w:val="008F5C3E"/>
    <w:rsid w:val="008F5DC3"/>
    <w:rsid w:val="00903592"/>
    <w:rsid w:val="009038A6"/>
    <w:rsid w:val="009139B9"/>
    <w:rsid w:val="0091412A"/>
    <w:rsid w:val="009212C5"/>
    <w:rsid w:val="00925B7B"/>
    <w:rsid w:val="0093024C"/>
    <w:rsid w:val="009308B4"/>
    <w:rsid w:val="009328F8"/>
    <w:rsid w:val="009377C6"/>
    <w:rsid w:val="00937C40"/>
    <w:rsid w:val="00940778"/>
    <w:rsid w:val="00942587"/>
    <w:rsid w:val="00945219"/>
    <w:rsid w:val="0094572A"/>
    <w:rsid w:val="009531C2"/>
    <w:rsid w:val="00957F8E"/>
    <w:rsid w:val="00966D3B"/>
    <w:rsid w:val="0097213B"/>
    <w:rsid w:val="00973AC3"/>
    <w:rsid w:val="009747DE"/>
    <w:rsid w:val="009825CE"/>
    <w:rsid w:val="00987263"/>
    <w:rsid w:val="009A7CE1"/>
    <w:rsid w:val="009B0014"/>
    <w:rsid w:val="009B3B99"/>
    <w:rsid w:val="009C1040"/>
    <w:rsid w:val="009E1447"/>
    <w:rsid w:val="009E7380"/>
    <w:rsid w:val="009E7803"/>
    <w:rsid w:val="009F003E"/>
    <w:rsid w:val="009F3817"/>
    <w:rsid w:val="009F6BB4"/>
    <w:rsid w:val="00A03A37"/>
    <w:rsid w:val="00A05A1B"/>
    <w:rsid w:val="00A1286D"/>
    <w:rsid w:val="00A13DC3"/>
    <w:rsid w:val="00A16DCA"/>
    <w:rsid w:val="00A25373"/>
    <w:rsid w:val="00A27BAA"/>
    <w:rsid w:val="00A30310"/>
    <w:rsid w:val="00A34B6B"/>
    <w:rsid w:val="00A358C6"/>
    <w:rsid w:val="00A41DF8"/>
    <w:rsid w:val="00A42E43"/>
    <w:rsid w:val="00A432B0"/>
    <w:rsid w:val="00A440E0"/>
    <w:rsid w:val="00A44405"/>
    <w:rsid w:val="00A623EC"/>
    <w:rsid w:val="00A66148"/>
    <w:rsid w:val="00A67D53"/>
    <w:rsid w:val="00A71F04"/>
    <w:rsid w:val="00A72098"/>
    <w:rsid w:val="00A76684"/>
    <w:rsid w:val="00AA077A"/>
    <w:rsid w:val="00AA1643"/>
    <w:rsid w:val="00AA19A5"/>
    <w:rsid w:val="00AA6084"/>
    <w:rsid w:val="00AB32CD"/>
    <w:rsid w:val="00AB4009"/>
    <w:rsid w:val="00AB7129"/>
    <w:rsid w:val="00AC31A2"/>
    <w:rsid w:val="00AC3A55"/>
    <w:rsid w:val="00AC4F9C"/>
    <w:rsid w:val="00AD28E3"/>
    <w:rsid w:val="00AD3239"/>
    <w:rsid w:val="00AE1D97"/>
    <w:rsid w:val="00AE26FD"/>
    <w:rsid w:val="00AE6852"/>
    <w:rsid w:val="00AE7CCC"/>
    <w:rsid w:val="00AF4C3D"/>
    <w:rsid w:val="00AF7BB3"/>
    <w:rsid w:val="00B00BED"/>
    <w:rsid w:val="00B02A49"/>
    <w:rsid w:val="00B02D3F"/>
    <w:rsid w:val="00B03674"/>
    <w:rsid w:val="00B05FB8"/>
    <w:rsid w:val="00B1200D"/>
    <w:rsid w:val="00B1284C"/>
    <w:rsid w:val="00B163B3"/>
    <w:rsid w:val="00B228B6"/>
    <w:rsid w:val="00B24A72"/>
    <w:rsid w:val="00B27FF1"/>
    <w:rsid w:val="00B36E39"/>
    <w:rsid w:val="00B43D4D"/>
    <w:rsid w:val="00B51D1D"/>
    <w:rsid w:val="00B52F1B"/>
    <w:rsid w:val="00B5493B"/>
    <w:rsid w:val="00B57A9B"/>
    <w:rsid w:val="00B60EA5"/>
    <w:rsid w:val="00B713BC"/>
    <w:rsid w:val="00B81701"/>
    <w:rsid w:val="00B82624"/>
    <w:rsid w:val="00B8544A"/>
    <w:rsid w:val="00B8762F"/>
    <w:rsid w:val="00B96944"/>
    <w:rsid w:val="00B96F2D"/>
    <w:rsid w:val="00B974F9"/>
    <w:rsid w:val="00BA2E37"/>
    <w:rsid w:val="00BB5177"/>
    <w:rsid w:val="00BB69A5"/>
    <w:rsid w:val="00BC4F7F"/>
    <w:rsid w:val="00BD159E"/>
    <w:rsid w:val="00BD4B61"/>
    <w:rsid w:val="00BE1447"/>
    <w:rsid w:val="00BE766E"/>
    <w:rsid w:val="00BF6081"/>
    <w:rsid w:val="00C015A8"/>
    <w:rsid w:val="00C03933"/>
    <w:rsid w:val="00C13A36"/>
    <w:rsid w:val="00C1614A"/>
    <w:rsid w:val="00C16A31"/>
    <w:rsid w:val="00C16E45"/>
    <w:rsid w:val="00C2607C"/>
    <w:rsid w:val="00C2655C"/>
    <w:rsid w:val="00C4253D"/>
    <w:rsid w:val="00C50BAC"/>
    <w:rsid w:val="00C537AB"/>
    <w:rsid w:val="00C61BEB"/>
    <w:rsid w:val="00C73E81"/>
    <w:rsid w:val="00C75F60"/>
    <w:rsid w:val="00C76541"/>
    <w:rsid w:val="00C76A24"/>
    <w:rsid w:val="00C9646A"/>
    <w:rsid w:val="00CA1903"/>
    <w:rsid w:val="00CA485E"/>
    <w:rsid w:val="00CA570A"/>
    <w:rsid w:val="00CA7DA0"/>
    <w:rsid w:val="00CB290E"/>
    <w:rsid w:val="00CB32E0"/>
    <w:rsid w:val="00CB35A8"/>
    <w:rsid w:val="00CB4820"/>
    <w:rsid w:val="00CB6E20"/>
    <w:rsid w:val="00CB7FF6"/>
    <w:rsid w:val="00CC12D9"/>
    <w:rsid w:val="00CC151B"/>
    <w:rsid w:val="00CC32CD"/>
    <w:rsid w:val="00CC5C5D"/>
    <w:rsid w:val="00CD0927"/>
    <w:rsid w:val="00CD197D"/>
    <w:rsid w:val="00CD2C48"/>
    <w:rsid w:val="00CD6E0C"/>
    <w:rsid w:val="00CE2C5A"/>
    <w:rsid w:val="00CE3645"/>
    <w:rsid w:val="00CF23D8"/>
    <w:rsid w:val="00CF37F0"/>
    <w:rsid w:val="00CF601B"/>
    <w:rsid w:val="00D013E3"/>
    <w:rsid w:val="00D208DA"/>
    <w:rsid w:val="00D215D8"/>
    <w:rsid w:val="00D21CAA"/>
    <w:rsid w:val="00D271D0"/>
    <w:rsid w:val="00D275D1"/>
    <w:rsid w:val="00D30A93"/>
    <w:rsid w:val="00D320E0"/>
    <w:rsid w:val="00D32A68"/>
    <w:rsid w:val="00D333E3"/>
    <w:rsid w:val="00D35C7B"/>
    <w:rsid w:val="00D362A9"/>
    <w:rsid w:val="00D43A62"/>
    <w:rsid w:val="00D46E87"/>
    <w:rsid w:val="00D5591D"/>
    <w:rsid w:val="00D65EC9"/>
    <w:rsid w:val="00D67DFD"/>
    <w:rsid w:val="00D7127E"/>
    <w:rsid w:val="00D71EFE"/>
    <w:rsid w:val="00D73D13"/>
    <w:rsid w:val="00D740E9"/>
    <w:rsid w:val="00D74582"/>
    <w:rsid w:val="00D8007A"/>
    <w:rsid w:val="00D818A9"/>
    <w:rsid w:val="00D83572"/>
    <w:rsid w:val="00D839B9"/>
    <w:rsid w:val="00D86AFF"/>
    <w:rsid w:val="00D87BA2"/>
    <w:rsid w:val="00D91366"/>
    <w:rsid w:val="00D91DF5"/>
    <w:rsid w:val="00D92931"/>
    <w:rsid w:val="00D92ABE"/>
    <w:rsid w:val="00DA0688"/>
    <w:rsid w:val="00DA4D11"/>
    <w:rsid w:val="00DB04E0"/>
    <w:rsid w:val="00DB0BBC"/>
    <w:rsid w:val="00DB0E8B"/>
    <w:rsid w:val="00DC4646"/>
    <w:rsid w:val="00DC489D"/>
    <w:rsid w:val="00DC76F5"/>
    <w:rsid w:val="00DD05B4"/>
    <w:rsid w:val="00DD2EEB"/>
    <w:rsid w:val="00DD376F"/>
    <w:rsid w:val="00DD645A"/>
    <w:rsid w:val="00DE153B"/>
    <w:rsid w:val="00DE2D76"/>
    <w:rsid w:val="00DE4F8E"/>
    <w:rsid w:val="00DE5D80"/>
    <w:rsid w:val="00DE7A76"/>
    <w:rsid w:val="00DF02A4"/>
    <w:rsid w:val="00DF4FC6"/>
    <w:rsid w:val="00DF5CDD"/>
    <w:rsid w:val="00DF75A5"/>
    <w:rsid w:val="00E02032"/>
    <w:rsid w:val="00E02AB7"/>
    <w:rsid w:val="00E04358"/>
    <w:rsid w:val="00E06C82"/>
    <w:rsid w:val="00E12367"/>
    <w:rsid w:val="00E13BFC"/>
    <w:rsid w:val="00E13DE4"/>
    <w:rsid w:val="00E16FA0"/>
    <w:rsid w:val="00E17AAE"/>
    <w:rsid w:val="00E21C91"/>
    <w:rsid w:val="00E23F9B"/>
    <w:rsid w:val="00E27213"/>
    <w:rsid w:val="00E301CF"/>
    <w:rsid w:val="00E34E11"/>
    <w:rsid w:val="00E4518B"/>
    <w:rsid w:val="00E52310"/>
    <w:rsid w:val="00E52891"/>
    <w:rsid w:val="00E531D8"/>
    <w:rsid w:val="00E55F6C"/>
    <w:rsid w:val="00E56B4B"/>
    <w:rsid w:val="00E71F9E"/>
    <w:rsid w:val="00E72116"/>
    <w:rsid w:val="00E76E56"/>
    <w:rsid w:val="00E819C3"/>
    <w:rsid w:val="00E82B77"/>
    <w:rsid w:val="00E8522D"/>
    <w:rsid w:val="00E91B93"/>
    <w:rsid w:val="00E924DB"/>
    <w:rsid w:val="00E943B7"/>
    <w:rsid w:val="00EA3063"/>
    <w:rsid w:val="00EB0F4F"/>
    <w:rsid w:val="00EB7D24"/>
    <w:rsid w:val="00EC24CD"/>
    <w:rsid w:val="00ED2B25"/>
    <w:rsid w:val="00ED336C"/>
    <w:rsid w:val="00ED4BB0"/>
    <w:rsid w:val="00ED7284"/>
    <w:rsid w:val="00EE418E"/>
    <w:rsid w:val="00EE5064"/>
    <w:rsid w:val="00EF023E"/>
    <w:rsid w:val="00EF1169"/>
    <w:rsid w:val="00EF33F2"/>
    <w:rsid w:val="00EF5231"/>
    <w:rsid w:val="00F00E4D"/>
    <w:rsid w:val="00F01EB1"/>
    <w:rsid w:val="00F021B9"/>
    <w:rsid w:val="00F064E8"/>
    <w:rsid w:val="00F12CC5"/>
    <w:rsid w:val="00F12EB5"/>
    <w:rsid w:val="00F13032"/>
    <w:rsid w:val="00F16946"/>
    <w:rsid w:val="00F171A6"/>
    <w:rsid w:val="00F17E35"/>
    <w:rsid w:val="00F213BC"/>
    <w:rsid w:val="00F21F9C"/>
    <w:rsid w:val="00F2278B"/>
    <w:rsid w:val="00F241AF"/>
    <w:rsid w:val="00F242EB"/>
    <w:rsid w:val="00F30411"/>
    <w:rsid w:val="00F33D19"/>
    <w:rsid w:val="00F34614"/>
    <w:rsid w:val="00F37AE7"/>
    <w:rsid w:val="00F456B2"/>
    <w:rsid w:val="00F5499F"/>
    <w:rsid w:val="00F55F83"/>
    <w:rsid w:val="00F60A45"/>
    <w:rsid w:val="00F6726A"/>
    <w:rsid w:val="00F70207"/>
    <w:rsid w:val="00F70805"/>
    <w:rsid w:val="00F72149"/>
    <w:rsid w:val="00F72B3A"/>
    <w:rsid w:val="00F73DFC"/>
    <w:rsid w:val="00F749E6"/>
    <w:rsid w:val="00F85967"/>
    <w:rsid w:val="00F85C76"/>
    <w:rsid w:val="00F87DFE"/>
    <w:rsid w:val="00F91B4B"/>
    <w:rsid w:val="00FA64D5"/>
    <w:rsid w:val="00FA7865"/>
    <w:rsid w:val="00FB27EC"/>
    <w:rsid w:val="00FB3309"/>
    <w:rsid w:val="00FD4A0B"/>
    <w:rsid w:val="00FD5A8A"/>
    <w:rsid w:val="00FD74E6"/>
    <w:rsid w:val="00FE61C8"/>
    <w:rsid w:val="00FE7638"/>
    <w:rsid w:val="00FF05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DC65D7"/>
  <w15:chartTrackingRefBased/>
  <w15:docId w15:val="{373466B4-9021-4354-B371-2FF839A39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153B"/>
    <w:pPr>
      <w:spacing w:after="200" w:line="27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39F4"/>
    <w:pPr>
      <w:ind w:left="720"/>
      <w:contextualSpacing/>
    </w:pPr>
  </w:style>
  <w:style w:type="paragraph" w:styleId="NormalWeb">
    <w:name w:val="Normal (Web)"/>
    <w:basedOn w:val="Normal"/>
    <w:uiPriority w:val="99"/>
    <w:semiHidden/>
    <w:unhideWhenUsed/>
    <w:rsid w:val="0055096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E50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5064"/>
    <w:rPr>
      <w:kern w:val="0"/>
      <w14:ligatures w14:val="none"/>
    </w:rPr>
  </w:style>
  <w:style w:type="paragraph" w:styleId="Footer">
    <w:name w:val="footer"/>
    <w:basedOn w:val="Normal"/>
    <w:link w:val="FooterChar"/>
    <w:uiPriority w:val="99"/>
    <w:unhideWhenUsed/>
    <w:rsid w:val="00EE50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5064"/>
    <w:rPr>
      <w:kern w:val="0"/>
      <w14:ligatures w14:val="none"/>
    </w:rPr>
  </w:style>
  <w:style w:type="character" w:styleId="LineNumber">
    <w:name w:val="line number"/>
    <w:basedOn w:val="DefaultParagraphFont"/>
    <w:uiPriority w:val="99"/>
    <w:semiHidden/>
    <w:unhideWhenUsed/>
    <w:rsid w:val="00EE5064"/>
  </w:style>
  <w:style w:type="paragraph" w:styleId="BalloonText">
    <w:name w:val="Balloon Text"/>
    <w:basedOn w:val="Normal"/>
    <w:link w:val="BalloonTextChar"/>
    <w:uiPriority w:val="99"/>
    <w:semiHidden/>
    <w:unhideWhenUsed/>
    <w:rsid w:val="00064C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4C74"/>
    <w:rPr>
      <w:rFonts w:ascii="Segoe UI" w:hAnsi="Segoe UI" w:cs="Segoe UI"/>
      <w:kern w:val="0"/>
      <w:sz w:val="18"/>
      <w:szCs w:val="18"/>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8105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14</Pages>
  <Words>3515</Words>
  <Characters>20036</Characters>
  <Application>Microsoft Office Word</Application>
  <DocSecurity>0</DocSecurity>
  <Lines>166</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Mushime</dc:creator>
  <cp:keywords/>
  <dc:description/>
  <cp:lastModifiedBy>Personal</cp:lastModifiedBy>
  <cp:revision>4</cp:revision>
  <cp:lastPrinted>2024-06-21T09:42:00Z</cp:lastPrinted>
  <dcterms:created xsi:type="dcterms:W3CDTF">2024-06-20T21:21:00Z</dcterms:created>
  <dcterms:modified xsi:type="dcterms:W3CDTF">2024-06-21T09:55:00Z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61953a62-f60f-4aa0-8563-bfc89cf6d293</vt:lpwstr>
  </property>
</Properties>
</file>