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9A86" w14:textId="77777777" w:rsidR="00D04785" w:rsidRPr="0090682B" w:rsidRDefault="00D04785" w:rsidP="008B65B9">
      <w:pPr>
        <w:spacing w:line="360" w:lineRule="auto"/>
        <w:contextualSpacing/>
        <w:jc w:val="center"/>
        <w:rPr>
          <w:rFonts w:cstheme="minorHAnsi"/>
          <w:b/>
          <w:sz w:val="28"/>
          <w:szCs w:val="28"/>
        </w:rPr>
      </w:pPr>
      <w:r w:rsidRPr="0090682B">
        <w:rPr>
          <w:rFonts w:cstheme="minorHAnsi"/>
          <w:b/>
          <w:sz w:val="28"/>
          <w:szCs w:val="28"/>
        </w:rPr>
        <w:t>THE REPUBLIC OF UGANDA</w:t>
      </w:r>
    </w:p>
    <w:p w14:paraId="55F3CB8A" w14:textId="77777777" w:rsidR="00D04785" w:rsidRPr="0090682B" w:rsidRDefault="00D04785" w:rsidP="008B65B9">
      <w:pPr>
        <w:spacing w:line="360" w:lineRule="auto"/>
        <w:contextualSpacing/>
        <w:jc w:val="center"/>
        <w:rPr>
          <w:rFonts w:cstheme="minorHAnsi"/>
          <w:b/>
          <w:sz w:val="28"/>
          <w:szCs w:val="28"/>
        </w:rPr>
      </w:pPr>
      <w:r w:rsidRPr="0090682B">
        <w:rPr>
          <w:rFonts w:cstheme="minorHAnsi"/>
          <w:b/>
          <w:sz w:val="28"/>
          <w:szCs w:val="28"/>
        </w:rPr>
        <w:t>IN THE HIGH COURT OF UGANDA AT FORT PORTAL</w:t>
      </w:r>
    </w:p>
    <w:p w14:paraId="04D44434" w14:textId="77777777" w:rsidR="00D04785" w:rsidRPr="0090682B" w:rsidRDefault="00D04785" w:rsidP="008B65B9">
      <w:pPr>
        <w:spacing w:line="360" w:lineRule="auto"/>
        <w:contextualSpacing/>
        <w:jc w:val="center"/>
        <w:rPr>
          <w:rFonts w:cstheme="minorHAnsi"/>
          <w:b/>
          <w:sz w:val="28"/>
          <w:szCs w:val="28"/>
        </w:rPr>
      </w:pPr>
      <w:r w:rsidRPr="0090682B">
        <w:rPr>
          <w:rFonts w:cstheme="minorHAnsi"/>
          <w:b/>
          <w:sz w:val="28"/>
          <w:szCs w:val="28"/>
        </w:rPr>
        <w:t>HCT-01-CR-SC-0328-2022</w:t>
      </w:r>
    </w:p>
    <w:p w14:paraId="5E4934EA" w14:textId="458C260B" w:rsidR="00D04785" w:rsidRPr="0090682B" w:rsidRDefault="00D04785" w:rsidP="008B65B9">
      <w:pPr>
        <w:spacing w:line="360" w:lineRule="auto"/>
        <w:contextualSpacing/>
        <w:rPr>
          <w:rFonts w:cstheme="minorHAnsi"/>
          <w:b/>
          <w:sz w:val="28"/>
          <w:szCs w:val="28"/>
        </w:rPr>
      </w:pPr>
      <w:proofErr w:type="gramStart"/>
      <w:r w:rsidRPr="0090682B">
        <w:rPr>
          <w:rFonts w:cstheme="minorHAnsi"/>
          <w:b/>
          <w:sz w:val="28"/>
          <w:szCs w:val="28"/>
        </w:rPr>
        <w:t>UGANDA</w:t>
      </w:r>
      <w:r w:rsidR="0090682B">
        <w:rPr>
          <w:rFonts w:cstheme="minorHAnsi"/>
          <w:b/>
          <w:sz w:val="28"/>
          <w:szCs w:val="28"/>
        </w:rPr>
        <w:t>.</w:t>
      </w:r>
      <w:r w:rsidRPr="0090682B">
        <w:rPr>
          <w:rFonts w:cstheme="minorHAnsi"/>
          <w:b/>
          <w:sz w:val="28"/>
          <w:szCs w:val="28"/>
        </w:rPr>
        <w:t>…………………………………..……………………………………………PROSECUTOR</w:t>
      </w:r>
      <w:proofErr w:type="gramEnd"/>
    </w:p>
    <w:p w14:paraId="397FCD6D" w14:textId="77777777" w:rsidR="00D04785" w:rsidRPr="0090682B" w:rsidRDefault="00D04785" w:rsidP="008B65B9">
      <w:pPr>
        <w:spacing w:line="360" w:lineRule="auto"/>
        <w:contextualSpacing/>
        <w:jc w:val="center"/>
        <w:rPr>
          <w:rFonts w:cstheme="minorHAnsi"/>
          <w:b/>
          <w:sz w:val="28"/>
          <w:szCs w:val="28"/>
        </w:rPr>
      </w:pPr>
      <w:r w:rsidRPr="0090682B">
        <w:rPr>
          <w:rFonts w:cstheme="minorHAnsi"/>
          <w:b/>
          <w:sz w:val="28"/>
          <w:szCs w:val="28"/>
        </w:rPr>
        <w:t>VERSUS</w:t>
      </w:r>
    </w:p>
    <w:p w14:paraId="76F88EF5" w14:textId="4D853CE7" w:rsidR="00D04785" w:rsidRPr="0090682B" w:rsidRDefault="00D04785" w:rsidP="008B65B9">
      <w:pPr>
        <w:spacing w:line="360" w:lineRule="auto"/>
        <w:contextualSpacing/>
        <w:rPr>
          <w:rFonts w:cstheme="minorHAnsi"/>
          <w:b/>
          <w:sz w:val="28"/>
          <w:szCs w:val="28"/>
        </w:rPr>
      </w:pPr>
      <w:r w:rsidRPr="0090682B">
        <w:rPr>
          <w:rFonts w:cstheme="minorHAnsi"/>
          <w:b/>
          <w:sz w:val="28"/>
          <w:szCs w:val="28"/>
        </w:rPr>
        <w:t>NYAKOOJO EDWARD</w:t>
      </w:r>
      <w:proofErr w:type="gramStart"/>
      <w:r w:rsidRPr="0090682B">
        <w:rPr>
          <w:rFonts w:cstheme="minorHAnsi"/>
          <w:b/>
          <w:sz w:val="28"/>
          <w:szCs w:val="28"/>
        </w:rPr>
        <w:t>…………………..…..................................................</w:t>
      </w:r>
      <w:proofErr w:type="gramEnd"/>
      <w:r w:rsidRPr="0090682B">
        <w:rPr>
          <w:rFonts w:cstheme="minorHAnsi"/>
          <w:b/>
          <w:sz w:val="28"/>
          <w:szCs w:val="28"/>
        </w:rPr>
        <w:t>ACCUSED</w:t>
      </w:r>
    </w:p>
    <w:p w14:paraId="38914E55" w14:textId="77777777" w:rsidR="00D04785" w:rsidRPr="006E24EC" w:rsidRDefault="00D04785" w:rsidP="008B65B9">
      <w:pPr>
        <w:spacing w:after="200" w:line="360" w:lineRule="auto"/>
        <w:contextualSpacing/>
        <w:jc w:val="center"/>
        <w:rPr>
          <w:rFonts w:eastAsia="Calibri" w:cstheme="minorHAnsi"/>
          <w:sz w:val="26"/>
          <w:szCs w:val="26"/>
        </w:rPr>
      </w:pPr>
    </w:p>
    <w:p w14:paraId="3976DA23" w14:textId="77777777" w:rsidR="00D04785" w:rsidRPr="0090682B" w:rsidRDefault="00D04785" w:rsidP="008B65B9">
      <w:pPr>
        <w:spacing w:after="200" w:line="360" w:lineRule="auto"/>
        <w:contextualSpacing/>
        <w:jc w:val="center"/>
        <w:rPr>
          <w:rFonts w:eastAsia="Calibri" w:cstheme="minorHAnsi"/>
          <w:b/>
          <w:sz w:val="26"/>
          <w:szCs w:val="26"/>
          <w:u w:val="single"/>
        </w:rPr>
      </w:pPr>
      <w:r w:rsidRPr="0090682B">
        <w:rPr>
          <w:rFonts w:eastAsia="Calibri" w:cstheme="minorHAnsi"/>
          <w:b/>
          <w:sz w:val="26"/>
          <w:szCs w:val="26"/>
          <w:u w:val="single"/>
        </w:rPr>
        <w:t>BEFORE HON. DAVID S.L. MAKUMBI</w:t>
      </w:r>
    </w:p>
    <w:p w14:paraId="48437FE9" w14:textId="638A4648" w:rsidR="00D04785" w:rsidRDefault="00D04785" w:rsidP="008B65B9">
      <w:pPr>
        <w:spacing w:after="200" w:line="360" w:lineRule="auto"/>
        <w:contextualSpacing/>
        <w:jc w:val="both"/>
        <w:rPr>
          <w:rFonts w:eastAsia="Calibri" w:cstheme="minorHAnsi"/>
          <w:b/>
          <w:sz w:val="26"/>
          <w:szCs w:val="26"/>
        </w:rPr>
      </w:pPr>
    </w:p>
    <w:p w14:paraId="4709843C" w14:textId="7F9A56CE" w:rsidR="00D04785" w:rsidRDefault="00D04785" w:rsidP="00C058B4">
      <w:pPr>
        <w:spacing w:after="200" w:line="360" w:lineRule="auto"/>
        <w:jc w:val="center"/>
        <w:rPr>
          <w:rFonts w:eastAsia="Calibri" w:cstheme="minorHAnsi"/>
          <w:b/>
          <w:sz w:val="26"/>
          <w:szCs w:val="26"/>
          <w:u w:val="single"/>
        </w:rPr>
      </w:pPr>
      <w:r w:rsidRPr="00D04785">
        <w:rPr>
          <w:rFonts w:eastAsia="Calibri" w:cstheme="minorHAnsi"/>
          <w:b/>
          <w:sz w:val="26"/>
          <w:szCs w:val="26"/>
          <w:u w:val="single"/>
        </w:rPr>
        <w:t>JUDGMENT</w:t>
      </w:r>
    </w:p>
    <w:p w14:paraId="1E6AC476" w14:textId="77777777" w:rsidR="00C058B4" w:rsidRDefault="00D04785" w:rsidP="008B65B9">
      <w:pPr>
        <w:spacing w:after="200" w:line="360" w:lineRule="auto"/>
        <w:jc w:val="both"/>
        <w:rPr>
          <w:rFonts w:eastAsia="Calibri" w:cstheme="minorHAnsi"/>
          <w:bCs/>
          <w:sz w:val="26"/>
          <w:szCs w:val="26"/>
        </w:rPr>
      </w:pPr>
      <w:r>
        <w:rPr>
          <w:rFonts w:eastAsia="Calibri" w:cstheme="minorHAnsi"/>
          <w:bCs/>
          <w:sz w:val="26"/>
          <w:szCs w:val="26"/>
        </w:rPr>
        <w:t xml:space="preserve">The </w:t>
      </w:r>
      <w:r w:rsidR="002265FA">
        <w:rPr>
          <w:rFonts w:eastAsia="Calibri" w:cstheme="minorHAnsi"/>
          <w:bCs/>
          <w:sz w:val="26"/>
          <w:szCs w:val="26"/>
        </w:rPr>
        <w:t>A</w:t>
      </w:r>
      <w:r>
        <w:rPr>
          <w:rFonts w:eastAsia="Calibri" w:cstheme="minorHAnsi"/>
          <w:bCs/>
          <w:sz w:val="26"/>
          <w:szCs w:val="26"/>
        </w:rPr>
        <w:t>ccused</w:t>
      </w:r>
      <w:r w:rsidR="002265FA">
        <w:rPr>
          <w:rFonts w:eastAsia="Calibri" w:cstheme="minorHAnsi"/>
          <w:bCs/>
          <w:sz w:val="26"/>
          <w:szCs w:val="26"/>
        </w:rPr>
        <w:t>,</w:t>
      </w:r>
      <w:r>
        <w:rPr>
          <w:rFonts w:eastAsia="Calibri" w:cstheme="minorHAnsi"/>
          <w:bCs/>
          <w:sz w:val="26"/>
          <w:szCs w:val="26"/>
        </w:rPr>
        <w:t xml:space="preserve"> Edward Nyakoojo</w:t>
      </w:r>
      <w:r w:rsidR="002265FA">
        <w:rPr>
          <w:rFonts w:eastAsia="Calibri" w:cstheme="minorHAnsi"/>
          <w:bCs/>
          <w:sz w:val="26"/>
          <w:szCs w:val="26"/>
        </w:rPr>
        <w:t>,</w:t>
      </w:r>
      <w:r>
        <w:rPr>
          <w:rFonts w:eastAsia="Calibri" w:cstheme="minorHAnsi"/>
          <w:bCs/>
          <w:sz w:val="26"/>
          <w:szCs w:val="26"/>
        </w:rPr>
        <w:t xml:space="preserve"> is indicted for the offence of Aggravated Defilement contrary to Section 129(3) and 129(4)(a) of the Penal Code Act. </w:t>
      </w:r>
    </w:p>
    <w:p w14:paraId="184017F6" w14:textId="4667FD3C" w:rsidR="00D04785" w:rsidRDefault="00D04785" w:rsidP="008B65B9">
      <w:pPr>
        <w:spacing w:after="200" w:line="360" w:lineRule="auto"/>
        <w:jc w:val="both"/>
        <w:rPr>
          <w:rFonts w:eastAsia="Calibri" w:cstheme="minorHAnsi"/>
          <w:bCs/>
          <w:sz w:val="26"/>
          <w:szCs w:val="26"/>
        </w:rPr>
      </w:pPr>
      <w:r>
        <w:rPr>
          <w:rFonts w:eastAsia="Calibri" w:cstheme="minorHAnsi"/>
          <w:bCs/>
          <w:sz w:val="26"/>
          <w:szCs w:val="26"/>
        </w:rPr>
        <w:t xml:space="preserve">It </w:t>
      </w:r>
      <w:proofErr w:type="gramStart"/>
      <w:r>
        <w:rPr>
          <w:rFonts w:eastAsia="Calibri" w:cstheme="minorHAnsi"/>
          <w:bCs/>
          <w:sz w:val="26"/>
          <w:szCs w:val="26"/>
        </w:rPr>
        <w:t>is alleged</w:t>
      </w:r>
      <w:proofErr w:type="gramEnd"/>
      <w:r>
        <w:rPr>
          <w:rFonts w:eastAsia="Calibri" w:cstheme="minorHAnsi"/>
          <w:bCs/>
          <w:sz w:val="26"/>
          <w:szCs w:val="26"/>
        </w:rPr>
        <w:t xml:space="preserve"> in the indictment that on the 2</w:t>
      </w:r>
      <w:r w:rsidRPr="00D04785">
        <w:rPr>
          <w:rFonts w:eastAsia="Calibri" w:cstheme="minorHAnsi"/>
          <w:bCs/>
          <w:sz w:val="26"/>
          <w:szCs w:val="26"/>
          <w:vertAlign w:val="superscript"/>
        </w:rPr>
        <w:t>nd</w:t>
      </w:r>
      <w:r>
        <w:rPr>
          <w:rFonts w:eastAsia="Calibri" w:cstheme="minorHAnsi"/>
          <w:bCs/>
          <w:sz w:val="26"/>
          <w:szCs w:val="26"/>
        </w:rPr>
        <w:t xml:space="preserve"> day of March 2022, the </w:t>
      </w:r>
      <w:r w:rsidR="00AF1377">
        <w:rPr>
          <w:rFonts w:eastAsia="Calibri" w:cstheme="minorHAnsi"/>
          <w:bCs/>
          <w:sz w:val="26"/>
          <w:szCs w:val="26"/>
        </w:rPr>
        <w:t>A</w:t>
      </w:r>
      <w:r>
        <w:rPr>
          <w:rFonts w:eastAsia="Calibri" w:cstheme="minorHAnsi"/>
          <w:bCs/>
          <w:sz w:val="26"/>
          <w:szCs w:val="26"/>
        </w:rPr>
        <w:t>ccused performed an unlawful sexual act on Nalugo Sofia a girl</w:t>
      </w:r>
      <w:r w:rsidR="00AF1377">
        <w:rPr>
          <w:rFonts w:eastAsia="Calibri" w:cstheme="minorHAnsi"/>
          <w:bCs/>
          <w:sz w:val="26"/>
          <w:szCs w:val="26"/>
        </w:rPr>
        <w:t xml:space="preserve"> then</w:t>
      </w:r>
      <w:r>
        <w:rPr>
          <w:rFonts w:eastAsia="Calibri" w:cstheme="minorHAnsi"/>
          <w:bCs/>
          <w:sz w:val="26"/>
          <w:szCs w:val="26"/>
        </w:rPr>
        <w:t xml:space="preserve"> aged 13 years old. The incident is said to have taken place at </w:t>
      </w:r>
      <w:proofErr w:type="spellStart"/>
      <w:r>
        <w:rPr>
          <w:rFonts w:eastAsia="Calibri" w:cstheme="minorHAnsi"/>
          <w:bCs/>
          <w:sz w:val="26"/>
          <w:szCs w:val="26"/>
        </w:rPr>
        <w:t>Kalyango</w:t>
      </w:r>
      <w:proofErr w:type="spellEnd"/>
      <w:r>
        <w:rPr>
          <w:rFonts w:eastAsia="Calibri" w:cstheme="minorHAnsi"/>
          <w:bCs/>
          <w:sz w:val="26"/>
          <w:szCs w:val="26"/>
        </w:rPr>
        <w:t xml:space="preserve"> Cell</w:t>
      </w:r>
      <w:r w:rsidR="004823C3">
        <w:rPr>
          <w:rFonts w:eastAsia="Calibri" w:cstheme="minorHAnsi"/>
          <w:bCs/>
          <w:sz w:val="26"/>
          <w:szCs w:val="26"/>
        </w:rPr>
        <w:t xml:space="preserve">, </w:t>
      </w:r>
      <w:proofErr w:type="spellStart"/>
      <w:r w:rsidR="004823C3">
        <w:rPr>
          <w:rFonts w:eastAsia="Calibri" w:cstheme="minorHAnsi"/>
          <w:bCs/>
          <w:sz w:val="26"/>
          <w:szCs w:val="26"/>
        </w:rPr>
        <w:t>Ibonde</w:t>
      </w:r>
      <w:proofErr w:type="spellEnd"/>
      <w:r w:rsidR="004823C3">
        <w:rPr>
          <w:rFonts w:eastAsia="Calibri" w:cstheme="minorHAnsi"/>
          <w:bCs/>
          <w:sz w:val="26"/>
          <w:szCs w:val="26"/>
        </w:rPr>
        <w:t xml:space="preserve"> Ward, North Division at Fort Portal City. The </w:t>
      </w:r>
      <w:r w:rsidR="00AF1377">
        <w:rPr>
          <w:rFonts w:eastAsia="Calibri" w:cstheme="minorHAnsi"/>
          <w:bCs/>
          <w:sz w:val="26"/>
          <w:szCs w:val="26"/>
        </w:rPr>
        <w:t>A</w:t>
      </w:r>
      <w:r w:rsidR="004823C3">
        <w:rPr>
          <w:rFonts w:eastAsia="Calibri" w:cstheme="minorHAnsi"/>
          <w:bCs/>
          <w:sz w:val="26"/>
          <w:szCs w:val="26"/>
        </w:rPr>
        <w:t>ccused pleaded not guilty to the indictment.</w:t>
      </w:r>
    </w:p>
    <w:p w14:paraId="351560D9" w14:textId="0D897BE1" w:rsidR="004823C3" w:rsidRDefault="004823C3" w:rsidP="008B65B9">
      <w:pPr>
        <w:spacing w:after="200" w:line="360" w:lineRule="auto"/>
        <w:jc w:val="both"/>
        <w:rPr>
          <w:rFonts w:eastAsia="Calibri" w:cstheme="minorHAnsi"/>
          <w:bCs/>
          <w:sz w:val="26"/>
          <w:szCs w:val="26"/>
        </w:rPr>
      </w:pPr>
      <w:r>
        <w:rPr>
          <w:rFonts w:eastAsia="Calibri" w:cstheme="minorHAnsi"/>
          <w:bCs/>
          <w:sz w:val="26"/>
          <w:szCs w:val="26"/>
        </w:rPr>
        <w:t xml:space="preserve">The Prosecution case is that on </w:t>
      </w:r>
      <w:proofErr w:type="gramStart"/>
      <w:r>
        <w:rPr>
          <w:rFonts w:eastAsia="Calibri" w:cstheme="minorHAnsi"/>
          <w:bCs/>
          <w:sz w:val="26"/>
          <w:szCs w:val="26"/>
        </w:rPr>
        <w:t>2</w:t>
      </w:r>
      <w:r w:rsidRPr="004823C3">
        <w:rPr>
          <w:rFonts w:eastAsia="Calibri" w:cstheme="minorHAnsi"/>
          <w:bCs/>
          <w:sz w:val="26"/>
          <w:szCs w:val="26"/>
          <w:vertAlign w:val="superscript"/>
        </w:rPr>
        <w:t>nd</w:t>
      </w:r>
      <w:proofErr w:type="gramEnd"/>
      <w:r>
        <w:rPr>
          <w:rFonts w:eastAsia="Calibri" w:cstheme="minorHAnsi"/>
          <w:bCs/>
          <w:sz w:val="26"/>
          <w:szCs w:val="26"/>
        </w:rPr>
        <w:t xml:space="preserve"> March 2022, the </w:t>
      </w:r>
      <w:r w:rsidR="006F1902">
        <w:rPr>
          <w:rFonts w:eastAsia="Calibri" w:cstheme="minorHAnsi"/>
          <w:bCs/>
          <w:sz w:val="26"/>
          <w:szCs w:val="26"/>
        </w:rPr>
        <w:t>V</w:t>
      </w:r>
      <w:r>
        <w:rPr>
          <w:rFonts w:eastAsia="Calibri" w:cstheme="minorHAnsi"/>
          <w:bCs/>
          <w:sz w:val="26"/>
          <w:szCs w:val="26"/>
        </w:rPr>
        <w:t xml:space="preserve">ictim’s guardian and her children left home at about 6.30AM leaving her asleep. The </w:t>
      </w:r>
      <w:r w:rsidR="008C0619">
        <w:rPr>
          <w:rFonts w:eastAsia="Calibri" w:cstheme="minorHAnsi"/>
          <w:bCs/>
          <w:sz w:val="26"/>
          <w:szCs w:val="26"/>
        </w:rPr>
        <w:t>A</w:t>
      </w:r>
      <w:r>
        <w:rPr>
          <w:rFonts w:eastAsia="Calibri" w:cstheme="minorHAnsi"/>
          <w:bCs/>
          <w:sz w:val="26"/>
          <w:szCs w:val="26"/>
        </w:rPr>
        <w:t xml:space="preserve">ccused then sneaked into the house around 7AM and forcibly performed a sexual act on her. During the process the </w:t>
      </w:r>
      <w:r w:rsidR="008C0619">
        <w:rPr>
          <w:rFonts w:eastAsia="Calibri" w:cstheme="minorHAnsi"/>
          <w:bCs/>
          <w:sz w:val="26"/>
          <w:szCs w:val="26"/>
        </w:rPr>
        <w:t>V</w:t>
      </w:r>
      <w:r>
        <w:rPr>
          <w:rFonts w:eastAsia="Calibri" w:cstheme="minorHAnsi"/>
          <w:bCs/>
          <w:sz w:val="26"/>
          <w:szCs w:val="26"/>
        </w:rPr>
        <w:t xml:space="preserve">ictim struggled and got a panga which she used to cut the </w:t>
      </w:r>
      <w:r w:rsidR="004E0E69">
        <w:rPr>
          <w:rFonts w:eastAsia="Calibri" w:cstheme="minorHAnsi"/>
          <w:bCs/>
          <w:sz w:val="26"/>
          <w:szCs w:val="26"/>
        </w:rPr>
        <w:t>A</w:t>
      </w:r>
      <w:r>
        <w:rPr>
          <w:rFonts w:eastAsia="Calibri" w:cstheme="minorHAnsi"/>
          <w:bCs/>
          <w:sz w:val="26"/>
          <w:szCs w:val="26"/>
        </w:rPr>
        <w:t xml:space="preserve">ccused on the forehead and the right arm while making an alarm. The </w:t>
      </w:r>
      <w:r w:rsidR="004E0E69">
        <w:rPr>
          <w:rFonts w:eastAsia="Calibri" w:cstheme="minorHAnsi"/>
          <w:bCs/>
          <w:sz w:val="26"/>
          <w:szCs w:val="26"/>
        </w:rPr>
        <w:t>A</w:t>
      </w:r>
      <w:r>
        <w:rPr>
          <w:rFonts w:eastAsia="Calibri" w:cstheme="minorHAnsi"/>
          <w:bCs/>
          <w:sz w:val="26"/>
          <w:szCs w:val="26"/>
        </w:rPr>
        <w:t xml:space="preserve">ccused was arrested at the scene by persons responding to the alarm and was subsequently handed over to the </w:t>
      </w:r>
      <w:r w:rsidR="004E0E69">
        <w:rPr>
          <w:rFonts w:eastAsia="Calibri" w:cstheme="minorHAnsi"/>
          <w:bCs/>
          <w:sz w:val="26"/>
          <w:szCs w:val="26"/>
        </w:rPr>
        <w:t>P</w:t>
      </w:r>
      <w:r>
        <w:rPr>
          <w:rFonts w:eastAsia="Calibri" w:cstheme="minorHAnsi"/>
          <w:bCs/>
          <w:sz w:val="26"/>
          <w:szCs w:val="26"/>
        </w:rPr>
        <w:t>olice.</w:t>
      </w:r>
    </w:p>
    <w:p w14:paraId="602CCB5C" w14:textId="12763641" w:rsidR="004823C3" w:rsidRDefault="004823C3" w:rsidP="008B65B9">
      <w:pPr>
        <w:spacing w:after="200" w:line="360" w:lineRule="auto"/>
        <w:jc w:val="both"/>
        <w:rPr>
          <w:rFonts w:eastAsia="Calibri" w:cstheme="minorHAnsi"/>
          <w:bCs/>
          <w:sz w:val="26"/>
          <w:szCs w:val="26"/>
        </w:rPr>
      </w:pPr>
      <w:r>
        <w:rPr>
          <w:rFonts w:eastAsia="Calibri" w:cstheme="minorHAnsi"/>
          <w:bCs/>
          <w:sz w:val="26"/>
          <w:szCs w:val="26"/>
        </w:rPr>
        <w:t xml:space="preserve">The </w:t>
      </w:r>
      <w:proofErr w:type="spellStart"/>
      <w:r>
        <w:rPr>
          <w:rFonts w:eastAsia="Calibri" w:cstheme="minorHAnsi"/>
          <w:bCs/>
          <w:sz w:val="26"/>
          <w:szCs w:val="26"/>
        </w:rPr>
        <w:t>Defence</w:t>
      </w:r>
      <w:proofErr w:type="spellEnd"/>
      <w:r>
        <w:rPr>
          <w:rFonts w:eastAsia="Calibri" w:cstheme="minorHAnsi"/>
          <w:bCs/>
          <w:sz w:val="26"/>
          <w:szCs w:val="26"/>
        </w:rPr>
        <w:t xml:space="preserve"> case in this matter is that the </w:t>
      </w:r>
      <w:r w:rsidR="004E0E69">
        <w:rPr>
          <w:rFonts w:eastAsia="Calibri" w:cstheme="minorHAnsi"/>
          <w:bCs/>
          <w:sz w:val="26"/>
          <w:szCs w:val="26"/>
        </w:rPr>
        <w:t>A</w:t>
      </w:r>
      <w:r>
        <w:rPr>
          <w:rFonts w:eastAsia="Calibri" w:cstheme="minorHAnsi"/>
          <w:bCs/>
          <w:sz w:val="26"/>
          <w:szCs w:val="26"/>
        </w:rPr>
        <w:t xml:space="preserve">ccused did not defile the victim and that he was attacked by the </w:t>
      </w:r>
      <w:r w:rsidR="004E0E69">
        <w:rPr>
          <w:rFonts w:eastAsia="Calibri" w:cstheme="minorHAnsi"/>
          <w:bCs/>
          <w:sz w:val="26"/>
          <w:szCs w:val="26"/>
        </w:rPr>
        <w:t>V</w:t>
      </w:r>
      <w:r>
        <w:rPr>
          <w:rFonts w:eastAsia="Calibri" w:cstheme="minorHAnsi"/>
          <w:bCs/>
          <w:sz w:val="26"/>
          <w:szCs w:val="26"/>
        </w:rPr>
        <w:t>ictim when he attempted to access the house to retrieve farming implements which had been stored at the house.</w:t>
      </w:r>
    </w:p>
    <w:p w14:paraId="497339AF" w14:textId="55B236F2" w:rsidR="004823C3" w:rsidRDefault="004823C3" w:rsidP="008B65B9">
      <w:pPr>
        <w:spacing w:after="200" w:line="360" w:lineRule="auto"/>
        <w:jc w:val="both"/>
        <w:rPr>
          <w:rFonts w:eastAsia="Calibri" w:cstheme="minorHAnsi"/>
          <w:bCs/>
          <w:sz w:val="26"/>
          <w:szCs w:val="26"/>
        </w:rPr>
      </w:pPr>
      <w:r>
        <w:rPr>
          <w:rFonts w:eastAsia="Calibri" w:cstheme="minorHAnsi"/>
          <w:bCs/>
          <w:sz w:val="26"/>
          <w:szCs w:val="26"/>
        </w:rPr>
        <w:t>The law governing proof at criminal trials</w:t>
      </w:r>
      <w:r w:rsidR="00816655">
        <w:rPr>
          <w:rFonts w:eastAsia="Calibri" w:cstheme="minorHAnsi"/>
          <w:bCs/>
          <w:sz w:val="26"/>
          <w:szCs w:val="26"/>
        </w:rPr>
        <w:t>,</w:t>
      </w:r>
      <w:r>
        <w:rPr>
          <w:rFonts w:eastAsia="Calibri" w:cstheme="minorHAnsi"/>
          <w:bCs/>
          <w:sz w:val="26"/>
          <w:szCs w:val="26"/>
        </w:rPr>
        <w:t xml:space="preserve"> as established by the </w:t>
      </w:r>
      <w:proofErr w:type="spellStart"/>
      <w:r>
        <w:rPr>
          <w:rFonts w:eastAsia="Calibri" w:cstheme="minorHAnsi"/>
          <w:bCs/>
          <w:sz w:val="26"/>
          <w:szCs w:val="26"/>
        </w:rPr>
        <w:t>time-honoured</w:t>
      </w:r>
      <w:proofErr w:type="spellEnd"/>
      <w:r>
        <w:rPr>
          <w:rFonts w:eastAsia="Calibri" w:cstheme="minorHAnsi"/>
          <w:bCs/>
          <w:sz w:val="26"/>
          <w:szCs w:val="26"/>
        </w:rPr>
        <w:t xml:space="preserve"> case of </w:t>
      </w:r>
      <w:proofErr w:type="spellStart"/>
      <w:r w:rsidRPr="00816655">
        <w:rPr>
          <w:rFonts w:eastAsia="Calibri" w:cstheme="minorHAnsi"/>
          <w:b/>
          <w:sz w:val="26"/>
          <w:szCs w:val="26"/>
        </w:rPr>
        <w:t>Woolmington</w:t>
      </w:r>
      <w:proofErr w:type="spellEnd"/>
      <w:r w:rsidRPr="00816655">
        <w:rPr>
          <w:rFonts w:eastAsia="Calibri" w:cstheme="minorHAnsi"/>
          <w:b/>
          <w:sz w:val="26"/>
          <w:szCs w:val="26"/>
        </w:rPr>
        <w:t xml:space="preserve"> V DPP (1935) AC 462</w:t>
      </w:r>
      <w:r w:rsidR="00816655">
        <w:rPr>
          <w:rFonts w:eastAsia="Calibri" w:cstheme="minorHAnsi"/>
          <w:bCs/>
          <w:sz w:val="26"/>
          <w:szCs w:val="26"/>
        </w:rPr>
        <w:t>,</w:t>
      </w:r>
      <w:r>
        <w:rPr>
          <w:rFonts w:eastAsia="Calibri" w:cstheme="minorHAnsi"/>
          <w:bCs/>
          <w:sz w:val="26"/>
          <w:szCs w:val="26"/>
        </w:rPr>
        <w:t xml:space="preserve"> is that </w:t>
      </w:r>
      <w:r w:rsidR="00E82B44" w:rsidRPr="00E82B44">
        <w:rPr>
          <w:rFonts w:eastAsia="Calibri" w:cstheme="minorHAnsi"/>
          <w:bCs/>
          <w:sz w:val="26"/>
          <w:szCs w:val="26"/>
        </w:rPr>
        <w:t xml:space="preserve">in criminal cases, the burden of proof is </w:t>
      </w:r>
      <w:r w:rsidR="00E82B44" w:rsidRPr="00E82B44">
        <w:rPr>
          <w:rFonts w:eastAsia="Calibri" w:cstheme="minorHAnsi"/>
          <w:bCs/>
          <w:sz w:val="26"/>
          <w:szCs w:val="26"/>
        </w:rPr>
        <w:lastRenderedPageBreak/>
        <w:t>always on the prosecution to prove the defendant's guilt beyond a reasonable doubt</w:t>
      </w:r>
      <w:r w:rsidR="00E82B44">
        <w:rPr>
          <w:rFonts w:eastAsia="Calibri" w:cstheme="minorHAnsi"/>
          <w:bCs/>
          <w:sz w:val="26"/>
          <w:szCs w:val="26"/>
        </w:rPr>
        <w:t xml:space="preserve">. In this matter it is upon the </w:t>
      </w:r>
      <w:r w:rsidR="00F54886">
        <w:rPr>
          <w:rFonts w:eastAsia="Calibri" w:cstheme="minorHAnsi"/>
          <w:bCs/>
          <w:sz w:val="26"/>
          <w:szCs w:val="26"/>
        </w:rPr>
        <w:t>P</w:t>
      </w:r>
      <w:r w:rsidR="00E82B44">
        <w:rPr>
          <w:rFonts w:eastAsia="Calibri" w:cstheme="minorHAnsi"/>
          <w:bCs/>
          <w:sz w:val="26"/>
          <w:szCs w:val="26"/>
        </w:rPr>
        <w:t xml:space="preserve">rosecution to prove that the </w:t>
      </w:r>
      <w:r w:rsidR="00AB43E8">
        <w:rPr>
          <w:rFonts w:eastAsia="Calibri" w:cstheme="minorHAnsi"/>
          <w:bCs/>
          <w:sz w:val="26"/>
          <w:szCs w:val="26"/>
        </w:rPr>
        <w:t>A</w:t>
      </w:r>
      <w:r w:rsidR="00E82B44">
        <w:rPr>
          <w:rFonts w:eastAsia="Calibri" w:cstheme="minorHAnsi"/>
          <w:bCs/>
          <w:sz w:val="26"/>
          <w:szCs w:val="26"/>
        </w:rPr>
        <w:t>ccused is guilty of the offence of Aggravated Defilement by proving the following beyond reasonable doubt.</w:t>
      </w:r>
    </w:p>
    <w:p w14:paraId="68E36029" w14:textId="64A66CA1" w:rsidR="00E82B44" w:rsidRPr="00E82B44" w:rsidRDefault="00E82B44" w:rsidP="008B65B9">
      <w:pPr>
        <w:pStyle w:val="ListParagraph"/>
        <w:numPr>
          <w:ilvl w:val="0"/>
          <w:numId w:val="3"/>
        </w:numPr>
        <w:spacing w:after="200" w:line="360" w:lineRule="auto"/>
        <w:jc w:val="both"/>
        <w:rPr>
          <w:rFonts w:eastAsia="Calibri" w:cstheme="minorHAnsi"/>
          <w:bCs/>
          <w:sz w:val="26"/>
          <w:szCs w:val="26"/>
        </w:rPr>
      </w:pPr>
      <w:r>
        <w:rPr>
          <w:rFonts w:eastAsia="Calibri" w:cstheme="minorHAnsi"/>
          <w:bCs/>
          <w:sz w:val="26"/>
          <w:szCs w:val="26"/>
        </w:rPr>
        <w:t xml:space="preserve">The </w:t>
      </w:r>
      <w:r w:rsidR="00AB43E8">
        <w:rPr>
          <w:rFonts w:eastAsia="Calibri" w:cstheme="minorHAnsi"/>
          <w:bCs/>
          <w:sz w:val="26"/>
          <w:szCs w:val="26"/>
        </w:rPr>
        <w:t>V</w:t>
      </w:r>
      <w:r>
        <w:rPr>
          <w:rFonts w:eastAsia="Calibri" w:cstheme="minorHAnsi"/>
          <w:bCs/>
          <w:sz w:val="26"/>
          <w:szCs w:val="26"/>
        </w:rPr>
        <w:t>ictim was below the age of 14 years at the time of the alleged offence;</w:t>
      </w:r>
    </w:p>
    <w:p w14:paraId="4335325B" w14:textId="37DFA148" w:rsidR="00E82B44" w:rsidRPr="00E82B44" w:rsidRDefault="00E82B44" w:rsidP="008B65B9">
      <w:pPr>
        <w:pStyle w:val="ListParagraph"/>
        <w:numPr>
          <w:ilvl w:val="0"/>
          <w:numId w:val="3"/>
        </w:numPr>
        <w:spacing w:after="200" w:line="360" w:lineRule="auto"/>
        <w:jc w:val="both"/>
        <w:rPr>
          <w:rFonts w:eastAsia="Calibri" w:cstheme="minorHAnsi"/>
          <w:bCs/>
          <w:sz w:val="26"/>
          <w:szCs w:val="26"/>
        </w:rPr>
      </w:pPr>
      <w:r>
        <w:rPr>
          <w:rFonts w:eastAsia="Calibri" w:cstheme="minorHAnsi"/>
          <w:bCs/>
          <w:sz w:val="26"/>
          <w:szCs w:val="26"/>
        </w:rPr>
        <w:t xml:space="preserve">A sexual act was performed on the </w:t>
      </w:r>
      <w:r w:rsidR="001F4426">
        <w:rPr>
          <w:rFonts w:eastAsia="Calibri" w:cstheme="minorHAnsi"/>
          <w:bCs/>
          <w:sz w:val="26"/>
          <w:szCs w:val="26"/>
        </w:rPr>
        <w:t>V</w:t>
      </w:r>
      <w:r>
        <w:rPr>
          <w:rFonts w:eastAsia="Calibri" w:cstheme="minorHAnsi"/>
          <w:bCs/>
          <w:sz w:val="26"/>
          <w:szCs w:val="26"/>
        </w:rPr>
        <w:t>ictim; and</w:t>
      </w:r>
    </w:p>
    <w:p w14:paraId="33035881" w14:textId="1798ACCF" w:rsidR="00E82B44" w:rsidRPr="00E82B44" w:rsidRDefault="00E82B44" w:rsidP="008B65B9">
      <w:pPr>
        <w:pStyle w:val="ListParagraph"/>
        <w:numPr>
          <w:ilvl w:val="0"/>
          <w:numId w:val="3"/>
        </w:numPr>
        <w:spacing w:after="200" w:line="360" w:lineRule="auto"/>
        <w:jc w:val="both"/>
        <w:rPr>
          <w:rFonts w:eastAsia="Calibri" w:cstheme="minorHAnsi"/>
          <w:bCs/>
          <w:sz w:val="26"/>
          <w:szCs w:val="26"/>
        </w:rPr>
      </w:pPr>
      <w:r>
        <w:rPr>
          <w:rFonts w:eastAsia="Calibri" w:cstheme="minorHAnsi"/>
          <w:bCs/>
          <w:sz w:val="26"/>
          <w:szCs w:val="26"/>
        </w:rPr>
        <w:t xml:space="preserve">The </w:t>
      </w:r>
      <w:r w:rsidR="001F4426">
        <w:rPr>
          <w:rFonts w:eastAsia="Calibri" w:cstheme="minorHAnsi"/>
          <w:bCs/>
          <w:sz w:val="26"/>
          <w:szCs w:val="26"/>
        </w:rPr>
        <w:t>A</w:t>
      </w:r>
      <w:r>
        <w:rPr>
          <w:rFonts w:eastAsia="Calibri" w:cstheme="minorHAnsi"/>
          <w:bCs/>
          <w:sz w:val="26"/>
          <w:szCs w:val="26"/>
        </w:rPr>
        <w:t>ccused was responsible for the sexual act.</w:t>
      </w:r>
    </w:p>
    <w:p w14:paraId="0EDD86F3" w14:textId="77777777" w:rsidR="0090682B" w:rsidRPr="0090682B" w:rsidRDefault="0090682B" w:rsidP="0090682B">
      <w:pPr>
        <w:spacing w:after="80" w:line="360" w:lineRule="auto"/>
        <w:jc w:val="both"/>
        <w:rPr>
          <w:rFonts w:ascii="Calibri" w:eastAsia="Calibri" w:hAnsi="Calibri" w:cs="Times New Roman"/>
          <w:sz w:val="26"/>
          <w:szCs w:val="26"/>
        </w:rPr>
      </w:pPr>
      <w:r w:rsidRPr="0090682B">
        <w:rPr>
          <w:rFonts w:ascii="Calibri" w:eastAsia="Calibri" w:hAnsi="Calibri" w:cs="Times New Roman"/>
          <w:sz w:val="26"/>
          <w:szCs w:val="26"/>
        </w:rPr>
        <w:t xml:space="preserve">According to the </w:t>
      </w:r>
      <w:proofErr w:type="spellStart"/>
      <w:r w:rsidRPr="0090682B">
        <w:rPr>
          <w:rFonts w:ascii="Calibri" w:eastAsia="Calibri" w:hAnsi="Calibri" w:cs="Times New Roman"/>
          <w:sz w:val="26"/>
          <w:szCs w:val="26"/>
        </w:rPr>
        <w:t>time-honoured</w:t>
      </w:r>
      <w:proofErr w:type="spellEnd"/>
      <w:r w:rsidRPr="0090682B">
        <w:rPr>
          <w:rFonts w:ascii="Calibri" w:eastAsia="Calibri" w:hAnsi="Calibri" w:cs="Times New Roman"/>
          <w:sz w:val="26"/>
          <w:szCs w:val="26"/>
        </w:rPr>
        <w:t xml:space="preserve"> case of </w:t>
      </w:r>
      <w:proofErr w:type="spellStart"/>
      <w:r w:rsidRPr="0090682B">
        <w:rPr>
          <w:rFonts w:ascii="Calibri" w:eastAsia="Calibri" w:hAnsi="Calibri" w:cs="Times New Roman"/>
          <w:b/>
          <w:sz w:val="26"/>
          <w:szCs w:val="26"/>
        </w:rPr>
        <w:t>Woolmington</w:t>
      </w:r>
      <w:proofErr w:type="spellEnd"/>
      <w:r w:rsidRPr="0090682B">
        <w:rPr>
          <w:rFonts w:ascii="Calibri" w:eastAsia="Calibri" w:hAnsi="Calibri" w:cs="Times New Roman"/>
          <w:b/>
          <w:sz w:val="26"/>
          <w:szCs w:val="26"/>
        </w:rPr>
        <w:t xml:space="preserve"> v DPP (1935) AC 462</w:t>
      </w:r>
      <w:r w:rsidRPr="0090682B">
        <w:rPr>
          <w:rFonts w:ascii="Calibri" w:eastAsia="Calibri" w:hAnsi="Calibri" w:cs="Times New Roman"/>
          <w:sz w:val="26"/>
          <w:szCs w:val="26"/>
        </w:rPr>
        <w:t xml:space="preserve">, the Burden of Proof in criminal trials is always on the Prosecution. In </w:t>
      </w:r>
      <w:proofErr w:type="gramStart"/>
      <w:r w:rsidRPr="0090682B">
        <w:rPr>
          <w:rFonts w:ascii="Calibri" w:eastAsia="Calibri" w:hAnsi="Calibri" w:cs="Times New Roman"/>
          <w:sz w:val="26"/>
          <w:szCs w:val="26"/>
        </w:rPr>
        <w:t>that</w:t>
      </w:r>
      <w:proofErr w:type="gramEnd"/>
      <w:r w:rsidRPr="0090682B">
        <w:rPr>
          <w:rFonts w:ascii="Calibri" w:eastAsia="Calibri" w:hAnsi="Calibri" w:cs="Times New Roman"/>
          <w:sz w:val="26"/>
          <w:szCs w:val="26"/>
        </w:rPr>
        <w:t xml:space="preserve"> regard the Prosecution always has the duty to prove each of the ingredients of the offence and generally speaking the burden never shifts onto the accused except where there is a statutory provision to the contrary.</w:t>
      </w:r>
    </w:p>
    <w:p w14:paraId="638EE36E" w14:textId="77777777" w:rsidR="0090682B" w:rsidRPr="0090682B" w:rsidRDefault="0090682B" w:rsidP="0090682B">
      <w:pPr>
        <w:spacing w:after="80" w:line="360" w:lineRule="auto"/>
        <w:jc w:val="both"/>
        <w:rPr>
          <w:rFonts w:ascii="Calibri" w:eastAsia="Calibri" w:hAnsi="Calibri" w:cs="Times New Roman"/>
          <w:sz w:val="26"/>
          <w:szCs w:val="26"/>
        </w:rPr>
      </w:pPr>
      <w:r w:rsidRPr="0090682B">
        <w:rPr>
          <w:rFonts w:ascii="Calibri" w:eastAsia="Calibri" w:hAnsi="Calibri" w:cs="Times New Roman"/>
          <w:sz w:val="26"/>
          <w:szCs w:val="26"/>
        </w:rPr>
        <w:t xml:space="preserve">The Standard of Proof in criminal trials is proof beyond reasonable doubt and </w:t>
      </w:r>
      <w:proofErr w:type="gramStart"/>
      <w:r w:rsidRPr="0090682B">
        <w:rPr>
          <w:rFonts w:ascii="Calibri" w:eastAsia="Calibri" w:hAnsi="Calibri" w:cs="Times New Roman"/>
          <w:sz w:val="26"/>
          <w:szCs w:val="26"/>
        </w:rPr>
        <w:t>is met</w:t>
      </w:r>
      <w:proofErr w:type="gramEnd"/>
      <w:r w:rsidRPr="0090682B">
        <w:rPr>
          <w:rFonts w:ascii="Calibri" w:eastAsia="Calibri" w:hAnsi="Calibri" w:cs="Times New Roman"/>
          <w:sz w:val="26"/>
          <w:szCs w:val="26"/>
        </w:rPr>
        <w:t xml:space="preserve"> when all the essential ingredients of the offence are proved beyond reasonable doubt. The </w:t>
      </w:r>
      <w:r w:rsidRPr="0090682B">
        <w:rPr>
          <w:rFonts w:ascii="Calibri" w:eastAsia="Calibri" w:hAnsi="Calibri" w:cs="Times New Roman"/>
          <w:i/>
          <w:sz w:val="26"/>
          <w:szCs w:val="26"/>
        </w:rPr>
        <w:t xml:space="preserve">locus </w:t>
      </w:r>
      <w:proofErr w:type="spellStart"/>
      <w:r w:rsidRPr="0090682B">
        <w:rPr>
          <w:rFonts w:ascii="Calibri" w:eastAsia="Calibri" w:hAnsi="Calibri" w:cs="Times New Roman"/>
          <w:i/>
          <w:sz w:val="26"/>
          <w:szCs w:val="26"/>
        </w:rPr>
        <w:t>classicus</w:t>
      </w:r>
      <w:proofErr w:type="spellEnd"/>
      <w:r w:rsidRPr="0090682B">
        <w:rPr>
          <w:rFonts w:ascii="Calibri" w:eastAsia="Calibri" w:hAnsi="Calibri" w:cs="Times New Roman"/>
          <w:i/>
          <w:sz w:val="26"/>
          <w:szCs w:val="26"/>
        </w:rPr>
        <w:t xml:space="preserve"> </w:t>
      </w:r>
      <w:r w:rsidRPr="0090682B">
        <w:rPr>
          <w:rFonts w:ascii="Calibri" w:eastAsia="Calibri" w:hAnsi="Calibri" w:cs="Times New Roman"/>
          <w:sz w:val="26"/>
          <w:szCs w:val="26"/>
        </w:rPr>
        <w:t xml:space="preserve">in this regard is the case of </w:t>
      </w:r>
      <w:r w:rsidRPr="0090682B">
        <w:rPr>
          <w:rFonts w:ascii="Calibri" w:eastAsia="Calibri" w:hAnsi="Calibri" w:cs="Times New Roman"/>
          <w:b/>
          <w:sz w:val="26"/>
          <w:szCs w:val="26"/>
        </w:rPr>
        <w:t>Miller v Minister of Pensions (1947) 2 All ER 372</w:t>
      </w:r>
      <w:r w:rsidRPr="0090682B">
        <w:rPr>
          <w:rFonts w:ascii="Calibri" w:eastAsia="Calibri" w:hAnsi="Calibri" w:cs="Times New Roman"/>
          <w:sz w:val="26"/>
          <w:szCs w:val="26"/>
        </w:rPr>
        <w:t xml:space="preserve"> wherein Lord Denning stated at Pages 373-374 that,</w:t>
      </w:r>
    </w:p>
    <w:p w14:paraId="7BB7D3EA" w14:textId="77777777" w:rsidR="0090682B" w:rsidRPr="0090682B" w:rsidRDefault="0090682B" w:rsidP="0090682B">
      <w:pPr>
        <w:spacing w:after="80" w:line="360" w:lineRule="auto"/>
        <w:ind w:left="720" w:right="720"/>
        <w:jc w:val="both"/>
        <w:rPr>
          <w:rFonts w:ascii="Calibri" w:eastAsia="Calibri" w:hAnsi="Calibri" w:cs="Times New Roman"/>
          <w:i/>
          <w:sz w:val="26"/>
          <w:szCs w:val="26"/>
        </w:rPr>
      </w:pPr>
      <w:r w:rsidRPr="0090682B">
        <w:rPr>
          <w:rFonts w:ascii="Calibri" w:eastAsia="Calibri" w:hAnsi="Calibri" w:cs="Times New Roman"/>
          <w:i/>
          <w:sz w:val="26"/>
          <w:szCs w:val="26"/>
        </w:rPr>
        <w:t xml:space="preserve">“The degree of beyond reasonable doubt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evidence is </w:t>
      </w:r>
      <w:proofErr w:type="gramStart"/>
      <w:r w:rsidRPr="0090682B">
        <w:rPr>
          <w:rFonts w:ascii="Calibri" w:eastAsia="Calibri" w:hAnsi="Calibri" w:cs="Times New Roman"/>
          <w:i/>
          <w:sz w:val="26"/>
          <w:szCs w:val="26"/>
        </w:rPr>
        <w:t>so</w:t>
      </w:r>
      <w:proofErr w:type="gramEnd"/>
      <w:r w:rsidRPr="0090682B">
        <w:rPr>
          <w:rFonts w:ascii="Calibri" w:eastAsia="Calibri" w:hAnsi="Calibri" w:cs="Times New Roman"/>
          <w:i/>
          <w:sz w:val="26"/>
          <w:szCs w:val="26"/>
        </w:rPr>
        <w:t xml:space="preserve"> strong against a man as to leave only a remote possibility in his </w:t>
      </w:r>
      <w:proofErr w:type="spellStart"/>
      <w:r w:rsidRPr="0090682B">
        <w:rPr>
          <w:rFonts w:ascii="Calibri" w:eastAsia="Calibri" w:hAnsi="Calibri" w:cs="Times New Roman"/>
          <w:i/>
          <w:sz w:val="26"/>
          <w:szCs w:val="26"/>
        </w:rPr>
        <w:t>favour</w:t>
      </w:r>
      <w:proofErr w:type="spellEnd"/>
      <w:r w:rsidRPr="0090682B">
        <w:rPr>
          <w:rFonts w:ascii="Calibri" w:eastAsia="Calibri" w:hAnsi="Calibri" w:cs="Times New Roman"/>
          <w:i/>
          <w:sz w:val="26"/>
          <w:szCs w:val="26"/>
        </w:rPr>
        <w:t>, which can be dismissed with a sentence: ‘of course it is possible but not in the least probable’, the case is proved beyond reasonable doubt; but nothing short of that will suffice.”</w:t>
      </w:r>
    </w:p>
    <w:p w14:paraId="5649B9DC" w14:textId="77777777" w:rsidR="0090682B" w:rsidRPr="0090682B" w:rsidRDefault="0090682B" w:rsidP="0090682B">
      <w:pPr>
        <w:spacing w:after="80" w:line="360" w:lineRule="auto"/>
        <w:jc w:val="both"/>
        <w:rPr>
          <w:rFonts w:ascii="Calibri" w:eastAsia="Calibri" w:hAnsi="Calibri" w:cs="Times New Roman"/>
          <w:sz w:val="26"/>
          <w:szCs w:val="26"/>
        </w:rPr>
      </w:pPr>
      <w:r w:rsidRPr="0090682B">
        <w:rPr>
          <w:rFonts w:ascii="Calibri" w:eastAsia="Calibri" w:hAnsi="Calibri" w:cs="Times New Roman"/>
          <w:sz w:val="26"/>
          <w:szCs w:val="26"/>
        </w:rPr>
        <w:t xml:space="preserve">The legal standard in the determination of whether or not the burden and standard of proof has been properly met will be done in accordance with the Supreme Court decision in </w:t>
      </w:r>
      <w:r w:rsidRPr="0090682B">
        <w:rPr>
          <w:rFonts w:ascii="Calibri" w:eastAsia="Calibri" w:hAnsi="Calibri" w:cs="Times New Roman"/>
          <w:b/>
          <w:sz w:val="26"/>
          <w:szCs w:val="26"/>
        </w:rPr>
        <w:t xml:space="preserve">Abdu </w:t>
      </w:r>
      <w:proofErr w:type="spellStart"/>
      <w:r w:rsidRPr="0090682B">
        <w:rPr>
          <w:rFonts w:ascii="Calibri" w:eastAsia="Calibri" w:hAnsi="Calibri" w:cs="Times New Roman"/>
          <w:b/>
          <w:sz w:val="26"/>
          <w:szCs w:val="26"/>
        </w:rPr>
        <w:t>Ngobi</w:t>
      </w:r>
      <w:proofErr w:type="spellEnd"/>
      <w:r w:rsidRPr="0090682B">
        <w:rPr>
          <w:rFonts w:ascii="Calibri" w:eastAsia="Calibri" w:hAnsi="Calibri" w:cs="Times New Roman"/>
          <w:b/>
          <w:sz w:val="26"/>
          <w:szCs w:val="26"/>
        </w:rPr>
        <w:t xml:space="preserve"> v Uganda – Criminal Appeal No. 10 of 1991</w:t>
      </w:r>
      <w:r w:rsidRPr="0090682B">
        <w:rPr>
          <w:rFonts w:ascii="Calibri" w:eastAsia="Calibri" w:hAnsi="Calibri" w:cs="Times New Roman"/>
          <w:sz w:val="26"/>
          <w:szCs w:val="26"/>
        </w:rPr>
        <w:t xml:space="preserve"> where it was held that,</w:t>
      </w:r>
    </w:p>
    <w:p w14:paraId="656BFE84" w14:textId="77777777" w:rsidR="0090682B" w:rsidRPr="0090682B" w:rsidRDefault="0090682B" w:rsidP="0090682B">
      <w:pPr>
        <w:spacing w:after="80" w:line="360" w:lineRule="auto"/>
        <w:ind w:left="720" w:right="720"/>
        <w:jc w:val="both"/>
        <w:rPr>
          <w:rFonts w:ascii="Calibri" w:eastAsia="Calibri" w:hAnsi="Calibri" w:cs="Times New Roman"/>
          <w:i/>
          <w:sz w:val="26"/>
          <w:szCs w:val="26"/>
        </w:rPr>
      </w:pPr>
      <w:r w:rsidRPr="0090682B">
        <w:rPr>
          <w:rFonts w:ascii="Calibri" w:eastAsia="Calibri" w:hAnsi="Calibri" w:cs="Times New Roman"/>
          <w:i/>
          <w:sz w:val="26"/>
          <w:szCs w:val="26"/>
        </w:rPr>
        <w:lastRenderedPageBreak/>
        <w:t xml:space="preserve">“Evidence of the prosecution should be examined and weighed against the evidence of the </w:t>
      </w:r>
      <w:proofErr w:type="spellStart"/>
      <w:r w:rsidRPr="0090682B">
        <w:rPr>
          <w:rFonts w:ascii="Calibri" w:eastAsia="Calibri" w:hAnsi="Calibri" w:cs="Times New Roman"/>
          <w:i/>
          <w:sz w:val="26"/>
          <w:szCs w:val="26"/>
        </w:rPr>
        <w:t>defence</w:t>
      </w:r>
      <w:proofErr w:type="spellEnd"/>
      <w:r w:rsidRPr="0090682B">
        <w:rPr>
          <w:rFonts w:ascii="Calibri" w:eastAsia="Calibri" w:hAnsi="Calibri" w:cs="Times New Roman"/>
          <w:i/>
          <w:sz w:val="26"/>
          <w:szCs w:val="26"/>
        </w:rPr>
        <w:t xml:space="preserve"> so that a final decision is not taken until all the evidence has been considered. The proper approach is to consider the strength and weaknesses of each side, weigh the evidence as a whole, apply the burden of proof as always resting upon the prosecution, and decide whether the </w:t>
      </w:r>
      <w:proofErr w:type="spellStart"/>
      <w:r w:rsidRPr="0090682B">
        <w:rPr>
          <w:rFonts w:ascii="Calibri" w:eastAsia="Calibri" w:hAnsi="Calibri" w:cs="Times New Roman"/>
          <w:i/>
          <w:sz w:val="26"/>
          <w:szCs w:val="26"/>
        </w:rPr>
        <w:t>defence</w:t>
      </w:r>
      <w:proofErr w:type="spellEnd"/>
      <w:r w:rsidRPr="0090682B">
        <w:rPr>
          <w:rFonts w:ascii="Calibri" w:eastAsia="Calibri" w:hAnsi="Calibri" w:cs="Times New Roman"/>
          <w:i/>
          <w:sz w:val="26"/>
          <w:szCs w:val="26"/>
        </w:rPr>
        <w:t xml:space="preserve"> has raised a reasonable doubt.”</w:t>
      </w:r>
    </w:p>
    <w:p w14:paraId="7FC7B0B3" w14:textId="35C09132" w:rsidR="00D1476C" w:rsidRDefault="00D1476C" w:rsidP="008B65B9">
      <w:pPr>
        <w:spacing w:after="200" w:line="360" w:lineRule="auto"/>
        <w:jc w:val="both"/>
        <w:rPr>
          <w:rFonts w:eastAsia="Calibri" w:cstheme="minorHAnsi"/>
          <w:bCs/>
          <w:sz w:val="26"/>
          <w:szCs w:val="26"/>
        </w:rPr>
      </w:pPr>
      <w:r>
        <w:rPr>
          <w:rFonts w:eastAsia="Calibri" w:cstheme="minorHAnsi"/>
          <w:bCs/>
          <w:sz w:val="26"/>
          <w:szCs w:val="26"/>
        </w:rPr>
        <w:t xml:space="preserve">With regard to the question of the </w:t>
      </w:r>
      <w:r w:rsidR="001F4426">
        <w:rPr>
          <w:rFonts w:eastAsia="Calibri" w:cstheme="minorHAnsi"/>
          <w:bCs/>
          <w:sz w:val="26"/>
          <w:szCs w:val="26"/>
        </w:rPr>
        <w:t>V</w:t>
      </w:r>
      <w:r>
        <w:rPr>
          <w:rFonts w:eastAsia="Calibri" w:cstheme="minorHAnsi"/>
          <w:bCs/>
          <w:sz w:val="26"/>
          <w:szCs w:val="26"/>
        </w:rPr>
        <w:t xml:space="preserve">ictim’s age there was no dispute concerning this matter as evidence </w:t>
      </w:r>
      <w:proofErr w:type="gramStart"/>
      <w:r>
        <w:rPr>
          <w:rFonts w:eastAsia="Calibri" w:cstheme="minorHAnsi"/>
          <w:bCs/>
          <w:sz w:val="26"/>
          <w:szCs w:val="26"/>
        </w:rPr>
        <w:t>was put</w:t>
      </w:r>
      <w:proofErr w:type="gramEnd"/>
      <w:r>
        <w:rPr>
          <w:rFonts w:eastAsia="Calibri" w:cstheme="minorHAnsi"/>
          <w:bCs/>
          <w:sz w:val="26"/>
          <w:szCs w:val="26"/>
        </w:rPr>
        <w:t xml:space="preserve"> forward in the form of a medical report as well as testimony from </w:t>
      </w:r>
      <w:r w:rsidRPr="00C058B4">
        <w:rPr>
          <w:rFonts w:eastAsia="Calibri" w:cstheme="minorHAnsi"/>
          <w:b/>
          <w:bCs/>
          <w:sz w:val="26"/>
          <w:szCs w:val="26"/>
        </w:rPr>
        <w:t xml:space="preserve">PW5 </w:t>
      </w:r>
      <w:r>
        <w:rPr>
          <w:rFonts w:eastAsia="Calibri" w:cstheme="minorHAnsi"/>
          <w:bCs/>
          <w:sz w:val="26"/>
          <w:szCs w:val="26"/>
        </w:rPr>
        <w:t xml:space="preserve">the </w:t>
      </w:r>
      <w:r w:rsidR="000F1AF2">
        <w:rPr>
          <w:rFonts w:eastAsia="Calibri" w:cstheme="minorHAnsi"/>
          <w:bCs/>
          <w:sz w:val="26"/>
          <w:szCs w:val="26"/>
        </w:rPr>
        <w:t>V</w:t>
      </w:r>
      <w:r>
        <w:rPr>
          <w:rFonts w:eastAsia="Calibri" w:cstheme="minorHAnsi"/>
          <w:bCs/>
          <w:sz w:val="26"/>
          <w:szCs w:val="26"/>
        </w:rPr>
        <w:t xml:space="preserve">ictim and her maternal aunt </w:t>
      </w:r>
      <w:r w:rsidRPr="00C058B4">
        <w:rPr>
          <w:rFonts w:eastAsia="Calibri" w:cstheme="minorHAnsi"/>
          <w:b/>
          <w:bCs/>
          <w:sz w:val="26"/>
          <w:szCs w:val="26"/>
        </w:rPr>
        <w:t>PW2</w:t>
      </w:r>
      <w:r>
        <w:rPr>
          <w:rFonts w:eastAsia="Calibri" w:cstheme="minorHAnsi"/>
          <w:bCs/>
          <w:sz w:val="26"/>
          <w:szCs w:val="26"/>
        </w:rPr>
        <w:t xml:space="preserve">. All the evidence was consistent with the fact that the </w:t>
      </w:r>
      <w:r w:rsidR="000F1AF2">
        <w:rPr>
          <w:rFonts w:eastAsia="Calibri" w:cstheme="minorHAnsi"/>
          <w:bCs/>
          <w:sz w:val="26"/>
          <w:szCs w:val="26"/>
        </w:rPr>
        <w:t>V</w:t>
      </w:r>
      <w:r>
        <w:rPr>
          <w:rFonts w:eastAsia="Calibri" w:cstheme="minorHAnsi"/>
          <w:bCs/>
          <w:sz w:val="26"/>
          <w:szCs w:val="26"/>
        </w:rPr>
        <w:t xml:space="preserve">ictim was below the age of 14 as at the date of the </w:t>
      </w:r>
      <w:r w:rsidR="00A40752">
        <w:rPr>
          <w:rFonts w:eastAsia="Calibri" w:cstheme="minorHAnsi"/>
          <w:bCs/>
          <w:sz w:val="26"/>
          <w:szCs w:val="26"/>
        </w:rPr>
        <w:t>incident.</w:t>
      </w:r>
    </w:p>
    <w:p w14:paraId="64A9754B" w14:textId="367B7C8D" w:rsidR="00A40752" w:rsidRDefault="00A40752" w:rsidP="008B65B9">
      <w:pPr>
        <w:spacing w:after="200" w:line="360" w:lineRule="auto"/>
        <w:jc w:val="both"/>
        <w:rPr>
          <w:rFonts w:eastAsia="Calibri" w:cstheme="minorHAnsi"/>
          <w:bCs/>
          <w:sz w:val="26"/>
          <w:szCs w:val="26"/>
        </w:rPr>
      </w:pPr>
      <w:r>
        <w:rPr>
          <w:rFonts w:eastAsia="Calibri" w:cstheme="minorHAnsi"/>
          <w:bCs/>
          <w:sz w:val="26"/>
          <w:szCs w:val="26"/>
        </w:rPr>
        <w:t xml:space="preserve">As concerns the sexual act and the involvement of the </w:t>
      </w:r>
      <w:r w:rsidR="006D22D1">
        <w:rPr>
          <w:rFonts w:eastAsia="Calibri" w:cstheme="minorHAnsi"/>
          <w:bCs/>
          <w:sz w:val="26"/>
          <w:szCs w:val="26"/>
        </w:rPr>
        <w:t>A</w:t>
      </w:r>
      <w:r>
        <w:rPr>
          <w:rFonts w:eastAsia="Calibri" w:cstheme="minorHAnsi"/>
          <w:bCs/>
          <w:sz w:val="26"/>
          <w:szCs w:val="26"/>
        </w:rPr>
        <w:t xml:space="preserve">ccused in the same, the </w:t>
      </w:r>
      <w:r w:rsidR="006D22D1">
        <w:rPr>
          <w:rFonts w:eastAsia="Calibri" w:cstheme="minorHAnsi"/>
          <w:bCs/>
          <w:sz w:val="26"/>
          <w:szCs w:val="26"/>
        </w:rPr>
        <w:t>P</w:t>
      </w:r>
      <w:r>
        <w:rPr>
          <w:rFonts w:eastAsia="Calibri" w:cstheme="minorHAnsi"/>
          <w:bCs/>
          <w:sz w:val="26"/>
          <w:szCs w:val="26"/>
        </w:rPr>
        <w:t xml:space="preserve">rosecution argued that according to the evidence of </w:t>
      </w:r>
      <w:r w:rsidRPr="00C058B4">
        <w:rPr>
          <w:rFonts w:eastAsia="Calibri" w:cstheme="minorHAnsi"/>
          <w:b/>
          <w:bCs/>
          <w:sz w:val="26"/>
          <w:szCs w:val="26"/>
        </w:rPr>
        <w:t>PW5</w:t>
      </w:r>
      <w:r>
        <w:rPr>
          <w:rFonts w:eastAsia="Calibri" w:cstheme="minorHAnsi"/>
          <w:bCs/>
          <w:sz w:val="26"/>
          <w:szCs w:val="26"/>
        </w:rPr>
        <w:t xml:space="preserve">, the </w:t>
      </w:r>
      <w:r w:rsidR="006D22D1">
        <w:rPr>
          <w:rFonts w:eastAsia="Calibri" w:cstheme="minorHAnsi"/>
          <w:bCs/>
          <w:sz w:val="26"/>
          <w:szCs w:val="26"/>
        </w:rPr>
        <w:t>A</w:t>
      </w:r>
      <w:r>
        <w:rPr>
          <w:rFonts w:eastAsia="Calibri" w:cstheme="minorHAnsi"/>
          <w:bCs/>
          <w:sz w:val="26"/>
          <w:szCs w:val="26"/>
        </w:rPr>
        <w:t xml:space="preserve">ccused entered her room on the fateful day at around 8AM and had forcefully performed sexual intercourse on her. The </w:t>
      </w:r>
      <w:r w:rsidR="006D22D1">
        <w:rPr>
          <w:rFonts w:eastAsia="Calibri" w:cstheme="minorHAnsi"/>
          <w:bCs/>
          <w:sz w:val="26"/>
          <w:szCs w:val="26"/>
        </w:rPr>
        <w:t>P</w:t>
      </w:r>
      <w:r>
        <w:rPr>
          <w:rFonts w:eastAsia="Calibri" w:cstheme="minorHAnsi"/>
          <w:bCs/>
          <w:sz w:val="26"/>
          <w:szCs w:val="26"/>
        </w:rPr>
        <w:t xml:space="preserve">rosecution further argued that </w:t>
      </w:r>
      <w:r w:rsidRPr="00C058B4">
        <w:rPr>
          <w:rFonts w:eastAsia="Calibri" w:cstheme="minorHAnsi"/>
          <w:b/>
          <w:bCs/>
          <w:sz w:val="26"/>
          <w:szCs w:val="26"/>
        </w:rPr>
        <w:t>PW5</w:t>
      </w:r>
      <w:r>
        <w:rPr>
          <w:rFonts w:eastAsia="Calibri" w:cstheme="minorHAnsi"/>
          <w:bCs/>
          <w:sz w:val="26"/>
          <w:szCs w:val="26"/>
        </w:rPr>
        <w:t xml:space="preserve">’s testimony in this regard had been corroborated by the Medical Report </w:t>
      </w:r>
      <w:r w:rsidRPr="00C058B4">
        <w:rPr>
          <w:rFonts w:eastAsia="Calibri" w:cstheme="minorHAnsi"/>
          <w:b/>
          <w:bCs/>
          <w:sz w:val="26"/>
          <w:szCs w:val="26"/>
        </w:rPr>
        <w:t xml:space="preserve">PE </w:t>
      </w:r>
      <w:proofErr w:type="gramStart"/>
      <w:r w:rsidRPr="00C058B4">
        <w:rPr>
          <w:rFonts w:eastAsia="Calibri" w:cstheme="minorHAnsi"/>
          <w:b/>
          <w:bCs/>
          <w:sz w:val="26"/>
          <w:szCs w:val="26"/>
        </w:rPr>
        <w:t>1</w:t>
      </w:r>
      <w:r>
        <w:rPr>
          <w:rFonts w:eastAsia="Calibri" w:cstheme="minorHAnsi"/>
          <w:bCs/>
          <w:sz w:val="26"/>
          <w:szCs w:val="26"/>
        </w:rPr>
        <w:t xml:space="preserve"> which</w:t>
      </w:r>
      <w:proofErr w:type="gramEnd"/>
      <w:r>
        <w:rPr>
          <w:rFonts w:eastAsia="Calibri" w:cstheme="minorHAnsi"/>
          <w:bCs/>
          <w:sz w:val="26"/>
          <w:szCs w:val="26"/>
        </w:rPr>
        <w:t xml:space="preserve"> indicated that the </w:t>
      </w:r>
      <w:r w:rsidR="003F1FB0">
        <w:rPr>
          <w:rFonts w:eastAsia="Calibri" w:cstheme="minorHAnsi"/>
          <w:bCs/>
          <w:sz w:val="26"/>
          <w:szCs w:val="26"/>
        </w:rPr>
        <w:t>V</w:t>
      </w:r>
      <w:r>
        <w:rPr>
          <w:rFonts w:eastAsia="Calibri" w:cstheme="minorHAnsi"/>
          <w:bCs/>
          <w:sz w:val="26"/>
          <w:szCs w:val="26"/>
        </w:rPr>
        <w:t xml:space="preserve">ictim had injuries in her private parts which injuries could only have been the result of forcible sexual intercourse performed on the </w:t>
      </w:r>
      <w:r w:rsidR="003F1FB0">
        <w:rPr>
          <w:rFonts w:eastAsia="Calibri" w:cstheme="minorHAnsi"/>
          <w:bCs/>
          <w:sz w:val="26"/>
          <w:szCs w:val="26"/>
        </w:rPr>
        <w:t>V</w:t>
      </w:r>
      <w:r>
        <w:rPr>
          <w:rFonts w:eastAsia="Calibri" w:cstheme="minorHAnsi"/>
          <w:bCs/>
          <w:sz w:val="26"/>
          <w:szCs w:val="26"/>
        </w:rPr>
        <w:t>ictim by the accused. The prosecution further</w:t>
      </w:r>
      <w:r w:rsidR="00471805">
        <w:rPr>
          <w:rFonts w:eastAsia="Calibri" w:cstheme="minorHAnsi"/>
          <w:bCs/>
          <w:sz w:val="26"/>
          <w:szCs w:val="26"/>
        </w:rPr>
        <w:t xml:space="preserve"> </w:t>
      </w:r>
      <w:r w:rsidR="007D11EC">
        <w:rPr>
          <w:rFonts w:eastAsia="Calibri" w:cstheme="minorHAnsi"/>
          <w:bCs/>
          <w:sz w:val="26"/>
          <w:szCs w:val="26"/>
        </w:rPr>
        <w:t xml:space="preserve">placed reliance on a Charge and Caution Statement by the accused admitted in evidence as </w:t>
      </w:r>
      <w:r w:rsidR="007D11EC" w:rsidRPr="00C058B4">
        <w:rPr>
          <w:rFonts w:eastAsia="Calibri" w:cstheme="minorHAnsi"/>
          <w:b/>
          <w:bCs/>
          <w:sz w:val="26"/>
          <w:szCs w:val="26"/>
        </w:rPr>
        <w:t>PE 3</w:t>
      </w:r>
      <w:r w:rsidR="00000427">
        <w:rPr>
          <w:rFonts w:eastAsia="Calibri" w:cstheme="minorHAnsi"/>
          <w:bCs/>
          <w:sz w:val="26"/>
          <w:szCs w:val="26"/>
        </w:rPr>
        <w:t xml:space="preserve">. In the said statement the </w:t>
      </w:r>
      <w:r w:rsidR="003F1FB0">
        <w:rPr>
          <w:rFonts w:eastAsia="Calibri" w:cstheme="minorHAnsi"/>
          <w:bCs/>
          <w:sz w:val="26"/>
          <w:szCs w:val="26"/>
        </w:rPr>
        <w:t>A</w:t>
      </w:r>
      <w:r w:rsidR="00000427">
        <w:rPr>
          <w:rFonts w:eastAsia="Calibri" w:cstheme="minorHAnsi"/>
          <w:bCs/>
          <w:sz w:val="26"/>
          <w:szCs w:val="26"/>
        </w:rPr>
        <w:t xml:space="preserve">ccused had supposedly confessed to performing sexual intercourse in exchange for a promise of Ten Thousand Shillings (UGX 10,000) and that the </w:t>
      </w:r>
      <w:r w:rsidR="003F1FB0">
        <w:rPr>
          <w:rFonts w:eastAsia="Calibri" w:cstheme="minorHAnsi"/>
          <w:bCs/>
          <w:sz w:val="26"/>
          <w:szCs w:val="26"/>
        </w:rPr>
        <w:t>V</w:t>
      </w:r>
      <w:r w:rsidR="00000427">
        <w:rPr>
          <w:rFonts w:eastAsia="Calibri" w:cstheme="minorHAnsi"/>
          <w:bCs/>
          <w:sz w:val="26"/>
          <w:szCs w:val="26"/>
        </w:rPr>
        <w:t>ictim had cut him because he had failed to pay up after the act.</w:t>
      </w:r>
    </w:p>
    <w:p w14:paraId="08C8BA32" w14:textId="5ABB7168" w:rsidR="00000427" w:rsidRDefault="00000427" w:rsidP="008B65B9">
      <w:pPr>
        <w:spacing w:after="200" w:line="360" w:lineRule="auto"/>
        <w:jc w:val="both"/>
        <w:rPr>
          <w:rFonts w:eastAsia="Calibri" w:cstheme="minorHAnsi"/>
          <w:bCs/>
          <w:sz w:val="26"/>
          <w:szCs w:val="26"/>
        </w:rPr>
      </w:pPr>
      <w:r>
        <w:rPr>
          <w:rFonts w:eastAsia="Calibri" w:cstheme="minorHAnsi"/>
          <w:bCs/>
          <w:sz w:val="26"/>
          <w:szCs w:val="26"/>
        </w:rPr>
        <w:t xml:space="preserve">The </w:t>
      </w:r>
      <w:r w:rsidR="003F1FB0">
        <w:rPr>
          <w:rFonts w:eastAsia="Calibri" w:cstheme="minorHAnsi"/>
          <w:bCs/>
          <w:sz w:val="26"/>
          <w:szCs w:val="26"/>
        </w:rPr>
        <w:t>P</w:t>
      </w:r>
      <w:r>
        <w:rPr>
          <w:rFonts w:eastAsia="Calibri" w:cstheme="minorHAnsi"/>
          <w:bCs/>
          <w:sz w:val="26"/>
          <w:szCs w:val="26"/>
        </w:rPr>
        <w:t xml:space="preserve">rosecution further relied on the testimony of </w:t>
      </w:r>
      <w:r w:rsidRPr="00C058B4">
        <w:rPr>
          <w:rFonts w:eastAsia="Calibri" w:cstheme="minorHAnsi"/>
          <w:b/>
          <w:bCs/>
          <w:sz w:val="26"/>
          <w:szCs w:val="26"/>
        </w:rPr>
        <w:t>PW5</w:t>
      </w:r>
      <w:r>
        <w:rPr>
          <w:rFonts w:eastAsia="Calibri" w:cstheme="minorHAnsi"/>
          <w:bCs/>
          <w:sz w:val="26"/>
          <w:szCs w:val="26"/>
        </w:rPr>
        <w:t xml:space="preserve"> with respect to proving that </w:t>
      </w:r>
      <w:r w:rsidR="009465A5">
        <w:rPr>
          <w:rFonts w:eastAsia="Calibri" w:cstheme="minorHAnsi"/>
          <w:bCs/>
          <w:sz w:val="26"/>
          <w:szCs w:val="26"/>
        </w:rPr>
        <w:t xml:space="preserve">the </w:t>
      </w:r>
      <w:r w:rsidR="00142B5C">
        <w:rPr>
          <w:rFonts w:eastAsia="Calibri" w:cstheme="minorHAnsi"/>
          <w:bCs/>
          <w:sz w:val="26"/>
          <w:szCs w:val="26"/>
        </w:rPr>
        <w:t>A</w:t>
      </w:r>
      <w:r w:rsidR="009465A5">
        <w:rPr>
          <w:rFonts w:eastAsia="Calibri" w:cstheme="minorHAnsi"/>
          <w:bCs/>
          <w:sz w:val="26"/>
          <w:szCs w:val="26"/>
        </w:rPr>
        <w:t xml:space="preserve">ccused </w:t>
      </w:r>
      <w:proofErr w:type="gramStart"/>
      <w:r w:rsidR="009465A5">
        <w:rPr>
          <w:rFonts w:eastAsia="Calibri" w:cstheme="minorHAnsi"/>
          <w:bCs/>
          <w:sz w:val="26"/>
          <w:szCs w:val="26"/>
        </w:rPr>
        <w:t xml:space="preserve">had been properly identified and argued that </w:t>
      </w:r>
      <w:r w:rsidR="009465A5" w:rsidRPr="00C058B4">
        <w:rPr>
          <w:rFonts w:eastAsia="Calibri" w:cstheme="minorHAnsi"/>
          <w:b/>
          <w:bCs/>
          <w:sz w:val="26"/>
          <w:szCs w:val="26"/>
        </w:rPr>
        <w:t>PW5</w:t>
      </w:r>
      <w:r w:rsidR="009465A5">
        <w:rPr>
          <w:rFonts w:eastAsia="Calibri" w:cstheme="minorHAnsi"/>
          <w:bCs/>
          <w:sz w:val="26"/>
          <w:szCs w:val="26"/>
        </w:rPr>
        <w:t xml:space="preserve"> had seen the </w:t>
      </w:r>
      <w:r w:rsidR="00142B5C">
        <w:rPr>
          <w:rFonts w:eastAsia="Calibri" w:cstheme="minorHAnsi"/>
          <w:bCs/>
          <w:sz w:val="26"/>
          <w:szCs w:val="26"/>
        </w:rPr>
        <w:t>A</w:t>
      </w:r>
      <w:r w:rsidR="009465A5">
        <w:rPr>
          <w:rFonts w:eastAsia="Calibri" w:cstheme="minorHAnsi"/>
          <w:bCs/>
          <w:sz w:val="26"/>
          <w:szCs w:val="26"/>
        </w:rPr>
        <w:t>ccused at least two other times prior to the act and that the offence was committed in broad daylight</w:t>
      </w:r>
      <w:proofErr w:type="gramEnd"/>
      <w:r w:rsidR="009465A5">
        <w:rPr>
          <w:rFonts w:eastAsia="Calibri" w:cstheme="minorHAnsi"/>
          <w:bCs/>
          <w:sz w:val="26"/>
          <w:szCs w:val="26"/>
        </w:rPr>
        <w:t xml:space="preserve">. </w:t>
      </w:r>
      <w:proofErr w:type="gramStart"/>
      <w:r w:rsidR="009465A5">
        <w:rPr>
          <w:rFonts w:eastAsia="Calibri" w:cstheme="minorHAnsi"/>
          <w:bCs/>
          <w:sz w:val="26"/>
          <w:szCs w:val="26"/>
        </w:rPr>
        <w:t xml:space="preserve">The </w:t>
      </w:r>
      <w:r w:rsidR="005C2503">
        <w:rPr>
          <w:rFonts w:eastAsia="Calibri" w:cstheme="minorHAnsi"/>
          <w:bCs/>
          <w:sz w:val="26"/>
          <w:szCs w:val="26"/>
        </w:rPr>
        <w:t>P</w:t>
      </w:r>
      <w:r w:rsidR="009465A5">
        <w:rPr>
          <w:rFonts w:eastAsia="Calibri" w:cstheme="minorHAnsi"/>
          <w:bCs/>
          <w:sz w:val="26"/>
          <w:szCs w:val="26"/>
        </w:rPr>
        <w:t xml:space="preserve">rosecution further relied upon the testimony of </w:t>
      </w:r>
      <w:r w:rsidR="009465A5" w:rsidRPr="00C058B4">
        <w:rPr>
          <w:rFonts w:eastAsia="Calibri" w:cstheme="minorHAnsi"/>
          <w:b/>
          <w:bCs/>
          <w:sz w:val="26"/>
          <w:szCs w:val="26"/>
        </w:rPr>
        <w:t xml:space="preserve">PW4 </w:t>
      </w:r>
      <w:r w:rsidR="009465A5">
        <w:rPr>
          <w:rFonts w:eastAsia="Calibri" w:cstheme="minorHAnsi"/>
          <w:bCs/>
          <w:sz w:val="26"/>
          <w:szCs w:val="26"/>
        </w:rPr>
        <w:t xml:space="preserve">who was the first to respond to the alarm of the </w:t>
      </w:r>
      <w:r w:rsidR="005C2503">
        <w:rPr>
          <w:rFonts w:eastAsia="Calibri" w:cstheme="minorHAnsi"/>
          <w:bCs/>
          <w:sz w:val="26"/>
          <w:szCs w:val="26"/>
        </w:rPr>
        <w:t>V</w:t>
      </w:r>
      <w:r w:rsidR="009465A5">
        <w:rPr>
          <w:rFonts w:eastAsia="Calibri" w:cstheme="minorHAnsi"/>
          <w:bCs/>
          <w:sz w:val="26"/>
          <w:szCs w:val="26"/>
        </w:rPr>
        <w:t xml:space="preserve">ictim and had witnessed the accused standing in the </w:t>
      </w:r>
      <w:r w:rsidR="009465A5">
        <w:rPr>
          <w:rFonts w:eastAsia="Calibri" w:cstheme="minorHAnsi"/>
          <w:bCs/>
          <w:sz w:val="26"/>
          <w:szCs w:val="26"/>
        </w:rPr>
        <w:lastRenderedPageBreak/>
        <w:t xml:space="preserve">doorway to the </w:t>
      </w:r>
      <w:r w:rsidR="005C2503">
        <w:rPr>
          <w:rFonts w:eastAsia="Calibri" w:cstheme="minorHAnsi"/>
          <w:bCs/>
          <w:sz w:val="26"/>
          <w:szCs w:val="26"/>
        </w:rPr>
        <w:t>V</w:t>
      </w:r>
      <w:r w:rsidR="009465A5">
        <w:rPr>
          <w:rFonts w:eastAsia="Calibri" w:cstheme="minorHAnsi"/>
          <w:bCs/>
          <w:sz w:val="26"/>
          <w:szCs w:val="26"/>
        </w:rPr>
        <w:t>ictim’s house with bleeding injuries to his head and arm.</w:t>
      </w:r>
      <w:proofErr w:type="gramEnd"/>
      <w:r w:rsidR="009465A5">
        <w:rPr>
          <w:rFonts w:eastAsia="Calibri" w:cstheme="minorHAnsi"/>
          <w:bCs/>
          <w:sz w:val="26"/>
          <w:szCs w:val="26"/>
        </w:rPr>
        <w:t xml:space="preserve"> The </w:t>
      </w:r>
      <w:r w:rsidR="005C2503">
        <w:rPr>
          <w:rFonts w:eastAsia="Calibri" w:cstheme="minorHAnsi"/>
          <w:bCs/>
          <w:sz w:val="26"/>
          <w:szCs w:val="26"/>
        </w:rPr>
        <w:t>P</w:t>
      </w:r>
      <w:r w:rsidR="009465A5">
        <w:rPr>
          <w:rFonts w:eastAsia="Calibri" w:cstheme="minorHAnsi"/>
          <w:bCs/>
          <w:sz w:val="26"/>
          <w:szCs w:val="26"/>
        </w:rPr>
        <w:t>rosecution averred that all this evidence was consistent with the accused’s own statement</w:t>
      </w:r>
      <w:r w:rsidR="00C21245">
        <w:rPr>
          <w:rFonts w:eastAsia="Calibri" w:cstheme="minorHAnsi"/>
          <w:bCs/>
          <w:sz w:val="26"/>
          <w:szCs w:val="26"/>
        </w:rPr>
        <w:t>,</w:t>
      </w:r>
      <w:r w:rsidR="009465A5">
        <w:rPr>
          <w:rFonts w:eastAsia="Calibri" w:cstheme="minorHAnsi"/>
          <w:bCs/>
          <w:sz w:val="26"/>
          <w:szCs w:val="26"/>
        </w:rPr>
        <w:t xml:space="preserve"> </w:t>
      </w:r>
      <w:r w:rsidR="009465A5" w:rsidRPr="006F1902">
        <w:rPr>
          <w:rFonts w:eastAsia="Calibri" w:cstheme="minorHAnsi"/>
          <w:b/>
          <w:bCs/>
          <w:sz w:val="26"/>
          <w:szCs w:val="26"/>
        </w:rPr>
        <w:t>PE 3</w:t>
      </w:r>
      <w:r w:rsidR="00C21245">
        <w:rPr>
          <w:rFonts w:eastAsia="Calibri" w:cstheme="minorHAnsi"/>
          <w:bCs/>
          <w:sz w:val="26"/>
          <w:szCs w:val="26"/>
        </w:rPr>
        <w:t>,</w:t>
      </w:r>
      <w:r w:rsidR="009465A5">
        <w:rPr>
          <w:rFonts w:eastAsia="Calibri" w:cstheme="minorHAnsi"/>
          <w:bCs/>
          <w:sz w:val="26"/>
          <w:szCs w:val="26"/>
        </w:rPr>
        <w:t xml:space="preserve"> in which he confessed that </w:t>
      </w:r>
      <w:proofErr w:type="gramStart"/>
      <w:r w:rsidR="009465A5">
        <w:rPr>
          <w:rFonts w:eastAsia="Calibri" w:cstheme="minorHAnsi"/>
          <w:bCs/>
          <w:sz w:val="26"/>
          <w:szCs w:val="26"/>
        </w:rPr>
        <w:t>he had been cut by the victim</w:t>
      </w:r>
      <w:proofErr w:type="gramEnd"/>
      <w:r w:rsidR="009465A5">
        <w:rPr>
          <w:rFonts w:eastAsia="Calibri" w:cstheme="minorHAnsi"/>
          <w:bCs/>
          <w:sz w:val="26"/>
          <w:szCs w:val="26"/>
        </w:rPr>
        <w:t xml:space="preserve"> after he denied her the money he had promised her after performing a sexual act with her.</w:t>
      </w:r>
    </w:p>
    <w:p w14:paraId="61F13887" w14:textId="0ABEA9C0" w:rsidR="00C24EF9" w:rsidRDefault="00C24EF9" w:rsidP="008B65B9">
      <w:pPr>
        <w:spacing w:after="200" w:line="360" w:lineRule="auto"/>
        <w:jc w:val="both"/>
        <w:rPr>
          <w:rFonts w:eastAsia="Calibri" w:cstheme="minorHAnsi"/>
          <w:bCs/>
          <w:sz w:val="26"/>
          <w:szCs w:val="26"/>
        </w:rPr>
      </w:pPr>
      <w:r>
        <w:rPr>
          <w:rFonts w:eastAsia="Calibri" w:cstheme="minorHAnsi"/>
          <w:bCs/>
          <w:sz w:val="26"/>
          <w:szCs w:val="26"/>
        </w:rPr>
        <w:t xml:space="preserve">The Prosecution contended that the evidence presented proved beyond reasonable doubt that the </w:t>
      </w:r>
      <w:r w:rsidR="00C21245">
        <w:rPr>
          <w:rFonts w:eastAsia="Calibri" w:cstheme="minorHAnsi"/>
          <w:bCs/>
          <w:sz w:val="26"/>
          <w:szCs w:val="26"/>
        </w:rPr>
        <w:t>A</w:t>
      </w:r>
      <w:r>
        <w:rPr>
          <w:rFonts w:eastAsia="Calibri" w:cstheme="minorHAnsi"/>
          <w:bCs/>
          <w:sz w:val="26"/>
          <w:szCs w:val="26"/>
        </w:rPr>
        <w:t>ccused was guilty of the offence for which he was indicted.</w:t>
      </w:r>
      <w:r w:rsidR="001C0FA5">
        <w:rPr>
          <w:rFonts w:eastAsia="Calibri" w:cstheme="minorHAnsi"/>
          <w:bCs/>
          <w:sz w:val="26"/>
          <w:szCs w:val="26"/>
        </w:rPr>
        <w:t xml:space="preserve"> </w:t>
      </w:r>
    </w:p>
    <w:p w14:paraId="092F653D" w14:textId="121BDC7E" w:rsidR="009465A5" w:rsidRDefault="009465A5" w:rsidP="008B65B9">
      <w:pPr>
        <w:spacing w:after="200" w:line="360" w:lineRule="auto"/>
        <w:jc w:val="both"/>
        <w:rPr>
          <w:rFonts w:eastAsia="Calibri" w:cstheme="minorHAnsi"/>
          <w:bCs/>
          <w:sz w:val="26"/>
          <w:szCs w:val="26"/>
        </w:rPr>
      </w:pPr>
      <w:r>
        <w:rPr>
          <w:rFonts w:eastAsia="Calibri" w:cstheme="minorHAnsi"/>
          <w:bCs/>
          <w:sz w:val="26"/>
          <w:szCs w:val="26"/>
        </w:rPr>
        <w:t xml:space="preserve">Counsel for the </w:t>
      </w:r>
      <w:r w:rsidR="00C21245">
        <w:rPr>
          <w:rFonts w:eastAsia="Calibri" w:cstheme="minorHAnsi"/>
          <w:bCs/>
          <w:sz w:val="26"/>
          <w:szCs w:val="26"/>
        </w:rPr>
        <w:t>A</w:t>
      </w:r>
      <w:r>
        <w:rPr>
          <w:rFonts w:eastAsia="Calibri" w:cstheme="minorHAnsi"/>
          <w:bCs/>
          <w:sz w:val="26"/>
          <w:szCs w:val="26"/>
        </w:rPr>
        <w:t xml:space="preserve">ccused argued that the </w:t>
      </w:r>
      <w:r w:rsidR="0011501B">
        <w:rPr>
          <w:rFonts w:eastAsia="Calibri" w:cstheme="minorHAnsi"/>
          <w:bCs/>
          <w:sz w:val="26"/>
          <w:szCs w:val="26"/>
        </w:rPr>
        <w:t>P</w:t>
      </w:r>
      <w:r>
        <w:rPr>
          <w:rFonts w:eastAsia="Calibri" w:cstheme="minorHAnsi"/>
          <w:bCs/>
          <w:sz w:val="26"/>
          <w:szCs w:val="26"/>
        </w:rPr>
        <w:t xml:space="preserve">rosecution had not proved the sexual act and insisted that the </w:t>
      </w:r>
      <w:r w:rsidR="0011501B">
        <w:rPr>
          <w:rFonts w:eastAsia="Calibri" w:cstheme="minorHAnsi"/>
          <w:bCs/>
          <w:sz w:val="26"/>
          <w:szCs w:val="26"/>
        </w:rPr>
        <w:t>P</w:t>
      </w:r>
      <w:r>
        <w:rPr>
          <w:rFonts w:eastAsia="Calibri" w:cstheme="minorHAnsi"/>
          <w:bCs/>
          <w:sz w:val="26"/>
          <w:szCs w:val="26"/>
        </w:rPr>
        <w:t xml:space="preserve">rosecution case was based upon grave inconsistencies. The </w:t>
      </w:r>
      <w:proofErr w:type="spellStart"/>
      <w:r w:rsidR="0011501B">
        <w:rPr>
          <w:rFonts w:eastAsia="Calibri" w:cstheme="minorHAnsi"/>
          <w:bCs/>
          <w:sz w:val="26"/>
          <w:szCs w:val="26"/>
        </w:rPr>
        <w:t>Defence</w:t>
      </w:r>
      <w:proofErr w:type="spellEnd"/>
      <w:r>
        <w:rPr>
          <w:rFonts w:eastAsia="Calibri" w:cstheme="minorHAnsi"/>
          <w:bCs/>
          <w:sz w:val="26"/>
          <w:szCs w:val="26"/>
        </w:rPr>
        <w:t xml:space="preserve"> a</w:t>
      </w:r>
      <w:r w:rsidR="00F422F6">
        <w:rPr>
          <w:rFonts w:eastAsia="Calibri" w:cstheme="minorHAnsi"/>
          <w:bCs/>
          <w:sz w:val="26"/>
          <w:szCs w:val="26"/>
        </w:rPr>
        <w:t>r</w:t>
      </w:r>
      <w:r>
        <w:rPr>
          <w:rFonts w:eastAsia="Calibri" w:cstheme="minorHAnsi"/>
          <w:bCs/>
          <w:sz w:val="26"/>
          <w:szCs w:val="26"/>
        </w:rPr>
        <w:t xml:space="preserve">gued that PW5’s explanation of the events of that morning did not add up. PW5 had stated during examination in chief that the </w:t>
      </w:r>
      <w:r w:rsidR="006B7329">
        <w:rPr>
          <w:rFonts w:eastAsia="Calibri" w:cstheme="minorHAnsi"/>
          <w:bCs/>
          <w:sz w:val="26"/>
          <w:szCs w:val="26"/>
        </w:rPr>
        <w:t>A</w:t>
      </w:r>
      <w:r>
        <w:rPr>
          <w:rFonts w:eastAsia="Calibri" w:cstheme="minorHAnsi"/>
          <w:bCs/>
          <w:sz w:val="26"/>
          <w:szCs w:val="26"/>
        </w:rPr>
        <w:t xml:space="preserve">ccused had accosted her in her room where she had been asleep in a petticoat but upon </w:t>
      </w:r>
      <w:proofErr w:type="gramStart"/>
      <w:r>
        <w:rPr>
          <w:rFonts w:eastAsia="Calibri" w:cstheme="minorHAnsi"/>
          <w:bCs/>
          <w:sz w:val="26"/>
          <w:szCs w:val="26"/>
        </w:rPr>
        <w:t>cross-examination</w:t>
      </w:r>
      <w:proofErr w:type="gramEnd"/>
      <w:r>
        <w:rPr>
          <w:rFonts w:eastAsia="Calibri" w:cstheme="minorHAnsi"/>
          <w:bCs/>
          <w:sz w:val="26"/>
          <w:szCs w:val="26"/>
        </w:rPr>
        <w:t xml:space="preserve"> she stated that she had heard someone knock at the gate and had woken up</w:t>
      </w:r>
      <w:r w:rsidR="001E2C8B">
        <w:rPr>
          <w:rFonts w:eastAsia="Calibri" w:cstheme="minorHAnsi"/>
          <w:bCs/>
          <w:sz w:val="26"/>
          <w:szCs w:val="26"/>
        </w:rPr>
        <w:t>. She had explained that prior to this she had woken up and gone outside to release the chickens and had also been left with a baby in her care which baby she said she had left outside and gone back inside the house to sleep as she was still feeling tired. Counsel for the</w:t>
      </w:r>
      <w:r w:rsidR="006B7329">
        <w:rPr>
          <w:rFonts w:eastAsia="Calibri" w:cstheme="minorHAnsi"/>
          <w:bCs/>
          <w:sz w:val="26"/>
          <w:szCs w:val="26"/>
        </w:rPr>
        <w:t xml:space="preserve"> A</w:t>
      </w:r>
      <w:r w:rsidR="001E2C8B">
        <w:rPr>
          <w:rFonts w:eastAsia="Calibri" w:cstheme="minorHAnsi"/>
          <w:bCs/>
          <w:sz w:val="26"/>
          <w:szCs w:val="26"/>
        </w:rPr>
        <w:t xml:space="preserve">ccused argued that it did not make sense for a rational person to leave a baby outside unattended and go back into the house to sleep. Counsel for the </w:t>
      </w:r>
      <w:r w:rsidR="006B7329">
        <w:rPr>
          <w:rFonts w:eastAsia="Calibri" w:cstheme="minorHAnsi"/>
          <w:bCs/>
          <w:sz w:val="26"/>
          <w:szCs w:val="26"/>
        </w:rPr>
        <w:t>A</w:t>
      </w:r>
      <w:r w:rsidR="001E2C8B">
        <w:rPr>
          <w:rFonts w:eastAsia="Calibri" w:cstheme="minorHAnsi"/>
          <w:bCs/>
          <w:sz w:val="26"/>
          <w:szCs w:val="26"/>
        </w:rPr>
        <w:t>ccused contended that while Section 133 of the Evidence Act requires no particular number of witnesses for the proof of any fact, what mattered was whether the testimony of PW5 was truthful.</w:t>
      </w:r>
      <w:r w:rsidR="001C0FA5">
        <w:rPr>
          <w:rFonts w:eastAsia="Calibri" w:cstheme="minorHAnsi"/>
          <w:bCs/>
          <w:sz w:val="26"/>
          <w:szCs w:val="26"/>
        </w:rPr>
        <w:t xml:space="preserve"> To that end, Counsel cited decisions of the Supreme Court in </w:t>
      </w:r>
      <w:r w:rsidR="001C0FA5" w:rsidRPr="000567A3">
        <w:rPr>
          <w:rFonts w:eastAsia="Calibri" w:cstheme="minorHAnsi"/>
          <w:b/>
          <w:sz w:val="26"/>
          <w:szCs w:val="26"/>
        </w:rPr>
        <w:t>Livingstone Sewanyana v Uganda – Criminal Appeal No 19 of 2006</w:t>
      </w:r>
      <w:r w:rsidR="001C0FA5">
        <w:rPr>
          <w:rFonts w:eastAsia="Calibri" w:cstheme="minorHAnsi"/>
          <w:bCs/>
          <w:sz w:val="26"/>
          <w:szCs w:val="26"/>
        </w:rPr>
        <w:t xml:space="preserve"> and </w:t>
      </w:r>
      <w:proofErr w:type="spellStart"/>
      <w:r w:rsidR="001C0FA5" w:rsidRPr="000567A3">
        <w:rPr>
          <w:rFonts w:eastAsia="Calibri" w:cstheme="minorHAnsi"/>
          <w:b/>
          <w:sz w:val="26"/>
          <w:szCs w:val="26"/>
        </w:rPr>
        <w:t>Ntambala</w:t>
      </w:r>
      <w:proofErr w:type="spellEnd"/>
      <w:r w:rsidR="001C0FA5" w:rsidRPr="000567A3">
        <w:rPr>
          <w:rFonts w:eastAsia="Calibri" w:cstheme="minorHAnsi"/>
          <w:b/>
          <w:sz w:val="26"/>
          <w:szCs w:val="26"/>
        </w:rPr>
        <w:t xml:space="preserve"> Fred v Uganda – Criminal Appeal No 34 of 2015</w:t>
      </w:r>
      <w:r w:rsidR="001C0FA5">
        <w:rPr>
          <w:rFonts w:eastAsia="Calibri" w:cstheme="minorHAnsi"/>
          <w:bCs/>
          <w:sz w:val="26"/>
          <w:szCs w:val="26"/>
        </w:rPr>
        <w:t xml:space="preserve"> where in both cases the </w:t>
      </w:r>
      <w:r w:rsidR="00D4432B">
        <w:rPr>
          <w:rFonts w:eastAsia="Calibri" w:cstheme="minorHAnsi"/>
          <w:bCs/>
          <w:sz w:val="26"/>
          <w:szCs w:val="26"/>
        </w:rPr>
        <w:t>C</w:t>
      </w:r>
      <w:r w:rsidR="001C0FA5">
        <w:rPr>
          <w:rFonts w:eastAsia="Calibri" w:cstheme="minorHAnsi"/>
          <w:bCs/>
          <w:sz w:val="26"/>
          <w:szCs w:val="26"/>
        </w:rPr>
        <w:t xml:space="preserve">ourt </w:t>
      </w:r>
      <w:r w:rsidR="006D6E06">
        <w:rPr>
          <w:rFonts w:eastAsia="Calibri" w:cstheme="minorHAnsi"/>
          <w:bCs/>
          <w:sz w:val="26"/>
          <w:szCs w:val="26"/>
        </w:rPr>
        <w:t>emphasized the need for single witnesses in sexual offences to be reliable and truthful.</w:t>
      </w:r>
    </w:p>
    <w:p w14:paraId="2429F1FC" w14:textId="3A0C7E48" w:rsidR="00050EE7" w:rsidRDefault="001E2C8B" w:rsidP="008B65B9">
      <w:pPr>
        <w:spacing w:after="200" w:line="360" w:lineRule="auto"/>
        <w:jc w:val="both"/>
        <w:rPr>
          <w:rFonts w:eastAsia="Calibri" w:cstheme="minorHAnsi"/>
          <w:bCs/>
          <w:sz w:val="26"/>
          <w:szCs w:val="26"/>
        </w:rPr>
      </w:pPr>
      <w:proofErr w:type="gramStart"/>
      <w:r>
        <w:rPr>
          <w:rFonts w:eastAsia="Calibri" w:cstheme="minorHAnsi"/>
          <w:bCs/>
          <w:sz w:val="26"/>
          <w:szCs w:val="26"/>
        </w:rPr>
        <w:t xml:space="preserve">Counsel for the </w:t>
      </w:r>
      <w:r w:rsidR="00D4432B">
        <w:rPr>
          <w:rFonts w:eastAsia="Calibri" w:cstheme="minorHAnsi"/>
          <w:bCs/>
          <w:sz w:val="26"/>
          <w:szCs w:val="26"/>
        </w:rPr>
        <w:t>A</w:t>
      </w:r>
      <w:r>
        <w:rPr>
          <w:rFonts w:eastAsia="Calibri" w:cstheme="minorHAnsi"/>
          <w:bCs/>
          <w:sz w:val="26"/>
          <w:szCs w:val="26"/>
        </w:rPr>
        <w:t xml:space="preserve">ccused further argued that the evidence of the medical report </w:t>
      </w:r>
      <w:r w:rsidRPr="00C058B4">
        <w:rPr>
          <w:rFonts w:eastAsia="Calibri" w:cstheme="minorHAnsi"/>
          <w:b/>
          <w:bCs/>
          <w:sz w:val="26"/>
          <w:szCs w:val="26"/>
        </w:rPr>
        <w:t>PE 1</w:t>
      </w:r>
      <w:r>
        <w:rPr>
          <w:rFonts w:eastAsia="Calibri" w:cstheme="minorHAnsi"/>
          <w:bCs/>
          <w:sz w:val="26"/>
          <w:szCs w:val="26"/>
        </w:rPr>
        <w:t xml:space="preserve"> relied upon by the </w:t>
      </w:r>
      <w:r w:rsidR="00930DF7">
        <w:rPr>
          <w:rFonts w:eastAsia="Calibri" w:cstheme="minorHAnsi"/>
          <w:bCs/>
          <w:sz w:val="26"/>
          <w:szCs w:val="26"/>
        </w:rPr>
        <w:t>P</w:t>
      </w:r>
      <w:r>
        <w:rPr>
          <w:rFonts w:eastAsia="Calibri" w:cstheme="minorHAnsi"/>
          <w:bCs/>
          <w:sz w:val="26"/>
          <w:szCs w:val="26"/>
        </w:rPr>
        <w:t>rosecution in corroboration of PW5</w:t>
      </w:r>
      <w:r w:rsidR="00930DF7">
        <w:rPr>
          <w:rFonts w:eastAsia="Calibri" w:cstheme="minorHAnsi"/>
          <w:bCs/>
          <w:sz w:val="26"/>
          <w:szCs w:val="26"/>
        </w:rPr>
        <w:t>’</w:t>
      </w:r>
      <w:r>
        <w:rPr>
          <w:rFonts w:eastAsia="Calibri" w:cstheme="minorHAnsi"/>
          <w:bCs/>
          <w:sz w:val="26"/>
          <w:szCs w:val="26"/>
        </w:rPr>
        <w:t>s evidence was unreliable in as much as whereas the defilement had</w:t>
      </w:r>
      <w:r w:rsidR="001C5CE3">
        <w:rPr>
          <w:rFonts w:eastAsia="Calibri" w:cstheme="minorHAnsi"/>
          <w:bCs/>
          <w:sz w:val="26"/>
          <w:szCs w:val="26"/>
        </w:rPr>
        <w:t xml:space="preserve"> said to have</w:t>
      </w:r>
      <w:r>
        <w:rPr>
          <w:rFonts w:eastAsia="Calibri" w:cstheme="minorHAnsi"/>
          <w:bCs/>
          <w:sz w:val="26"/>
          <w:szCs w:val="26"/>
        </w:rPr>
        <w:t xml:space="preserve"> taken place on 2</w:t>
      </w:r>
      <w:r w:rsidRPr="001E2C8B">
        <w:rPr>
          <w:rFonts w:eastAsia="Calibri" w:cstheme="minorHAnsi"/>
          <w:bCs/>
          <w:sz w:val="26"/>
          <w:szCs w:val="26"/>
          <w:vertAlign w:val="superscript"/>
        </w:rPr>
        <w:t>nd</w:t>
      </w:r>
      <w:r>
        <w:rPr>
          <w:rFonts w:eastAsia="Calibri" w:cstheme="minorHAnsi"/>
          <w:bCs/>
          <w:sz w:val="26"/>
          <w:szCs w:val="26"/>
        </w:rPr>
        <w:t xml:space="preserve"> March 2022, the medical report indicated that the </w:t>
      </w:r>
      <w:r w:rsidR="00930DF7">
        <w:rPr>
          <w:rFonts w:eastAsia="Calibri" w:cstheme="minorHAnsi"/>
          <w:bCs/>
          <w:sz w:val="26"/>
          <w:szCs w:val="26"/>
        </w:rPr>
        <w:t>V</w:t>
      </w:r>
      <w:r>
        <w:rPr>
          <w:rFonts w:eastAsia="Calibri" w:cstheme="minorHAnsi"/>
          <w:bCs/>
          <w:sz w:val="26"/>
          <w:szCs w:val="26"/>
        </w:rPr>
        <w:t>ictim was examined on 15</w:t>
      </w:r>
      <w:r w:rsidRPr="001E2C8B">
        <w:rPr>
          <w:rFonts w:eastAsia="Calibri" w:cstheme="minorHAnsi"/>
          <w:bCs/>
          <w:sz w:val="26"/>
          <w:szCs w:val="26"/>
          <w:vertAlign w:val="superscript"/>
        </w:rPr>
        <w:t>th</w:t>
      </w:r>
      <w:r>
        <w:rPr>
          <w:rFonts w:eastAsia="Calibri" w:cstheme="minorHAnsi"/>
          <w:bCs/>
          <w:sz w:val="26"/>
          <w:szCs w:val="26"/>
        </w:rPr>
        <w:t xml:space="preserve"> March 2022 nearly two weeks after the alleged defilement.</w:t>
      </w:r>
      <w:proofErr w:type="gramEnd"/>
      <w:r w:rsidR="00A146BF">
        <w:rPr>
          <w:rFonts w:eastAsia="Calibri" w:cstheme="minorHAnsi"/>
          <w:bCs/>
          <w:sz w:val="26"/>
          <w:szCs w:val="26"/>
        </w:rPr>
        <w:t xml:space="preserve"> Counsel further argued that contrary to the </w:t>
      </w:r>
      <w:r w:rsidR="00A146BF">
        <w:rPr>
          <w:rFonts w:eastAsia="Calibri" w:cstheme="minorHAnsi"/>
          <w:bCs/>
          <w:sz w:val="26"/>
          <w:szCs w:val="26"/>
        </w:rPr>
        <w:lastRenderedPageBreak/>
        <w:t xml:space="preserve">submissions of the prosecution the report did not disclose any injuries to the </w:t>
      </w:r>
      <w:r w:rsidR="00E76AB1">
        <w:rPr>
          <w:rFonts w:eastAsia="Calibri" w:cstheme="minorHAnsi"/>
          <w:bCs/>
          <w:sz w:val="26"/>
          <w:szCs w:val="26"/>
        </w:rPr>
        <w:t>V</w:t>
      </w:r>
      <w:r w:rsidR="00A146BF">
        <w:rPr>
          <w:rFonts w:eastAsia="Calibri" w:cstheme="minorHAnsi"/>
          <w:bCs/>
          <w:sz w:val="26"/>
          <w:szCs w:val="26"/>
        </w:rPr>
        <w:t xml:space="preserve">ictim’s private parts. Counsel for the </w:t>
      </w:r>
      <w:r w:rsidR="00E76AB1">
        <w:rPr>
          <w:rFonts w:eastAsia="Calibri" w:cstheme="minorHAnsi"/>
          <w:bCs/>
          <w:sz w:val="26"/>
          <w:szCs w:val="26"/>
        </w:rPr>
        <w:t>A</w:t>
      </w:r>
      <w:r w:rsidR="00A146BF">
        <w:rPr>
          <w:rFonts w:eastAsia="Calibri" w:cstheme="minorHAnsi"/>
          <w:bCs/>
          <w:sz w:val="26"/>
          <w:szCs w:val="26"/>
        </w:rPr>
        <w:t xml:space="preserve">ccused also argued that </w:t>
      </w:r>
      <w:r w:rsidR="00A146BF" w:rsidRPr="00C058B4">
        <w:rPr>
          <w:rFonts w:eastAsia="Calibri" w:cstheme="minorHAnsi"/>
          <w:b/>
          <w:bCs/>
          <w:sz w:val="26"/>
          <w:szCs w:val="26"/>
        </w:rPr>
        <w:t>PW4</w:t>
      </w:r>
      <w:r w:rsidR="00A146BF">
        <w:rPr>
          <w:rFonts w:eastAsia="Calibri" w:cstheme="minorHAnsi"/>
          <w:bCs/>
          <w:sz w:val="26"/>
          <w:szCs w:val="26"/>
        </w:rPr>
        <w:t xml:space="preserve"> had testified upon cross-examination that she had witnessed the injuries to the accused she had not seen any signs that the victim </w:t>
      </w:r>
      <w:proofErr w:type="gramStart"/>
      <w:r w:rsidR="00A146BF">
        <w:rPr>
          <w:rFonts w:eastAsia="Calibri" w:cstheme="minorHAnsi"/>
          <w:bCs/>
          <w:sz w:val="26"/>
          <w:szCs w:val="26"/>
        </w:rPr>
        <w:t>had been sexually abused</w:t>
      </w:r>
      <w:proofErr w:type="gramEnd"/>
      <w:r w:rsidR="00A146BF">
        <w:rPr>
          <w:rFonts w:eastAsia="Calibri" w:cstheme="minorHAnsi"/>
          <w:bCs/>
          <w:sz w:val="26"/>
          <w:szCs w:val="26"/>
        </w:rPr>
        <w:t xml:space="preserve">. </w:t>
      </w:r>
      <w:proofErr w:type="gramStart"/>
      <w:r w:rsidR="00A146BF">
        <w:rPr>
          <w:rFonts w:eastAsia="Calibri" w:cstheme="minorHAnsi"/>
          <w:bCs/>
          <w:sz w:val="26"/>
          <w:szCs w:val="26"/>
        </w:rPr>
        <w:t xml:space="preserve">This was because whereas </w:t>
      </w:r>
      <w:r w:rsidR="00A146BF" w:rsidRPr="00C058B4">
        <w:rPr>
          <w:rFonts w:eastAsia="Calibri" w:cstheme="minorHAnsi"/>
          <w:b/>
          <w:bCs/>
          <w:sz w:val="26"/>
          <w:szCs w:val="26"/>
        </w:rPr>
        <w:t>PW5</w:t>
      </w:r>
      <w:r w:rsidR="00A146BF">
        <w:rPr>
          <w:rFonts w:eastAsia="Calibri" w:cstheme="minorHAnsi"/>
          <w:bCs/>
          <w:sz w:val="26"/>
          <w:szCs w:val="26"/>
        </w:rPr>
        <w:t xml:space="preserve"> had stated that she had felt a lot of pain during the act which caused her to make an alarm, </w:t>
      </w:r>
      <w:r w:rsidR="00A146BF" w:rsidRPr="00C058B4">
        <w:rPr>
          <w:rFonts w:eastAsia="Calibri" w:cstheme="minorHAnsi"/>
          <w:b/>
          <w:bCs/>
          <w:sz w:val="26"/>
          <w:szCs w:val="26"/>
        </w:rPr>
        <w:t>PW4</w:t>
      </w:r>
      <w:r w:rsidR="00A146BF">
        <w:rPr>
          <w:rFonts w:eastAsia="Calibri" w:cstheme="minorHAnsi"/>
          <w:bCs/>
          <w:sz w:val="26"/>
          <w:szCs w:val="26"/>
        </w:rPr>
        <w:t xml:space="preserve"> had not observed any </w:t>
      </w:r>
      <w:proofErr w:type="spellStart"/>
      <w:r w:rsidR="00A146BF">
        <w:rPr>
          <w:rFonts w:eastAsia="Calibri" w:cstheme="minorHAnsi"/>
          <w:bCs/>
          <w:sz w:val="26"/>
          <w:szCs w:val="26"/>
        </w:rPr>
        <w:t>behaviour</w:t>
      </w:r>
      <w:proofErr w:type="spellEnd"/>
      <w:r w:rsidR="00A146BF">
        <w:rPr>
          <w:rFonts w:eastAsia="Calibri" w:cstheme="minorHAnsi"/>
          <w:bCs/>
          <w:sz w:val="26"/>
          <w:szCs w:val="26"/>
        </w:rPr>
        <w:t xml:space="preserve"> on the part of </w:t>
      </w:r>
      <w:r w:rsidR="00A146BF" w:rsidRPr="00C058B4">
        <w:rPr>
          <w:rFonts w:eastAsia="Calibri" w:cstheme="minorHAnsi"/>
          <w:b/>
          <w:bCs/>
          <w:sz w:val="26"/>
          <w:szCs w:val="26"/>
        </w:rPr>
        <w:t>PW5</w:t>
      </w:r>
      <w:r w:rsidR="00A146BF">
        <w:rPr>
          <w:rFonts w:eastAsia="Calibri" w:cstheme="minorHAnsi"/>
          <w:bCs/>
          <w:sz w:val="26"/>
          <w:szCs w:val="26"/>
        </w:rPr>
        <w:t xml:space="preserve"> consistent with a person in pain after defilement and had even testified that the accused had gone for a short call which Counsel contended would have been very difficult after defilement.</w:t>
      </w:r>
      <w:proofErr w:type="gramEnd"/>
      <w:r w:rsidR="006D6E06">
        <w:rPr>
          <w:rFonts w:eastAsia="Calibri" w:cstheme="minorHAnsi"/>
          <w:bCs/>
          <w:sz w:val="26"/>
          <w:szCs w:val="26"/>
        </w:rPr>
        <w:t xml:space="preserve"> Counsel argued that these inconsistencies were too grave to be ignored and cited the Supreme Court authorities of </w:t>
      </w:r>
      <w:proofErr w:type="spellStart"/>
      <w:r w:rsidR="006D6E06" w:rsidRPr="000567A3">
        <w:rPr>
          <w:rFonts w:eastAsia="Calibri" w:cstheme="minorHAnsi"/>
          <w:b/>
          <w:sz w:val="26"/>
          <w:szCs w:val="26"/>
        </w:rPr>
        <w:t>Sarapio</w:t>
      </w:r>
      <w:proofErr w:type="spellEnd"/>
      <w:r w:rsidR="006D6E06" w:rsidRPr="000567A3">
        <w:rPr>
          <w:rFonts w:eastAsia="Calibri" w:cstheme="minorHAnsi"/>
          <w:b/>
          <w:sz w:val="26"/>
          <w:szCs w:val="26"/>
        </w:rPr>
        <w:t xml:space="preserve"> </w:t>
      </w:r>
      <w:proofErr w:type="spellStart"/>
      <w:r w:rsidR="006D6E06" w:rsidRPr="000567A3">
        <w:rPr>
          <w:rFonts w:eastAsia="Calibri" w:cstheme="minorHAnsi"/>
          <w:b/>
          <w:sz w:val="26"/>
          <w:szCs w:val="26"/>
        </w:rPr>
        <w:t>Tinkalimire</w:t>
      </w:r>
      <w:proofErr w:type="spellEnd"/>
      <w:r w:rsidR="006D6E06" w:rsidRPr="000567A3">
        <w:rPr>
          <w:rFonts w:eastAsia="Calibri" w:cstheme="minorHAnsi"/>
          <w:b/>
          <w:sz w:val="26"/>
          <w:szCs w:val="26"/>
        </w:rPr>
        <w:t xml:space="preserve"> v Uganda – Criminal Appeal No 27 of 1989</w:t>
      </w:r>
      <w:r w:rsidR="006D6E06">
        <w:rPr>
          <w:rFonts w:eastAsia="Calibri" w:cstheme="minorHAnsi"/>
          <w:bCs/>
          <w:sz w:val="26"/>
          <w:szCs w:val="26"/>
        </w:rPr>
        <w:t xml:space="preserve"> and </w:t>
      </w:r>
      <w:r w:rsidR="006D6E06" w:rsidRPr="000567A3">
        <w:rPr>
          <w:rFonts w:eastAsia="Calibri" w:cstheme="minorHAnsi"/>
          <w:b/>
          <w:sz w:val="26"/>
          <w:szCs w:val="26"/>
        </w:rPr>
        <w:t>Twinomugisha Alex and 2 Others v Uganda – Criminal Appeal No 35 of 2002</w:t>
      </w:r>
      <w:r w:rsidR="006D6E06">
        <w:rPr>
          <w:rFonts w:eastAsia="Calibri" w:cstheme="minorHAnsi"/>
          <w:bCs/>
          <w:sz w:val="26"/>
          <w:szCs w:val="26"/>
        </w:rPr>
        <w:t xml:space="preserve"> as well as the EACA case of </w:t>
      </w:r>
      <w:r w:rsidR="006D6E06" w:rsidRPr="000567A3">
        <w:rPr>
          <w:rFonts w:eastAsia="Calibri" w:cstheme="minorHAnsi"/>
          <w:b/>
          <w:sz w:val="26"/>
          <w:szCs w:val="26"/>
        </w:rPr>
        <w:t xml:space="preserve">Alfred </w:t>
      </w:r>
      <w:proofErr w:type="spellStart"/>
      <w:r w:rsidR="006D6E06" w:rsidRPr="000567A3">
        <w:rPr>
          <w:rFonts w:eastAsia="Calibri" w:cstheme="minorHAnsi"/>
          <w:b/>
          <w:sz w:val="26"/>
          <w:szCs w:val="26"/>
        </w:rPr>
        <w:t>Tajar</w:t>
      </w:r>
      <w:proofErr w:type="spellEnd"/>
      <w:r w:rsidR="006D6E06" w:rsidRPr="000567A3">
        <w:rPr>
          <w:rFonts w:eastAsia="Calibri" w:cstheme="minorHAnsi"/>
          <w:b/>
          <w:sz w:val="26"/>
          <w:szCs w:val="26"/>
        </w:rPr>
        <w:t xml:space="preserve"> v Uganda – Criminal Appeal No 167 of 1969</w:t>
      </w:r>
      <w:r w:rsidR="006D6E06">
        <w:rPr>
          <w:rFonts w:eastAsia="Calibri" w:cstheme="minorHAnsi"/>
          <w:bCs/>
          <w:sz w:val="26"/>
          <w:szCs w:val="26"/>
        </w:rPr>
        <w:t xml:space="preserve"> in support of the fact that major contradictions and inconsistencies unless satisfactorily explained will result in the evidence of witnesses being rejected.</w:t>
      </w:r>
    </w:p>
    <w:p w14:paraId="5424DD62" w14:textId="6AB49898" w:rsidR="00A146BF" w:rsidRDefault="00A146BF" w:rsidP="008B65B9">
      <w:pPr>
        <w:spacing w:after="200" w:line="360" w:lineRule="auto"/>
        <w:jc w:val="both"/>
        <w:rPr>
          <w:rFonts w:eastAsia="Calibri" w:cstheme="minorHAnsi"/>
          <w:bCs/>
          <w:sz w:val="26"/>
          <w:szCs w:val="26"/>
        </w:rPr>
      </w:pPr>
      <w:r>
        <w:rPr>
          <w:rFonts w:eastAsia="Calibri" w:cstheme="minorHAnsi"/>
          <w:bCs/>
          <w:sz w:val="26"/>
          <w:szCs w:val="26"/>
        </w:rPr>
        <w:t xml:space="preserve">The other issue that Counsel for the accused strongly contended was the Charge and Caution statement of the </w:t>
      </w:r>
      <w:r w:rsidR="00E76AB1">
        <w:rPr>
          <w:rFonts w:eastAsia="Calibri" w:cstheme="minorHAnsi"/>
          <w:bCs/>
          <w:sz w:val="26"/>
          <w:szCs w:val="26"/>
        </w:rPr>
        <w:t>A</w:t>
      </w:r>
      <w:r>
        <w:rPr>
          <w:rFonts w:eastAsia="Calibri" w:cstheme="minorHAnsi"/>
          <w:bCs/>
          <w:sz w:val="26"/>
          <w:szCs w:val="26"/>
        </w:rPr>
        <w:t xml:space="preserve">ccused that </w:t>
      </w:r>
      <w:proofErr w:type="gramStart"/>
      <w:r>
        <w:rPr>
          <w:rFonts w:eastAsia="Calibri" w:cstheme="minorHAnsi"/>
          <w:bCs/>
          <w:sz w:val="26"/>
          <w:szCs w:val="26"/>
        </w:rPr>
        <w:t>was admitted</w:t>
      </w:r>
      <w:proofErr w:type="gramEnd"/>
      <w:r>
        <w:rPr>
          <w:rFonts w:eastAsia="Calibri" w:cstheme="minorHAnsi"/>
          <w:bCs/>
          <w:sz w:val="26"/>
          <w:szCs w:val="26"/>
        </w:rPr>
        <w:t xml:space="preserve"> into evidence as </w:t>
      </w:r>
      <w:r w:rsidRPr="00C058B4">
        <w:rPr>
          <w:rFonts w:eastAsia="Calibri" w:cstheme="minorHAnsi"/>
          <w:b/>
          <w:bCs/>
          <w:sz w:val="26"/>
          <w:szCs w:val="26"/>
        </w:rPr>
        <w:t>PE 3</w:t>
      </w:r>
      <w:r>
        <w:rPr>
          <w:rFonts w:eastAsia="Calibri" w:cstheme="minorHAnsi"/>
          <w:bCs/>
          <w:sz w:val="26"/>
          <w:szCs w:val="26"/>
        </w:rPr>
        <w:t>. It was Counsel’s contention that the statement was not made voluntarily contrary to Sections 23 and 24 of the Eviden</w:t>
      </w:r>
      <w:r w:rsidR="00A9342F">
        <w:rPr>
          <w:rFonts w:eastAsia="Calibri" w:cstheme="minorHAnsi"/>
          <w:bCs/>
          <w:sz w:val="26"/>
          <w:szCs w:val="26"/>
        </w:rPr>
        <w:t>ce Act. She contended that the A</w:t>
      </w:r>
      <w:r>
        <w:rPr>
          <w:rFonts w:eastAsia="Calibri" w:cstheme="minorHAnsi"/>
          <w:bCs/>
          <w:sz w:val="26"/>
          <w:szCs w:val="26"/>
        </w:rPr>
        <w:t xml:space="preserve">ccused had testified on oath </w:t>
      </w:r>
      <w:r w:rsidR="00C24EF9">
        <w:rPr>
          <w:rFonts w:eastAsia="Calibri" w:cstheme="minorHAnsi"/>
          <w:bCs/>
          <w:sz w:val="26"/>
          <w:szCs w:val="26"/>
        </w:rPr>
        <w:t xml:space="preserve">that he </w:t>
      </w:r>
      <w:proofErr w:type="gramStart"/>
      <w:r w:rsidR="00C24EF9">
        <w:rPr>
          <w:rFonts w:eastAsia="Calibri" w:cstheme="minorHAnsi"/>
          <w:bCs/>
          <w:sz w:val="26"/>
          <w:szCs w:val="26"/>
        </w:rPr>
        <w:t>had been coerced</w:t>
      </w:r>
      <w:proofErr w:type="gramEnd"/>
      <w:r w:rsidR="00C24EF9">
        <w:rPr>
          <w:rFonts w:eastAsia="Calibri" w:cstheme="minorHAnsi"/>
          <w:bCs/>
          <w:sz w:val="26"/>
          <w:szCs w:val="26"/>
        </w:rPr>
        <w:t xml:space="preserve"> into making the statement. The statement was tendered in by the prosecution as evidence in rebuttal of the </w:t>
      </w:r>
      <w:r w:rsidR="00E76AB1">
        <w:rPr>
          <w:rFonts w:eastAsia="Calibri" w:cstheme="minorHAnsi"/>
          <w:bCs/>
          <w:sz w:val="26"/>
          <w:szCs w:val="26"/>
        </w:rPr>
        <w:t>A</w:t>
      </w:r>
      <w:r w:rsidR="00C24EF9">
        <w:rPr>
          <w:rFonts w:eastAsia="Calibri" w:cstheme="minorHAnsi"/>
          <w:bCs/>
          <w:sz w:val="26"/>
          <w:szCs w:val="26"/>
        </w:rPr>
        <w:t>ccused’s claims that he did not voluntarily admit the offence while in police custody.</w:t>
      </w:r>
      <w:r w:rsidR="006D6E06">
        <w:rPr>
          <w:rFonts w:eastAsia="Calibri" w:cstheme="minorHAnsi"/>
          <w:bCs/>
          <w:sz w:val="26"/>
          <w:szCs w:val="26"/>
        </w:rPr>
        <w:t xml:space="preserve"> Counsel cited </w:t>
      </w:r>
      <w:r w:rsidR="00EB7F81">
        <w:rPr>
          <w:rFonts w:eastAsia="Calibri" w:cstheme="minorHAnsi"/>
          <w:bCs/>
          <w:sz w:val="26"/>
          <w:szCs w:val="26"/>
        </w:rPr>
        <w:t xml:space="preserve">the Supreme Court Case of </w:t>
      </w:r>
      <w:r w:rsidR="00EB7F81" w:rsidRPr="000567A3">
        <w:rPr>
          <w:rFonts w:eastAsia="Calibri" w:cstheme="minorHAnsi"/>
          <w:b/>
          <w:sz w:val="26"/>
          <w:szCs w:val="26"/>
        </w:rPr>
        <w:t>Mumbere v Uganda – Criminal Appeal No 15 of 2014</w:t>
      </w:r>
      <w:r w:rsidR="00EB7F81">
        <w:rPr>
          <w:rFonts w:eastAsia="Calibri" w:cstheme="minorHAnsi"/>
          <w:bCs/>
          <w:sz w:val="26"/>
          <w:szCs w:val="26"/>
        </w:rPr>
        <w:t xml:space="preserve"> in which the Supreme Court adopted the case of </w:t>
      </w:r>
      <w:proofErr w:type="spellStart"/>
      <w:r w:rsidR="00EB7F81" w:rsidRPr="000567A3">
        <w:rPr>
          <w:rFonts w:eastAsia="Calibri" w:cstheme="minorHAnsi"/>
          <w:b/>
          <w:sz w:val="26"/>
          <w:szCs w:val="26"/>
        </w:rPr>
        <w:t>Tuwamoi</w:t>
      </w:r>
      <w:proofErr w:type="spellEnd"/>
      <w:r w:rsidR="00EB7F81" w:rsidRPr="000567A3">
        <w:rPr>
          <w:rFonts w:eastAsia="Calibri" w:cstheme="minorHAnsi"/>
          <w:b/>
          <w:sz w:val="26"/>
          <w:szCs w:val="26"/>
        </w:rPr>
        <w:t xml:space="preserve"> v Uganda</w:t>
      </w:r>
      <w:r w:rsidR="00EB7F81">
        <w:rPr>
          <w:rFonts w:eastAsia="Calibri" w:cstheme="minorHAnsi"/>
          <w:bCs/>
          <w:sz w:val="26"/>
          <w:szCs w:val="26"/>
        </w:rPr>
        <w:t xml:space="preserve"> in which the </w:t>
      </w:r>
      <w:r w:rsidR="00D73202">
        <w:rPr>
          <w:rFonts w:eastAsia="Calibri" w:cstheme="minorHAnsi"/>
          <w:bCs/>
          <w:sz w:val="26"/>
          <w:szCs w:val="26"/>
        </w:rPr>
        <w:t>C</w:t>
      </w:r>
      <w:r w:rsidR="00EB7F81">
        <w:rPr>
          <w:rFonts w:eastAsia="Calibri" w:cstheme="minorHAnsi"/>
          <w:bCs/>
          <w:sz w:val="26"/>
          <w:szCs w:val="26"/>
        </w:rPr>
        <w:t xml:space="preserve">ourt set the standards for admission of retracted and repudiated statements. </w:t>
      </w:r>
      <w:proofErr w:type="gramStart"/>
      <w:r w:rsidR="00EB7F81">
        <w:rPr>
          <w:rFonts w:eastAsia="Calibri" w:cstheme="minorHAnsi"/>
          <w:bCs/>
          <w:sz w:val="26"/>
          <w:szCs w:val="26"/>
        </w:rPr>
        <w:t xml:space="preserve">She further highlighted the  Supreme Court decision in </w:t>
      </w:r>
      <w:r w:rsidR="00EB7F81" w:rsidRPr="000567A3">
        <w:rPr>
          <w:rFonts w:eastAsia="Calibri" w:cstheme="minorHAnsi"/>
          <w:b/>
          <w:sz w:val="26"/>
          <w:szCs w:val="26"/>
        </w:rPr>
        <w:t xml:space="preserve">Amos </w:t>
      </w:r>
      <w:proofErr w:type="spellStart"/>
      <w:r w:rsidR="00EB7F81" w:rsidRPr="000567A3">
        <w:rPr>
          <w:rFonts w:eastAsia="Calibri" w:cstheme="minorHAnsi"/>
          <w:b/>
          <w:sz w:val="26"/>
          <w:szCs w:val="26"/>
        </w:rPr>
        <w:t>Binuge</w:t>
      </w:r>
      <w:proofErr w:type="spellEnd"/>
      <w:r w:rsidR="00EB7F81" w:rsidRPr="000567A3">
        <w:rPr>
          <w:rFonts w:eastAsia="Calibri" w:cstheme="minorHAnsi"/>
          <w:b/>
          <w:sz w:val="26"/>
          <w:szCs w:val="26"/>
        </w:rPr>
        <w:t xml:space="preserve"> v Uganda – Criminal Appeal No 23 of 1989</w:t>
      </w:r>
      <w:r w:rsidR="00EB7F81">
        <w:rPr>
          <w:rFonts w:eastAsia="Calibri" w:cstheme="minorHAnsi"/>
          <w:bCs/>
          <w:sz w:val="26"/>
          <w:szCs w:val="26"/>
        </w:rPr>
        <w:t xml:space="preserve"> wherein the </w:t>
      </w:r>
      <w:r w:rsidR="00D73202">
        <w:rPr>
          <w:rFonts w:eastAsia="Calibri" w:cstheme="minorHAnsi"/>
          <w:bCs/>
          <w:sz w:val="26"/>
          <w:szCs w:val="26"/>
        </w:rPr>
        <w:t>C</w:t>
      </w:r>
      <w:r w:rsidR="00EB7F81">
        <w:rPr>
          <w:rFonts w:eastAsia="Calibri" w:cstheme="minorHAnsi"/>
          <w:bCs/>
          <w:sz w:val="26"/>
          <w:szCs w:val="26"/>
        </w:rPr>
        <w:t xml:space="preserve">ourt held that when the admissibility of an extra-judicial statement is challenged then the </w:t>
      </w:r>
      <w:r w:rsidR="00D73202">
        <w:rPr>
          <w:rFonts w:eastAsia="Calibri" w:cstheme="minorHAnsi"/>
          <w:bCs/>
          <w:sz w:val="26"/>
          <w:szCs w:val="26"/>
        </w:rPr>
        <w:t>A</w:t>
      </w:r>
      <w:r w:rsidR="00EB7F81">
        <w:rPr>
          <w:rFonts w:eastAsia="Calibri" w:cstheme="minorHAnsi"/>
          <w:bCs/>
          <w:sz w:val="26"/>
          <w:szCs w:val="26"/>
        </w:rPr>
        <w:t>ccused must be given a chance to establish by evidence his grounds of objection through a trial within a trial via which the court can decide upon admissibility of the statement.</w:t>
      </w:r>
      <w:proofErr w:type="gramEnd"/>
    </w:p>
    <w:p w14:paraId="5E2E17DD" w14:textId="150C8D3A" w:rsidR="00EB7F81" w:rsidRDefault="00EB7F81" w:rsidP="008B65B9">
      <w:pPr>
        <w:spacing w:after="200" w:line="360" w:lineRule="auto"/>
        <w:jc w:val="both"/>
        <w:rPr>
          <w:rFonts w:eastAsia="Calibri" w:cstheme="minorHAnsi"/>
          <w:bCs/>
          <w:sz w:val="26"/>
          <w:szCs w:val="26"/>
        </w:rPr>
      </w:pPr>
      <w:r>
        <w:rPr>
          <w:rFonts w:eastAsia="Calibri" w:cstheme="minorHAnsi"/>
          <w:bCs/>
          <w:sz w:val="26"/>
          <w:szCs w:val="26"/>
        </w:rPr>
        <w:lastRenderedPageBreak/>
        <w:t xml:space="preserve">Counsel for the </w:t>
      </w:r>
      <w:r w:rsidR="008E0CAC">
        <w:rPr>
          <w:rFonts w:eastAsia="Calibri" w:cstheme="minorHAnsi"/>
          <w:bCs/>
          <w:sz w:val="26"/>
          <w:szCs w:val="26"/>
        </w:rPr>
        <w:t>A</w:t>
      </w:r>
      <w:r>
        <w:rPr>
          <w:rFonts w:eastAsia="Calibri" w:cstheme="minorHAnsi"/>
          <w:bCs/>
          <w:sz w:val="26"/>
          <w:szCs w:val="26"/>
        </w:rPr>
        <w:t xml:space="preserve">ccused also pointed out that the statement had never been read back to him and that the </w:t>
      </w:r>
      <w:r w:rsidR="008E0CAC">
        <w:rPr>
          <w:rFonts w:eastAsia="Calibri" w:cstheme="minorHAnsi"/>
          <w:bCs/>
          <w:sz w:val="26"/>
          <w:szCs w:val="26"/>
        </w:rPr>
        <w:t>A</w:t>
      </w:r>
      <w:r>
        <w:rPr>
          <w:rFonts w:eastAsia="Calibri" w:cstheme="minorHAnsi"/>
          <w:bCs/>
          <w:sz w:val="26"/>
          <w:szCs w:val="26"/>
        </w:rPr>
        <w:t xml:space="preserve">ccused had testified that he was illiterate and that despite the fact that the statement </w:t>
      </w:r>
      <w:proofErr w:type="gramStart"/>
      <w:r>
        <w:rPr>
          <w:rFonts w:eastAsia="Calibri" w:cstheme="minorHAnsi"/>
          <w:bCs/>
          <w:sz w:val="26"/>
          <w:szCs w:val="26"/>
        </w:rPr>
        <w:t>was taken</w:t>
      </w:r>
      <w:proofErr w:type="gramEnd"/>
      <w:r>
        <w:rPr>
          <w:rFonts w:eastAsia="Calibri" w:cstheme="minorHAnsi"/>
          <w:bCs/>
          <w:sz w:val="26"/>
          <w:szCs w:val="26"/>
        </w:rPr>
        <w:t xml:space="preserve"> in Rutooro, it had been </w:t>
      </w:r>
      <w:r w:rsidR="00F86965">
        <w:rPr>
          <w:rFonts w:eastAsia="Calibri" w:cstheme="minorHAnsi"/>
          <w:bCs/>
          <w:sz w:val="26"/>
          <w:szCs w:val="26"/>
        </w:rPr>
        <w:t>written in English and not read back to him.</w:t>
      </w:r>
    </w:p>
    <w:p w14:paraId="455E54D0" w14:textId="56DDCAF1" w:rsidR="00C24EF9" w:rsidRDefault="00C24EF9" w:rsidP="008B65B9">
      <w:pPr>
        <w:spacing w:after="200" w:line="360" w:lineRule="auto"/>
        <w:jc w:val="both"/>
        <w:rPr>
          <w:rFonts w:eastAsia="Calibri" w:cstheme="minorHAnsi"/>
          <w:bCs/>
          <w:sz w:val="26"/>
          <w:szCs w:val="26"/>
        </w:rPr>
      </w:pPr>
      <w:r>
        <w:rPr>
          <w:rFonts w:eastAsia="Calibri" w:cstheme="minorHAnsi"/>
          <w:bCs/>
          <w:sz w:val="26"/>
          <w:szCs w:val="26"/>
        </w:rPr>
        <w:t xml:space="preserve">Counsel for the </w:t>
      </w:r>
      <w:r w:rsidR="008E0CAC">
        <w:rPr>
          <w:rFonts w:eastAsia="Calibri" w:cstheme="minorHAnsi"/>
          <w:bCs/>
          <w:sz w:val="26"/>
          <w:szCs w:val="26"/>
        </w:rPr>
        <w:t>Ac</w:t>
      </w:r>
      <w:r>
        <w:rPr>
          <w:rFonts w:eastAsia="Calibri" w:cstheme="minorHAnsi"/>
          <w:bCs/>
          <w:sz w:val="26"/>
          <w:szCs w:val="26"/>
        </w:rPr>
        <w:t xml:space="preserve">cused contended that </w:t>
      </w:r>
      <w:proofErr w:type="gramStart"/>
      <w:r>
        <w:rPr>
          <w:rFonts w:eastAsia="Calibri" w:cstheme="minorHAnsi"/>
          <w:bCs/>
          <w:sz w:val="26"/>
          <w:szCs w:val="26"/>
        </w:rPr>
        <w:t>on the basis of</w:t>
      </w:r>
      <w:proofErr w:type="gramEnd"/>
      <w:r>
        <w:rPr>
          <w:rFonts w:eastAsia="Calibri" w:cstheme="minorHAnsi"/>
          <w:bCs/>
          <w:sz w:val="26"/>
          <w:szCs w:val="26"/>
        </w:rPr>
        <w:t xml:space="preserve"> the evidence adduced the </w:t>
      </w:r>
      <w:r w:rsidR="008E0CAC">
        <w:rPr>
          <w:rFonts w:eastAsia="Calibri" w:cstheme="minorHAnsi"/>
          <w:bCs/>
          <w:sz w:val="26"/>
          <w:szCs w:val="26"/>
        </w:rPr>
        <w:t>P</w:t>
      </w:r>
      <w:r>
        <w:rPr>
          <w:rFonts w:eastAsia="Calibri" w:cstheme="minorHAnsi"/>
          <w:bCs/>
          <w:sz w:val="26"/>
          <w:szCs w:val="26"/>
        </w:rPr>
        <w:t xml:space="preserve">rosecution had failed to prove </w:t>
      </w:r>
      <w:r w:rsidR="001C0FA5">
        <w:rPr>
          <w:rFonts w:eastAsia="Calibri" w:cstheme="minorHAnsi"/>
          <w:bCs/>
          <w:sz w:val="26"/>
          <w:szCs w:val="26"/>
        </w:rPr>
        <w:t xml:space="preserve">the case against the </w:t>
      </w:r>
      <w:r w:rsidR="003C31B1">
        <w:rPr>
          <w:rFonts w:eastAsia="Calibri" w:cstheme="minorHAnsi"/>
          <w:bCs/>
          <w:sz w:val="26"/>
          <w:szCs w:val="26"/>
        </w:rPr>
        <w:t>A</w:t>
      </w:r>
      <w:r w:rsidR="001C0FA5">
        <w:rPr>
          <w:rFonts w:eastAsia="Calibri" w:cstheme="minorHAnsi"/>
          <w:bCs/>
          <w:sz w:val="26"/>
          <w:szCs w:val="26"/>
        </w:rPr>
        <w:t>ccused beyond reasonable doubt.</w:t>
      </w:r>
    </w:p>
    <w:p w14:paraId="4B6C34AB" w14:textId="7DBE5B6D" w:rsidR="001C0FA5" w:rsidRPr="0090682B" w:rsidRDefault="001C0FA5" w:rsidP="008B65B9">
      <w:pPr>
        <w:spacing w:after="200" w:line="360" w:lineRule="auto"/>
        <w:jc w:val="both"/>
        <w:rPr>
          <w:rFonts w:eastAsia="Calibri" w:cstheme="minorHAnsi"/>
          <w:bCs/>
          <w:sz w:val="26"/>
          <w:szCs w:val="26"/>
        </w:rPr>
      </w:pPr>
      <w:r>
        <w:rPr>
          <w:rFonts w:eastAsia="Calibri" w:cstheme="minorHAnsi"/>
          <w:bCs/>
          <w:sz w:val="26"/>
          <w:szCs w:val="26"/>
        </w:rPr>
        <w:t xml:space="preserve">It was the view of the </w:t>
      </w:r>
      <w:r w:rsidR="003C31B1">
        <w:rPr>
          <w:rFonts w:eastAsia="Calibri" w:cstheme="minorHAnsi"/>
          <w:bCs/>
          <w:sz w:val="26"/>
          <w:szCs w:val="26"/>
        </w:rPr>
        <w:t>A</w:t>
      </w:r>
      <w:r>
        <w:rPr>
          <w:rFonts w:eastAsia="Calibri" w:cstheme="minorHAnsi"/>
          <w:bCs/>
          <w:sz w:val="26"/>
          <w:szCs w:val="26"/>
        </w:rPr>
        <w:t>ssessors that the</w:t>
      </w:r>
      <w:r w:rsidR="003C31B1">
        <w:rPr>
          <w:rFonts w:eastAsia="Calibri" w:cstheme="minorHAnsi"/>
          <w:bCs/>
          <w:sz w:val="26"/>
          <w:szCs w:val="26"/>
        </w:rPr>
        <w:t xml:space="preserve"> P</w:t>
      </w:r>
      <w:r>
        <w:rPr>
          <w:rFonts w:eastAsia="Calibri" w:cstheme="minorHAnsi"/>
          <w:bCs/>
          <w:sz w:val="26"/>
          <w:szCs w:val="26"/>
        </w:rPr>
        <w:t xml:space="preserve">rosecution had proved the case against the </w:t>
      </w:r>
      <w:r w:rsidR="003C31B1">
        <w:rPr>
          <w:rFonts w:eastAsia="Calibri" w:cstheme="minorHAnsi"/>
          <w:bCs/>
          <w:sz w:val="26"/>
          <w:szCs w:val="26"/>
        </w:rPr>
        <w:t>A</w:t>
      </w:r>
      <w:r>
        <w:rPr>
          <w:rFonts w:eastAsia="Calibri" w:cstheme="minorHAnsi"/>
          <w:bCs/>
          <w:sz w:val="26"/>
          <w:szCs w:val="26"/>
        </w:rPr>
        <w:t xml:space="preserve">ccused beyond reasonable doubt and invited the </w:t>
      </w:r>
      <w:r w:rsidR="003C31B1">
        <w:rPr>
          <w:rFonts w:eastAsia="Calibri" w:cstheme="minorHAnsi"/>
          <w:bCs/>
          <w:sz w:val="26"/>
          <w:szCs w:val="26"/>
        </w:rPr>
        <w:t>C</w:t>
      </w:r>
      <w:r>
        <w:rPr>
          <w:rFonts w:eastAsia="Calibri" w:cstheme="minorHAnsi"/>
          <w:bCs/>
          <w:sz w:val="26"/>
          <w:szCs w:val="26"/>
        </w:rPr>
        <w:t>ourt to convict him as indicted.</w:t>
      </w:r>
    </w:p>
    <w:p w14:paraId="5E9C636E" w14:textId="01E7E63A" w:rsidR="00F86965" w:rsidRDefault="001C0FA5" w:rsidP="008B65B9">
      <w:pPr>
        <w:spacing w:after="200" w:line="360" w:lineRule="auto"/>
        <w:jc w:val="both"/>
        <w:rPr>
          <w:rFonts w:eastAsia="Calibri" w:cstheme="minorHAnsi"/>
          <w:bCs/>
          <w:sz w:val="26"/>
          <w:szCs w:val="26"/>
        </w:rPr>
      </w:pPr>
      <w:r>
        <w:rPr>
          <w:rFonts w:eastAsia="Calibri" w:cstheme="minorHAnsi"/>
          <w:bCs/>
          <w:sz w:val="26"/>
          <w:szCs w:val="26"/>
        </w:rPr>
        <w:t xml:space="preserve">I have carefully considered all the evidence in this matter as well as the arguments of the </w:t>
      </w:r>
      <w:r w:rsidR="00D2594B">
        <w:rPr>
          <w:rFonts w:eastAsia="Calibri" w:cstheme="minorHAnsi"/>
          <w:bCs/>
          <w:sz w:val="26"/>
          <w:szCs w:val="26"/>
        </w:rPr>
        <w:t>P</w:t>
      </w:r>
      <w:r>
        <w:rPr>
          <w:rFonts w:eastAsia="Calibri" w:cstheme="minorHAnsi"/>
          <w:bCs/>
          <w:sz w:val="26"/>
          <w:szCs w:val="26"/>
        </w:rPr>
        <w:t xml:space="preserve">rosecution and the </w:t>
      </w:r>
      <w:proofErr w:type="spellStart"/>
      <w:r w:rsidR="00D2594B">
        <w:rPr>
          <w:rFonts w:eastAsia="Calibri" w:cstheme="minorHAnsi"/>
          <w:bCs/>
          <w:sz w:val="26"/>
          <w:szCs w:val="26"/>
        </w:rPr>
        <w:t>D</w:t>
      </w:r>
      <w:r>
        <w:rPr>
          <w:rFonts w:eastAsia="Calibri" w:cstheme="minorHAnsi"/>
          <w:bCs/>
          <w:sz w:val="26"/>
          <w:szCs w:val="26"/>
        </w:rPr>
        <w:t>efence</w:t>
      </w:r>
      <w:proofErr w:type="spellEnd"/>
      <w:r w:rsidR="00F86965">
        <w:rPr>
          <w:rFonts w:eastAsia="Calibri" w:cstheme="minorHAnsi"/>
          <w:bCs/>
          <w:sz w:val="26"/>
          <w:szCs w:val="26"/>
        </w:rPr>
        <w:t xml:space="preserve">. From the evidence and arguments brought before the court I am of the considered view that the </w:t>
      </w:r>
      <w:r w:rsidR="00D2594B">
        <w:rPr>
          <w:rFonts w:eastAsia="Calibri" w:cstheme="minorHAnsi"/>
          <w:bCs/>
          <w:sz w:val="26"/>
          <w:szCs w:val="26"/>
        </w:rPr>
        <w:t>P</w:t>
      </w:r>
      <w:r w:rsidR="00F86965">
        <w:rPr>
          <w:rFonts w:eastAsia="Calibri" w:cstheme="minorHAnsi"/>
          <w:bCs/>
          <w:sz w:val="26"/>
          <w:szCs w:val="26"/>
        </w:rPr>
        <w:t xml:space="preserve">rosecution successfully proved beyond reasonable doubt that the </w:t>
      </w:r>
      <w:r w:rsidR="00D2594B">
        <w:rPr>
          <w:rFonts w:eastAsia="Calibri" w:cstheme="minorHAnsi"/>
          <w:bCs/>
          <w:sz w:val="26"/>
          <w:szCs w:val="26"/>
        </w:rPr>
        <w:t>V</w:t>
      </w:r>
      <w:r w:rsidR="00F86965">
        <w:rPr>
          <w:rFonts w:eastAsia="Calibri" w:cstheme="minorHAnsi"/>
          <w:bCs/>
          <w:sz w:val="26"/>
          <w:szCs w:val="26"/>
        </w:rPr>
        <w:t xml:space="preserve">ictim was below the age of 13 years old. There was the evidence of </w:t>
      </w:r>
      <w:r w:rsidR="00F86965" w:rsidRPr="00C058B4">
        <w:rPr>
          <w:rFonts w:eastAsia="Calibri" w:cstheme="minorHAnsi"/>
          <w:b/>
          <w:bCs/>
          <w:sz w:val="26"/>
          <w:szCs w:val="26"/>
        </w:rPr>
        <w:t>PW5</w:t>
      </w:r>
      <w:r w:rsidR="00F86965">
        <w:rPr>
          <w:rFonts w:eastAsia="Calibri" w:cstheme="minorHAnsi"/>
          <w:bCs/>
          <w:sz w:val="26"/>
          <w:szCs w:val="26"/>
        </w:rPr>
        <w:t xml:space="preserve"> the </w:t>
      </w:r>
      <w:r w:rsidR="00AE7617">
        <w:rPr>
          <w:rFonts w:eastAsia="Calibri" w:cstheme="minorHAnsi"/>
          <w:bCs/>
          <w:sz w:val="26"/>
          <w:szCs w:val="26"/>
        </w:rPr>
        <w:t>V</w:t>
      </w:r>
      <w:r w:rsidR="00F86965">
        <w:rPr>
          <w:rFonts w:eastAsia="Calibri" w:cstheme="minorHAnsi"/>
          <w:bCs/>
          <w:sz w:val="26"/>
          <w:szCs w:val="26"/>
        </w:rPr>
        <w:t>ictim herself and that of the maternal aunt</w:t>
      </w:r>
      <w:r w:rsidR="00AE7617">
        <w:rPr>
          <w:rFonts w:eastAsia="Calibri" w:cstheme="minorHAnsi"/>
          <w:bCs/>
          <w:sz w:val="26"/>
          <w:szCs w:val="26"/>
        </w:rPr>
        <w:t>,</w:t>
      </w:r>
      <w:r w:rsidR="00F86965">
        <w:rPr>
          <w:rFonts w:eastAsia="Calibri" w:cstheme="minorHAnsi"/>
          <w:bCs/>
          <w:sz w:val="26"/>
          <w:szCs w:val="26"/>
        </w:rPr>
        <w:t xml:space="preserve"> </w:t>
      </w:r>
      <w:r w:rsidR="00F86965" w:rsidRPr="00C058B4">
        <w:rPr>
          <w:rFonts w:eastAsia="Calibri" w:cstheme="minorHAnsi"/>
          <w:b/>
          <w:bCs/>
          <w:sz w:val="26"/>
          <w:szCs w:val="26"/>
        </w:rPr>
        <w:t>PW4</w:t>
      </w:r>
      <w:r w:rsidR="00AE7617">
        <w:rPr>
          <w:rFonts w:eastAsia="Calibri" w:cstheme="minorHAnsi"/>
          <w:bCs/>
          <w:sz w:val="26"/>
          <w:szCs w:val="26"/>
        </w:rPr>
        <w:t>,</w:t>
      </w:r>
      <w:r w:rsidR="00F86965">
        <w:rPr>
          <w:rFonts w:eastAsia="Calibri" w:cstheme="minorHAnsi"/>
          <w:bCs/>
          <w:sz w:val="26"/>
          <w:szCs w:val="26"/>
        </w:rPr>
        <w:t xml:space="preserve"> which </w:t>
      </w:r>
      <w:proofErr w:type="gramStart"/>
      <w:r w:rsidR="00F86965">
        <w:rPr>
          <w:rFonts w:eastAsia="Calibri" w:cstheme="minorHAnsi"/>
          <w:bCs/>
          <w:sz w:val="26"/>
          <w:szCs w:val="26"/>
        </w:rPr>
        <w:t>was further supported</w:t>
      </w:r>
      <w:proofErr w:type="gramEnd"/>
      <w:r w:rsidR="00F86965">
        <w:rPr>
          <w:rFonts w:eastAsia="Calibri" w:cstheme="minorHAnsi"/>
          <w:bCs/>
          <w:sz w:val="26"/>
          <w:szCs w:val="26"/>
        </w:rPr>
        <w:t xml:space="preserve"> by the medical report </w:t>
      </w:r>
      <w:r w:rsidR="00F86965" w:rsidRPr="00A9342F">
        <w:rPr>
          <w:rFonts w:eastAsia="Calibri" w:cstheme="minorHAnsi"/>
          <w:b/>
          <w:bCs/>
          <w:sz w:val="26"/>
          <w:szCs w:val="26"/>
        </w:rPr>
        <w:t>PE 1.</w:t>
      </w:r>
    </w:p>
    <w:p w14:paraId="2F9A2D89" w14:textId="1144FFC7" w:rsidR="001C0FA5" w:rsidRDefault="00F86965" w:rsidP="008B65B9">
      <w:pPr>
        <w:spacing w:after="200" w:line="360" w:lineRule="auto"/>
        <w:jc w:val="both"/>
        <w:rPr>
          <w:rFonts w:eastAsia="Calibri" w:cstheme="minorHAnsi"/>
          <w:bCs/>
          <w:sz w:val="26"/>
          <w:szCs w:val="26"/>
        </w:rPr>
      </w:pPr>
      <w:proofErr w:type="gramStart"/>
      <w:r>
        <w:rPr>
          <w:rFonts w:eastAsia="Calibri" w:cstheme="minorHAnsi"/>
          <w:bCs/>
          <w:sz w:val="26"/>
          <w:szCs w:val="26"/>
        </w:rPr>
        <w:t>There is also no doubt that the</w:t>
      </w:r>
      <w:r w:rsidR="00AE777B">
        <w:rPr>
          <w:rFonts w:eastAsia="Calibri" w:cstheme="minorHAnsi"/>
          <w:bCs/>
          <w:sz w:val="26"/>
          <w:szCs w:val="26"/>
        </w:rPr>
        <w:t xml:space="preserve"> A</w:t>
      </w:r>
      <w:r>
        <w:rPr>
          <w:rFonts w:eastAsia="Calibri" w:cstheme="minorHAnsi"/>
          <w:bCs/>
          <w:sz w:val="26"/>
          <w:szCs w:val="26"/>
        </w:rPr>
        <w:t xml:space="preserve">ccused was placed at the scene of the alleged defilement as </w:t>
      </w:r>
      <w:r w:rsidRPr="00C058B4">
        <w:rPr>
          <w:rFonts w:eastAsia="Calibri" w:cstheme="minorHAnsi"/>
          <w:b/>
          <w:bCs/>
          <w:sz w:val="26"/>
          <w:szCs w:val="26"/>
        </w:rPr>
        <w:t>PW4</w:t>
      </w:r>
      <w:r>
        <w:rPr>
          <w:rFonts w:eastAsia="Calibri" w:cstheme="minorHAnsi"/>
          <w:bCs/>
          <w:sz w:val="26"/>
          <w:szCs w:val="26"/>
        </w:rPr>
        <w:t xml:space="preserve"> and </w:t>
      </w:r>
      <w:r w:rsidRPr="00C058B4">
        <w:rPr>
          <w:rFonts w:eastAsia="Calibri" w:cstheme="minorHAnsi"/>
          <w:b/>
          <w:bCs/>
          <w:sz w:val="26"/>
          <w:szCs w:val="26"/>
        </w:rPr>
        <w:t>PW5</w:t>
      </w:r>
      <w:r>
        <w:rPr>
          <w:rFonts w:eastAsia="Calibri" w:cstheme="minorHAnsi"/>
          <w:bCs/>
          <w:sz w:val="26"/>
          <w:szCs w:val="26"/>
        </w:rPr>
        <w:t xml:space="preserve"> placed him at the scene and by his own sworn testimony he actually went to the scene of the alleged defilement but denied the actual defilement and claimed he was there to collect tools that he and another colleague were using for tree farming.</w:t>
      </w:r>
      <w:proofErr w:type="gramEnd"/>
      <w:r w:rsidR="00AE777B">
        <w:rPr>
          <w:rFonts w:eastAsia="Calibri" w:cstheme="minorHAnsi"/>
          <w:bCs/>
          <w:sz w:val="26"/>
          <w:szCs w:val="26"/>
        </w:rPr>
        <w:t xml:space="preserve"> The Accused also bore physical injuries inflicted on </w:t>
      </w:r>
      <w:r w:rsidR="003B492E">
        <w:rPr>
          <w:rFonts w:eastAsia="Calibri" w:cstheme="minorHAnsi"/>
          <w:bCs/>
          <w:sz w:val="26"/>
          <w:szCs w:val="26"/>
        </w:rPr>
        <w:t xml:space="preserve">him by the Victim </w:t>
      </w:r>
      <w:r w:rsidR="003B492E" w:rsidRPr="00C058B4">
        <w:rPr>
          <w:rFonts w:eastAsia="Calibri" w:cstheme="minorHAnsi"/>
          <w:b/>
          <w:bCs/>
          <w:sz w:val="26"/>
          <w:szCs w:val="26"/>
        </w:rPr>
        <w:t>PW5</w:t>
      </w:r>
      <w:r w:rsidR="003B492E">
        <w:rPr>
          <w:rFonts w:eastAsia="Calibri" w:cstheme="minorHAnsi"/>
          <w:bCs/>
          <w:sz w:val="26"/>
          <w:szCs w:val="26"/>
        </w:rPr>
        <w:t>. This means that there can be no doubt about his physical presence at the scene.</w:t>
      </w:r>
    </w:p>
    <w:p w14:paraId="197BDD55" w14:textId="77777777" w:rsidR="0090682B" w:rsidRDefault="00F86965" w:rsidP="008B65B9">
      <w:pPr>
        <w:spacing w:after="200" w:line="360" w:lineRule="auto"/>
        <w:jc w:val="both"/>
        <w:rPr>
          <w:rFonts w:eastAsia="Calibri" w:cstheme="minorHAnsi"/>
          <w:bCs/>
          <w:sz w:val="26"/>
          <w:szCs w:val="26"/>
        </w:rPr>
      </w:pPr>
      <w:r>
        <w:rPr>
          <w:rFonts w:eastAsia="Calibri" w:cstheme="minorHAnsi"/>
          <w:bCs/>
          <w:sz w:val="26"/>
          <w:szCs w:val="26"/>
        </w:rPr>
        <w:t xml:space="preserve">The only issue that remained in contention was whether a sexual act took place for which the accused was responsible. </w:t>
      </w:r>
      <w:r w:rsidR="007221CE">
        <w:rPr>
          <w:rFonts w:eastAsia="Calibri" w:cstheme="minorHAnsi"/>
          <w:bCs/>
          <w:sz w:val="26"/>
          <w:szCs w:val="26"/>
        </w:rPr>
        <w:t xml:space="preserve"> </w:t>
      </w:r>
    </w:p>
    <w:p w14:paraId="270C0739" w14:textId="77777777" w:rsidR="0090682B" w:rsidRPr="0090682B" w:rsidRDefault="0090682B" w:rsidP="0090682B">
      <w:pPr>
        <w:spacing w:after="80" w:line="360" w:lineRule="auto"/>
        <w:jc w:val="both"/>
        <w:rPr>
          <w:rFonts w:ascii="Calibri" w:eastAsia="Calibri" w:hAnsi="Calibri" w:cs="Times New Roman"/>
          <w:sz w:val="26"/>
          <w:szCs w:val="26"/>
        </w:rPr>
      </w:pPr>
      <w:r w:rsidRPr="0090682B">
        <w:rPr>
          <w:rFonts w:ascii="Calibri" w:eastAsia="Calibri" w:hAnsi="Calibri" w:cs="Times New Roman"/>
          <w:sz w:val="26"/>
          <w:szCs w:val="26"/>
        </w:rPr>
        <w:t xml:space="preserve">In terms of proving a sexual act the Supreme Court held in the case of </w:t>
      </w:r>
      <w:r w:rsidRPr="0090682B">
        <w:rPr>
          <w:rFonts w:ascii="Calibri" w:eastAsia="Calibri" w:hAnsi="Calibri" w:cs="Times New Roman"/>
          <w:b/>
          <w:sz w:val="26"/>
          <w:szCs w:val="26"/>
        </w:rPr>
        <w:t xml:space="preserve">Hussein </w:t>
      </w:r>
      <w:proofErr w:type="spellStart"/>
      <w:r w:rsidRPr="0090682B">
        <w:rPr>
          <w:rFonts w:ascii="Calibri" w:eastAsia="Calibri" w:hAnsi="Calibri" w:cs="Times New Roman"/>
          <w:b/>
          <w:sz w:val="26"/>
          <w:szCs w:val="26"/>
        </w:rPr>
        <w:t>Bassita</w:t>
      </w:r>
      <w:proofErr w:type="spellEnd"/>
      <w:r w:rsidRPr="0090682B">
        <w:rPr>
          <w:rFonts w:ascii="Calibri" w:eastAsia="Calibri" w:hAnsi="Calibri" w:cs="Times New Roman"/>
          <w:b/>
          <w:sz w:val="26"/>
          <w:szCs w:val="26"/>
        </w:rPr>
        <w:t xml:space="preserve"> v Uganda – Criminal Appeal No 35 of 1995</w:t>
      </w:r>
      <w:r w:rsidRPr="0090682B">
        <w:rPr>
          <w:rFonts w:ascii="Calibri" w:eastAsia="Calibri" w:hAnsi="Calibri" w:cs="Times New Roman"/>
          <w:sz w:val="26"/>
          <w:szCs w:val="26"/>
        </w:rPr>
        <w:t xml:space="preserve"> that, </w:t>
      </w:r>
    </w:p>
    <w:p w14:paraId="137DD912" w14:textId="77777777" w:rsidR="0090682B" w:rsidRPr="0090682B" w:rsidRDefault="0090682B" w:rsidP="0090682B">
      <w:pPr>
        <w:spacing w:after="80" w:line="360" w:lineRule="auto"/>
        <w:ind w:left="1440" w:right="720"/>
        <w:jc w:val="both"/>
        <w:rPr>
          <w:rFonts w:ascii="Calibri" w:eastAsia="Calibri" w:hAnsi="Calibri" w:cs="Times New Roman"/>
          <w:i/>
          <w:sz w:val="26"/>
          <w:szCs w:val="26"/>
        </w:rPr>
      </w:pPr>
      <w:r w:rsidRPr="0090682B">
        <w:rPr>
          <w:rFonts w:ascii="Calibri" w:eastAsia="Calibri" w:hAnsi="Calibri" w:cs="Times New Roman"/>
          <w:i/>
          <w:sz w:val="26"/>
          <w:szCs w:val="26"/>
        </w:rPr>
        <w:lastRenderedPageBreak/>
        <w:t>“The act of sexual intercourse of penetration may be proved by direct or circumstantial evidence. Usually the sexual intercourse is proved by the victim’s own evidence and corroborated by the medical evidence or other evidence.”</w:t>
      </w:r>
    </w:p>
    <w:p w14:paraId="3AFE1150" w14:textId="057BE0DB" w:rsidR="007221CE" w:rsidRDefault="007221CE" w:rsidP="008B65B9">
      <w:pPr>
        <w:spacing w:after="200" w:line="360" w:lineRule="auto"/>
        <w:jc w:val="both"/>
        <w:rPr>
          <w:rFonts w:eastAsia="Calibri" w:cstheme="minorHAnsi"/>
          <w:bCs/>
          <w:sz w:val="26"/>
          <w:szCs w:val="26"/>
        </w:rPr>
      </w:pPr>
      <w:r>
        <w:rPr>
          <w:rFonts w:eastAsia="Calibri" w:cstheme="minorHAnsi"/>
          <w:bCs/>
          <w:sz w:val="26"/>
          <w:szCs w:val="26"/>
        </w:rPr>
        <w:t xml:space="preserve">In this regard, I shall address my mind to two major pieces of evidence in relation to the evidence of </w:t>
      </w:r>
      <w:r w:rsidRPr="00C058B4">
        <w:rPr>
          <w:rFonts w:eastAsia="Calibri" w:cstheme="minorHAnsi"/>
          <w:b/>
          <w:bCs/>
          <w:sz w:val="26"/>
          <w:szCs w:val="26"/>
        </w:rPr>
        <w:t>PW5</w:t>
      </w:r>
      <w:r w:rsidR="00B647C0">
        <w:rPr>
          <w:rFonts w:eastAsia="Calibri" w:cstheme="minorHAnsi"/>
          <w:bCs/>
          <w:sz w:val="26"/>
          <w:szCs w:val="26"/>
        </w:rPr>
        <w:t>,</w:t>
      </w:r>
      <w:r>
        <w:rPr>
          <w:rFonts w:eastAsia="Calibri" w:cstheme="minorHAnsi"/>
          <w:bCs/>
          <w:sz w:val="26"/>
          <w:szCs w:val="26"/>
        </w:rPr>
        <w:t xml:space="preserve"> the </w:t>
      </w:r>
      <w:r w:rsidR="00B647C0">
        <w:rPr>
          <w:rFonts w:eastAsia="Calibri" w:cstheme="minorHAnsi"/>
          <w:bCs/>
          <w:sz w:val="26"/>
          <w:szCs w:val="26"/>
        </w:rPr>
        <w:t>V</w:t>
      </w:r>
      <w:r>
        <w:rPr>
          <w:rFonts w:eastAsia="Calibri" w:cstheme="minorHAnsi"/>
          <w:bCs/>
          <w:sz w:val="26"/>
          <w:szCs w:val="26"/>
        </w:rPr>
        <w:t>ictim.</w:t>
      </w:r>
    </w:p>
    <w:p w14:paraId="287C2CEF" w14:textId="2F9B53F3" w:rsidR="007221CE" w:rsidRDefault="007221CE" w:rsidP="008B65B9">
      <w:pPr>
        <w:spacing w:after="200" w:line="360" w:lineRule="auto"/>
        <w:jc w:val="both"/>
        <w:rPr>
          <w:rFonts w:eastAsia="Calibri" w:cstheme="minorHAnsi"/>
          <w:bCs/>
          <w:sz w:val="26"/>
          <w:szCs w:val="26"/>
        </w:rPr>
      </w:pPr>
      <w:r w:rsidRPr="00C058B4">
        <w:rPr>
          <w:rFonts w:eastAsia="Calibri" w:cstheme="minorHAnsi"/>
          <w:b/>
          <w:bCs/>
          <w:sz w:val="26"/>
          <w:szCs w:val="26"/>
        </w:rPr>
        <w:t>PW5</w:t>
      </w:r>
      <w:r>
        <w:rPr>
          <w:rFonts w:eastAsia="Calibri" w:cstheme="minorHAnsi"/>
          <w:bCs/>
          <w:sz w:val="26"/>
          <w:szCs w:val="26"/>
        </w:rPr>
        <w:t xml:space="preserve"> the victim testified that the</w:t>
      </w:r>
      <w:r w:rsidR="00B647C0">
        <w:rPr>
          <w:rFonts w:eastAsia="Calibri" w:cstheme="minorHAnsi"/>
          <w:bCs/>
          <w:sz w:val="26"/>
          <w:szCs w:val="26"/>
        </w:rPr>
        <w:t xml:space="preserve"> A</w:t>
      </w:r>
      <w:r>
        <w:rPr>
          <w:rFonts w:eastAsia="Calibri" w:cstheme="minorHAnsi"/>
          <w:bCs/>
          <w:sz w:val="26"/>
          <w:szCs w:val="26"/>
        </w:rPr>
        <w:t xml:space="preserve">ccused sexually assaulted her in her room. Her description of events during examination in chief was that she heard the accused knock at the gate and let himself in and had found the door to the house open and entered and made his way to her bedroom where she was lying on her bed in a petticoat. She testified that the accused grabbed her, removed his trousers and put his legs on hers and forced her legs open and gone ahead to place his sexual organ in her private parts. She testified to feeling a lot of pain and making an alarm which caused the accused to move away giving her the opportunity to </w:t>
      </w:r>
      <w:r w:rsidR="000E557A">
        <w:rPr>
          <w:rFonts w:eastAsia="Calibri" w:cstheme="minorHAnsi"/>
          <w:bCs/>
          <w:sz w:val="26"/>
          <w:szCs w:val="26"/>
        </w:rPr>
        <w:t xml:space="preserve">get hold of a panga and cut him. </w:t>
      </w:r>
    </w:p>
    <w:p w14:paraId="4F7824C8" w14:textId="623A9E52" w:rsidR="004214C6" w:rsidRDefault="000E557A" w:rsidP="008B65B9">
      <w:pPr>
        <w:spacing w:after="200" w:line="360" w:lineRule="auto"/>
        <w:jc w:val="both"/>
        <w:rPr>
          <w:rFonts w:eastAsia="Calibri" w:cstheme="minorHAnsi"/>
          <w:bCs/>
          <w:sz w:val="26"/>
          <w:szCs w:val="26"/>
        </w:rPr>
      </w:pPr>
      <w:r>
        <w:rPr>
          <w:rFonts w:eastAsia="Calibri" w:cstheme="minorHAnsi"/>
          <w:bCs/>
          <w:sz w:val="26"/>
          <w:szCs w:val="26"/>
        </w:rPr>
        <w:t xml:space="preserve">The </w:t>
      </w:r>
      <w:r w:rsidR="00FF0731">
        <w:rPr>
          <w:rFonts w:eastAsia="Calibri" w:cstheme="minorHAnsi"/>
          <w:bCs/>
          <w:sz w:val="26"/>
          <w:szCs w:val="26"/>
        </w:rPr>
        <w:t>P</w:t>
      </w:r>
      <w:r>
        <w:rPr>
          <w:rFonts w:eastAsia="Calibri" w:cstheme="minorHAnsi"/>
          <w:bCs/>
          <w:sz w:val="26"/>
          <w:szCs w:val="26"/>
        </w:rPr>
        <w:t xml:space="preserve">rosecution placed reliance upon the medical report </w:t>
      </w:r>
      <w:r w:rsidRPr="00C058B4">
        <w:rPr>
          <w:rFonts w:eastAsia="Calibri" w:cstheme="minorHAnsi"/>
          <w:b/>
          <w:bCs/>
          <w:sz w:val="26"/>
          <w:szCs w:val="26"/>
        </w:rPr>
        <w:t>PE 1</w:t>
      </w:r>
      <w:r w:rsidR="00FF0731">
        <w:rPr>
          <w:rFonts w:eastAsia="Calibri" w:cstheme="minorHAnsi"/>
          <w:bCs/>
          <w:sz w:val="26"/>
          <w:szCs w:val="26"/>
        </w:rPr>
        <w:t>,</w:t>
      </w:r>
      <w:r>
        <w:rPr>
          <w:rFonts w:eastAsia="Calibri" w:cstheme="minorHAnsi"/>
          <w:bCs/>
          <w:sz w:val="26"/>
          <w:szCs w:val="26"/>
        </w:rPr>
        <w:t xml:space="preserve"> which </w:t>
      </w:r>
      <w:r w:rsidR="00FF0731">
        <w:rPr>
          <w:rFonts w:eastAsia="Calibri" w:cstheme="minorHAnsi"/>
          <w:bCs/>
          <w:sz w:val="26"/>
          <w:szCs w:val="26"/>
        </w:rPr>
        <w:t>P</w:t>
      </w:r>
      <w:r>
        <w:rPr>
          <w:rFonts w:eastAsia="Calibri" w:cstheme="minorHAnsi"/>
          <w:bCs/>
          <w:sz w:val="26"/>
          <w:szCs w:val="26"/>
        </w:rPr>
        <w:t>rosecution asserted as evidence of injuries</w:t>
      </w:r>
      <w:r w:rsidR="00015258">
        <w:rPr>
          <w:rFonts w:eastAsia="Calibri" w:cstheme="minorHAnsi"/>
          <w:bCs/>
          <w:sz w:val="26"/>
          <w:szCs w:val="26"/>
        </w:rPr>
        <w:t xml:space="preserve"> to the </w:t>
      </w:r>
      <w:proofErr w:type="gramStart"/>
      <w:r w:rsidR="00015258">
        <w:rPr>
          <w:rFonts w:eastAsia="Calibri" w:cstheme="minorHAnsi"/>
          <w:bCs/>
          <w:sz w:val="26"/>
          <w:szCs w:val="26"/>
        </w:rPr>
        <w:t>Victim which</w:t>
      </w:r>
      <w:proofErr w:type="gramEnd"/>
      <w:r w:rsidR="00015258">
        <w:rPr>
          <w:rFonts w:eastAsia="Calibri" w:cstheme="minorHAnsi"/>
          <w:bCs/>
          <w:sz w:val="26"/>
          <w:szCs w:val="26"/>
        </w:rPr>
        <w:t xml:space="preserve"> were</w:t>
      </w:r>
      <w:r>
        <w:rPr>
          <w:rFonts w:eastAsia="Calibri" w:cstheme="minorHAnsi"/>
          <w:bCs/>
          <w:sz w:val="26"/>
          <w:szCs w:val="26"/>
        </w:rPr>
        <w:t xml:space="preserve"> consistent with forcible sexual intercourse. I have had the benefit of closely examining the medical report</w:t>
      </w:r>
      <w:r w:rsidRPr="00C058B4">
        <w:rPr>
          <w:rFonts w:eastAsia="Calibri" w:cstheme="minorHAnsi"/>
          <w:b/>
          <w:bCs/>
          <w:sz w:val="26"/>
          <w:szCs w:val="26"/>
        </w:rPr>
        <w:t xml:space="preserve"> PE 1</w:t>
      </w:r>
      <w:r>
        <w:rPr>
          <w:rFonts w:eastAsia="Calibri" w:cstheme="minorHAnsi"/>
          <w:bCs/>
          <w:sz w:val="26"/>
          <w:szCs w:val="26"/>
        </w:rPr>
        <w:t xml:space="preserve">. The first point of major concern is the fact that whereas the alleged defilement took place on </w:t>
      </w:r>
      <w:proofErr w:type="gramStart"/>
      <w:r>
        <w:rPr>
          <w:rFonts w:eastAsia="Calibri" w:cstheme="minorHAnsi"/>
          <w:bCs/>
          <w:sz w:val="26"/>
          <w:szCs w:val="26"/>
        </w:rPr>
        <w:t>2</w:t>
      </w:r>
      <w:r w:rsidRPr="000E557A">
        <w:rPr>
          <w:rFonts w:eastAsia="Calibri" w:cstheme="minorHAnsi"/>
          <w:bCs/>
          <w:sz w:val="26"/>
          <w:szCs w:val="26"/>
          <w:vertAlign w:val="superscript"/>
        </w:rPr>
        <w:t>nd</w:t>
      </w:r>
      <w:proofErr w:type="gramEnd"/>
      <w:r>
        <w:rPr>
          <w:rFonts w:eastAsia="Calibri" w:cstheme="minorHAnsi"/>
          <w:bCs/>
          <w:sz w:val="26"/>
          <w:szCs w:val="26"/>
        </w:rPr>
        <w:t xml:space="preserve"> March 2022, the medical report clearly shows that the investigating officer </w:t>
      </w:r>
      <w:bookmarkStart w:id="0" w:name="_GoBack"/>
      <w:r w:rsidRPr="00A9342F">
        <w:rPr>
          <w:rFonts w:eastAsia="Calibri" w:cstheme="minorHAnsi"/>
          <w:b/>
          <w:bCs/>
          <w:sz w:val="26"/>
          <w:szCs w:val="26"/>
        </w:rPr>
        <w:t>PW3</w:t>
      </w:r>
      <w:bookmarkEnd w:id="0"/>
      <w:r>
        <w:rPr>
          <w:rFonts w:eastAsia="Calibri" w:cstheme="minorHAnsi"/>
          <w:bCs/>
          <w:sz w:val="26"/>
          <w:szCs w:val="26"/>
        </w:rPr>
        <w:t xml:space="preserve"> Detective Constable Turyatunga Simon referred the victim for medical examination on 15</w:t>
      </w:r>
      <w:r w:rsidRPr="000E557A">
        <w:rPr>
          <w:rFonts w:eastAsia="Calibri" w:cstheme="minorHAnsi"/>
          <w:bCs/>
          <w:sz w:val="26"/>
          <w:szCs w:val="26"/>
          <w:vertAlign w:val="superscript"/>
        </w:rPr>
        <w:t>th</w:t>
      </w:r>
      <w:r>
        <w:rPr>
          <w:rFonts w:eastAsia="Calibri" w:cstheme="minorHAnsi"/>
          <w:bCs/>
          <w:sz w:val="26"/>
          <w:szCs w:val="26"/>
        </w:rPr>
        <w:t xml:space="preserve"> March 2022. </w:t>
      </w:r>
      <w:r w:rsidR="004214C6">
        <w:rPr>
          <w:rFonts w:eastAsia="Calibri" w:cstheme="minorHAnsi"/>
          <w:bCs/>
          <w:sz w:val="26"/>
          <w:szCs w:val="26"/>
        </w:rPr>
        <w:t>This, as right</w:t>
      </w:r>
      <w:r w:rsidR="00C058B4">
        <w:rPr>
          <w:rFonts w:eastAsia="Calibri" w:cstheme="minorHAnsi"/>
          <w:bCs/>
          <w:sz w:val="26"/>
          <w:szCs w:val="26"/>
        </w:rPr>
        <w:t>ly observed by Counsel for the A</w:t>
      </w:r>
      <w:r w:rsidR="004214C6">
        <w:rPr>
          <w:rFonts w:eastAsia="Calibri" w:cstheme="minorHAnsi"/>
          <w:bCs/>
          <w:sz w:val="26"/>
          <w:szCs w:val="26"/>
        </w:rPr>
        <w:t xml:space="preserve">ccused, was almost two weeks after the alleged defilement. The reliability of the medical examination in terms of establishing whether a defilement took place almost two weeks ago is extremely suspect especially since the responsible medical officer was never even brought to court to testify as to the reliability of his findings nearly two weeks after the fact. It is also pertinent to note that the description of injuries to the </w:t>
      </w:r>
      <w:r w:rsidR="004214C6">
        <w:rPr>
          <w:rFonts w:eastAsia="Calibri" w:cstheme="minorHAnsi"/>
          <w:bCs/>
          <w:sz w:val="26"/>
          <w:szCs w:val="26"/>
        </w:rPr>
        <w:lastRenderedPageBreak/>
        <w:t xml:space="preserve">genitals in the report bears only one word </w:t>
      </w:r>
      <w:r w:rsidR="004214C6" w:rsidRPr="00C058B4">
        <w:rPr>
          <w:rFonts w:eastAsia="Calibri" w:cstheme="minorHAnsi"/>
          <w:bCs/>
          <w:i/>
          <w:sz w:val="26"/>
          <w:szCs w:val="26"/>
        </w:rPr>
        <w:t>“hyperemic”</w:t>
      </w:r>
      <w:r w:rsidR="004214C6">
        <w:rPr>
          <w:rFonts w:eastAsia="Calibri" w:cstheme="minorHAnsi"/>
          <w:bCs/>
          <w:sz w:val="26"/>
          <w:szCs w:val="26"/>
        </w:rPr>
        <w:t xml:space="preserve"> and the </w:t>
      </w:r>
      <w:r w:rsidR="0054115B">
        <w:rPr>
          <w:rFonts w:eastAsia="Calibri" w:cstheme="minorHAnsi"/>
          <w:bCs/>
          <w:sz w:val="26"/>
          <w:szCs w:val="26"/>
        </w:rPr>
        <w:t>probable</w:t>
      </w:r>
      <w:r w:rsidR="004214C6">
        <w:rPr>
          <w:rFonts w:eastAsia="Calibri" w:cstheme="minorHAnsi"/>
          <w:bCs/>
          <w:sz w:val="26"/>
          <w:szCs w:val="26"/>
        </w:rPr>
        <w:t xml:space="preserve"> cause </w:t>
      </w:r>
      <w:proofErr w:type="gramStart"/>
      <w:r w:rsidR="004214C6">
        <w:rPr>
          <w:rFonts w:eastAsia="Calibri" w:cstheme="minorHAnsi"/>
          <w:bCs/>
          <w:sz w:val="26"/>
          <w:szCs w:val="26"/>
        </w:rPr>
        <w:t>is equally vaguely described</w:t>
      </w:r>
      <w:proofErr w:type="gramEnd"/>
      <w:r w:rsidR="004214C6">
        <w:rPr>
          <w:rFonts w:eastAsia="Calibri" w:cstheme="minorHAnsi"/>
          <w:bCs/>
          <w:sz w:val="26"/>
          <w:szCs w:val="26"/>
        </w:rPr>
        <w:t xml:space="preserve"> as a </w:t>
      </w:r>
      <w:r w:rsidR="004214C6" w:rsidRPr="00C058B4">
        <w:rPr>
          <w:rFonts w:eastAsia="Calibri" w:cstheme="minorHAnsi"/>
          <w:bCs/>
          <w:i/>
          <w:sz w:val="26"/>
          <w:szCs w:val="26"/>
        </w:rPr>
        <w:t>“blunt object”</w:t>
      </w:r>
      <w:r w:rsidR="004214C6">
        <w:rPr>
          <w:rFonts w:eastAsia="Calibri" w:cstheme="minorHAnsi"/>
          <w:bCs/>
          <w:sz w:val="26"/>
          <w:szCs w:val="26"/>
        </w:rPr>
        <w:t>.</w:t>
      </w:r>
    </w:p>
    <w:p w14:paraId="50592E64" w14:textId="3D72B55C" w:rsidR="000E557A" w:rsidRDefault="004214C6" w:rsidP="008B65B9">
      <w:pPr>
        <w:spacing w:after="200" w:line="360" w:lineRule="auto"/>
        <w:jc w:val="both"/>
        <w:rPr>
          <w:rFonts w:eastAsia="Calibri" w:cstheme="minorHAnsi"/>
          <w:bCs/>
          <w:sz w:val="26"/>
          <w:szCs w:val="26"/>
        </w:rPr>
      </w:pPr>
      <w:r>
        <w:rPr>
          <w:rFonts w:eastAsia="Calibri" w:cstheme="minorHAnsi"/>
          <w:bCs/>
          <w:sz w:val="26"/>
          <w:szCs w:val="26"/>
        </w:rPr>
        <w:t xml:space="preserve">The Merriam-Webster medical dictionary </w:t>
      </w:r>
      <w:r w:rsidR="000567A3">
        <w:rPr>
          <w:rFonts w:eastAsia="Calibri" w:cstheme="minorHAnsi"/>
          <w:bCs/>
          <w:sz w:val="26"/>
          <w:szCs w:val="26"/>
        </w:rPr>
        <w:t>elucidates the</w:t>
      </w:r>
      <w:r>
        <w:rPr>
          <w:rFonts w:eastAsia="Calibri" w:cstheme="minorHAnsi"/>
          <w:bCs/>
          <w:sz w:val="26"/>
          <w:szCs w:val="26"/>
        </w:rPr>
        <w:t xml:space="preserve"> word </w:t>
      </w:r>
      <w:r w:rsidRPr="000567A3">
        <w:rPr>
          <w:rFonts w:eastAsia="Calibri" w:cstheme="minorHAnsi"/>
          <w:bCs/>
          <w:i/>
          <w:iCs/>
          <w:sz w:val="26"/>
          <w:szCs w:val="26"/>
        </w:rPr>
        <w:t>hyperemic</w:t>
      </w:r>
      <w:r>
        <w:rPr>
          <w:rFonts w:eastAsia="Calibri" w:cstheme="minorHAnsi"/>
          <w:bCs/>
          <w:sz w:val="26"/>
          <w:szCs w:val="26"/>
        </w:rPr>
        <w:t xml:space="preserve"> </w:t>
      </w:r>
      <w:r w:rsidR="000567A3">
        <w:rPr>
          <w:rFonts w:eastAsia="Calibri" w:cstheme="minorHAnsi"/>
          <w:bCs/>
          <w:sz w:val="26"/>
          <w:szCs w:val="26"/>
        </w:rPr>
        <w:t>as</w:t>
      </w:r>
      <w:r>
        <w:rPr>
          <w:rFonts w:eastAsia="Calibri" w:cstheme="minorHAnsi"/>
          <w:bCs/>
          <w:sz w:val="26"/>
          <w:szCs w:val="26"/>
        </w:rPr>
        <w:t xml:space="preserve"> a derivative of the word </w:t>
      </w:r>
      <w:r w:rsidRPr="000567A3">
        <w:rPr>
          <w:rFonts w:eastAsia="Calibri" w:cstheme="minorHAnsi"/>
          <w:bCs/>
          <w:i/>
          <w:iCs/>
          <w:sz w:val="26"/>
          <w:szCs w:val="26"/>
        </w:rPr>
        <w:t>hyperemia</w:t>
      </w:r>
      <w:r>
        <w:rPr>
          <w:rFonts w:eastAsia="Calibri" w:cstheme="minorHAnsi"/>
          <w:bCs/>
          <w:sz w:val="26"/>
          <w:szCs w:val="26"/>
        </w:rPr>
        <w:t xml:space="preserve"> which in turn means </w:t>
      </w:r>
      <w:r w:rsidR="0054115B" w:rsidRPr="0054115B">
        <w:rPr>
          <w:rFonts w:eastAsia="Calibri" w:cstheme="minorHAnsi"/>
          <w:bCs/>
          <w:sz w:val="26"/>
          <w:szCs w:val="26"/>
        </w:rPr>
        <w:t>excess of blood in a body part (as from an increased flow of blood due to vasodilation)</w:t>
      </w:r>
      <w:r w:rsidR="0054115B">
        <w:rPr>
          <w:rFonts w:eastAsia="Calibri" w:cstheme="minorHAnsi"/>
          <w:bCs/>
          <w:sz w:val="26"/>
          <w:szCs w:val="26"/>
        </w:rPr>
        <w:t>. This in essence describes a swelling which after two weeks could be a result of any number of reasons including the possibility of an infection. In such a situation</w:t>
      </w:r>
      <w:r w:rsidR="00C058B4">
        <w:rPr>
          <w:rFonts w:eastAsia="Calibri" w:cstheme="minorHAnsi"/>
          <w:bCs/>
          <w:sz w:val="26"/>
          <w:szCs w:val="26"/>
        </w:rPr>
        <w:t>,</w:t>
      </w:r>
      <w:r w:rsidR="0054115B">
        <w:rPr>
          <w:rFonts w:eastAsia="Calibri" w:cstheme="minorHAnsi"/>
          <w:bCs/>
          <w:sz w:val="26"/>
          <w:szCs w:val="26"/>
        </w:rPr>
        <w:t xml:space="preserve"> the most prudent thing given the passage of time would have been for the prosecution to produce the medical officer in court to explain their findings in court especially given the reference to a vague medical term in the report. </w:t>
      </w:r>
    </w:p>
    <w:p w14:paraId="70CFDE7C" w14:textId="47C8D80A" w:rsidR="0054115B" w:rsidRDefault="0054115B" w:rsidP="008B65B9">
      <w:pPr>
        <w:spacing w:after="200" w:line="360" w:lineRule="auto"/>
        <w:jc w:val="both"/>
        <w:rPr>
          <w:rFonts w:eastAsia="Calibri" w:cstheme="minorHAnsi"/>
          <w:bCs/>
          <w:sz w:val="26"/>
          <w:szCs w:val="26"/>
        </w:rPr>
      </w:pPr>
      <w:r>
        <w:rPr>
          <w:rFonts w:eastAsia="Calibri" w:cstheme="minorHAnsi"/>
          <w:bCs/>
          <w:sz w:val="26"/>
          <w:szCs w:val="26"/>
        </w:rPr>
        <w:t xml:space="preserve">In terms of corroboration </w:t>
      </w:r>
      <w:r w:rsidR="000F46D0">
        <w:rPr>
          <w:rFonts w:eastAsia="Calibri" w:cstheme="minorHAnsi"/>
          <w:bCs/>
          <w:sz w:val="26"/>
          <w:szCs w:val="26"/>
        </w:rPr>
        <w:t xml:space="preserve">in sexual offences it was held in the case of </w:t>
      </w:r>
      <w:r w:rsidR="000F46D0" w:rsidRPr="000567A3">
        <w:rPr>
          <w:rFonts w:eastAsia="Calibri" w:cstheme="minorHAnsi"/>
          <w:b/>
          <w:sz w:val="26"/>
          <w:szCs w:val="26"/>
        </w:rPr>
        <w:t>Ngobi v R (1953) 20 EACA 56</w:t>
      </w:r>
      <w:r w:rsidR="000F46D0">
        <w:rPr>
          <w:rFonts w:eastAsia="Calibri" w:cstheme="minorHAnsi"/>
          <w:bCs/>
          <w:sz w:val="26"/>
          <w:szCs w:val="26"/>
        </w:rPr>
        <w:t xml:space="preserve"> that medical evidence was good corroborative evidence in the defilement of a young girl. In this particular case</w:t>
      </w:r>
      <w:r w:rsidR="008B3C62">
        <w:rPr>
          <w:rFonts w:eastAsia="Calibri" w:cstheme="minorHAnsi"/>
          <w:bCs/>
          <w:sz w:val="26"/>
          <w:szCs w:val="26"/>
        </w:rPr>
        <w:t xml:space="preserve"> though,</w:t>
      </w:r>
      <w:r w:rsidR="000F46D0">
        <w:rPr>
          <w:rFonts w:eastAsia="Calibri" w:cstheme="minorHAnsi"/>
          <w:bCs/>
          <w:sz w:val="26"/>
          <w:szCs w:val="26"/>
        </w:rPr>
        <w:t xml:space="preserve"> it is clear that the medical ev</w:t>
      </w:r>
      <w:r w:rsidR="008B3C62">
        <w:rPr>
          <w:rFonts w:eastAsia="Calibri" w:cstheme="minorHAnsi"/>
          <w:bCs/>
          <w:sz w:val="26"/>
          <w:szCs w:val="26"/>
        </w:rPr>
        <w:t xml:space="preserve">idence is inconclusive and </w:t>
      </w:r>
      <w:r w:rsidR="000F46D0">
        <w:rPr>
          <w:rFonts w:eastAsia="Calibri" w:cstheme="minorHAnsi"/>
          <w:bCs/>
          <w:sz w:val="26"/>
          <w:szCs w:val="26"/>
        </w:rPr>
        <w:t xml:space="preserve">unreliable to the extent that it </w:t>
      </w:r>
      <w:proofErr w:type="gramStart"/>
      <w:r w:rsidR="000F46D0">
        <w:rPr>
          <w:rFonts w:eastAsia="Calibri" w:cstheme="minorHAnsi"/>
          <w:bCs/>
          <w:sz w:val="26"/>
          <w:szCs w:val="26"/>
        </w:rPr>
        <w:t>was secured</w:t>
      </w:r>
      <w:proofErr w:type="gramEnd"/>
      <w:r w:rsidR="000F46D0">
        <w:rPr>
          <w:rFonts w:eastAsia="Calibri" w:cstheme="minorHAnsi"/>
          <w:bCs/>
          <w:sz w:val="26"/>
          <w:szCs w:val="26"/>
        </w:rPr>
        <w:t xml:space="preserve"> two weeks after the fact. There is also the fact that </w:t>
      </w:r>
      <w:r w:rsidR="000F46D0" w:rsidRPr="008B3C62">
        <w:rPr>
          <w:rFonts w:eastAsia="Calibri" w:cstheme="minorHAnsi"/>
          <w:b/>
          <w:bCs/>
          <w:sz w:val="26"/>
          <w:szCs w:val="26"/>
        </w:rPr>
        <w:t xml:space="preserve">PW4 </w:t>
      </w:r>
      <w:r w:rsidR="000F46D0">
        <w:rPr>
          <w:rFonts w:eastAsia="Calibri" w:cstheme="minorHAnsi"/>
          <w:bCs/>
          <w:sz w:val="26"/>
          <w:szCs w:val="26"/>
        </w:rPr>
        <w:t xml:space="preserve">who responded to the alarm testified that she did not observe any sign of the victim being in pain contrary to what </w:t>
      </w:r>
      <w:r w:rsidR="000F46D0" w:rsidRPr="008B3C62">
        <w:rPr>
          <w:rFonts w:eastAsia="Calibri" w:cstheme="minorHAnsi"/>
          <w:b/>
          <w:bCs/>
          <w:sz w:val="26"/>
          <w:szCs w:val="26"/>
        </w:rPr>
        <w:t>PW5</w:t>
      </w:r>
      <w:r w:rsidR="000F46D0">
        <w:rPr>
          <w:rFonts w:eastAsia="Calibri" w:cstheme="minorHAnsi"/>
          <w:bCs/>
          <w:sz w:val="26"/>
          <w:szCs w:val="26"/>
        </w:rPr>
        <w:t xml:space="preserve"> testified before court. This was despite the fact that </w:t>
      </w:r>
      <w:r w:rsidR="000F46D0" w:rsidRPr="008B3C62">
        <w:rPr>
          <w:rFonts w:eastAsia="Calibri" w:cstheme="minorHAnsi"/>
          <w:b/>
          <w:bCs/>
          <w:sz w:val="26"/>
          <w:szCs w:val="26"/>
        </w:rPr>
        <w:t xml:space="preserve">PW4 </w:t>
      </w:r>
      <w:r w:rsidR="000F46D0">
        <w:rPr>
          <w:rFonts w:eastAsia="Calibri" w:cstheme="minorHAnsi"/>
          <w:bCs/>
          <w:sz w:val="26"/>
          <w:szCs w:val="26"/>
        </w:rPr>
        <w:t xml:space="preserve">had responded almost immediately to the victim’s alarm. </w:t>
      </w:r>
    </w:p>
    <w:p w14:paraId="7FE03A4C" w14:textId="73DB651C" w:rsidR="00164CCB" w:rsidRDefault="000F46D0" w:rsidP="008B65B9">
      <w:pPr>
        <w:spacing w:after="200" w:line="360" w:lineRule="auto"/>
        <w:jc w:val="both"/>
        <w:rPr>
          <w:rFonts w:eastAsia="Calibri" w:cstheme="minorHAnsi"/>
          <w:bCs/>
          <w:sz w:val="26"/>
          <w:szCs w:val="26"/>
        </w:rPr>
      </w:pPr>
      <w:r>
        <w:rPr>
          <w:rFonts w:eastAsia="Calibri" w:cstheme="minorHAnsi"/>
          <w:bCs/>
          <w:sz w:val="26"/>
          <w:szCs w:val="26"/>
        </w:rPr>
        <w:t xml:space="preserve">The other evidence that the </w:t>
      </w:r>
      <w:r w:rsidR="00BA6645">
        <w:rPr>
          <w:rFonts w:eastAsia="Calibri" w:cstheme="minorHAnsi"/>
          <w:bCs/>
          <w:sz w:val="26"/>
          <w:szCs w:val="26"/>
        </w:rPr>
        <w:t>P</w:t>
      </w:r>
      <w:r>
        <w:rPr>
          <w:rFonts w:eastAsia="Calibri" w:cstheme="minorHAnsi"/>
          <w:bCs/>
          <w:sz w:val="26"/>
          <w:szCs w:val="26"/>
        </w:rPr>
        <w:t xml:space="preserve">rosecution sought to rely upon was the Charge and Caution Statement of the </w:t>
      </w:r>
      <w:proofErr w:type="gramStart"/>
      <w:r w:rsidR="00BA6645">
        <w:rPr>
          <w:rFonts w:eastAsia="Calibri" w:cstheme="minorHAnsi"/>
          <w:bCs/>
          <w:sz w:val="26"/>
          <w:szCs w:val="26"/>
        </w:rPr>
        <w:t>A</w:t>
      </w:r>
      <w:r>
        <w:rPr>
          <w:rFonts w:eastAsia="Calibri" w:cstheme="minorHAnsi"/>
          <w:bCs/>
          <w:sz w:val="26"/>
          <w:szCs w:val="26"/>
        </w:rPr>
        <w:t>ccused which</w:t>
      </w:r>
      <w:proofErr w:type="gramEnd"/>
      <w:r>
        <w:rPr>
          <w:rFonts w:eastAsia="Calibri" w:cstheme="minorHAnsi"/>
          <w:bCs/>
          <w:sz w:val="26"/>
          <w:szCs w:val="26"/>
        </w:rPr>
        <w:t xml:space="preserve"> was admitted in evidence as </w:t>
      </w:r>
      <w:r w:rsidRPr="008B3C62">
        <w:rPr>
          <w:rFonts w:eastAsia="Calibri" w:cstheme="minorHAnsi"/>
          <w:b/>
          <w:bCs/>
          <w:sz w:val="26"/>
          <w:szCs w:val="26"/>
        </w:rPr>
        <w:t>Prosecution Exhibit 3</w:t>
      </w:r>
      <w:r>
        <w:rPr>
          <w:rFonts w:eastAsia="Calibri" w:cstheme="minorHAnsi"/>
          <w:bCs/>
          <w:sz w:val="26"/>
          <w:szCs w:val="26"/>
        </w:rPr>
        <w:t xml:space="preserve">. </w:t>
      </w:r>
      <w:r w:rsidR="00164CCB">
        <w:rPr>
          <w:rFonts w:eastAsia="Calibri" w:cstheme="minorHAnsi"/>
          <w:bCs/>
          <w:sz w:val="26"/>
          <w:szCs w:val="26"/>
        </w:rPr>
        <w:t xml:space="preserve">The </w:t>
      </w:r>
      <w:r w:rsidR="008B3C62">
        <w:rPr>
          <w:rFonts w:eastAsia="Calibri" w:cstheme="minorHAnsi"/>
          <w:bCs/>
          <w:sz w:val="26"/>
          <w:szCs w:val="26"/>
        </w:rPr>
        <w:t>P</w:t>
      </w:r>
      <w:r w:rsidR="00164CCB">
        <w:rPr>
          <w:rFonts w:eastAsia="Calibri" w:cstheme="minorHAnsi"/>
          <w:bCs/>
          <w:sz w:val="26"/>
          <w:szCs w:val="26"/>
        </w:rPr>
        <w:t xml:space="preserve">rosecution sought to have the statement tendered in evidence during the cross-examination of the </w:t>
      </w:r>
      <w:r w:rsidR="00BA6645">
        <w:rPr>
          <w:rFonts w:eastAsia="Calibri" w:cstheme="minorHAnsi"/>
          <w:bCs/>
          <w:sz w:val="26"/>
          <w:szCs w:val="26"/>
        </w:rPr>
        <w:t>A</w:t>
      </w:r>
      <w:r w:rsidR="00164CCB">
        <w:rPr>
          <w:rFonts w:eastAsia="Calibri" w:cstheme="minorHAnsi"/>
          <w:bCs/>
          <w:sz w:val="26"/>
          <w:szCs w:val="26"/>
        </w:rPr>
        <w:t xml:space="preserve">ccused. Counsel for the </w:t>
      </w:r>
      <w:r w:rsidR="00BA6645">
        <w:rPr>
          <w:rFonts w:eastAsia="Calibri" w:cstheme="minorHAnsi"/>
          <w:bCs/>
          <w:sz w:val="26"/>
          <w:szCs w:val="26"/>
        </w:rPr>
        <w:t>A</w:t>
      </w:r>
      <w:r w:rsidR="00164CCB">
        <w:rPr>
          <w:rFonts w:eastAsia="Calibri" w:cstheme="minorHAnsi"/>
          <w:bCs/>
          <w:sz w:val="26"/>
          <w:szCs w:val="26"/>
        </w:rPr>
        <w:t xml:space="preserve">ccused objected to the admission of the statement as the officer who recorded it was not present and that furthermore her client had raised an issue that needed to be proved. The </w:t>
      </w:r>
      <w:r w:rsidR="00BA6645">
        <w:rPr>
          <w:rFonts w:eastAsia="Calibri" w:cstheme="minorHAnsi"/>
          <w:bCs/>
          <w:sz w:val="26"/>
          <w:szCs w:val="26"/>
        </w:rPr>
        <w:t>P</w:t>
      </w:r>
      <w:r w:rsidR="00164CCB">
        <w:rPr>
          <w:rFonts w:eastAsia="Calibri" w:cstheme="minorHAnsi"/>
          <w:bCs/>
          <w:sz w:val="26"/>
          <w:szCs w:val="26"/>
        </w:rPr>
        <w:t xml:space="preserve">rosecution contended though that there was no need to produce the officer who recorded the statement as the </w:t>
      </w:r>
      <w:r w:rsidR="00BA6645">
        <w:rPr>
          <w:rFonts w:eastAsia="Calibri" w:cstheme="minorHAnsi"/>
          <w:bCs/>
          <w:sz w:val="26"/>
          <w:szCs w:val="26"/>
        </w:rPr>
        <w:t>A</w:t>
      </w:r>
      <w:r w:rsidR="00164CCB">
        <w:rPr>
          <w:rFonts w:eastAsia="Calibri" w:cstheme="minorHAnsi"/>
          <w:bCs/>
          <w:sz w:val="26"/>
          <w:szCs w:val="26"/>
        </w:rPr>
        <w:t xml:space="preserve">ccused had admitted to the </w:t>
      </w:r>
      <w:r w:rsidR="009D5970">
        <w:rPr>
          <w:rFonts w:eastAsia="Calibri" w:cstheme="minorHAnsi"/>
          <w:bCs/>
          <w:sz w:val="26"/>
          <w:szCs w:val="26"/>
        </w:rPr>
        <w:t>statement and</w:t>
      </w:r>
      <w:r w:rsidR="00164CCB">
        <w:rPr>
          <w:rFonts w:eastAsia="Calibri" w:cstheme="minorHAnsi"/>
          <w:bCs/>
          <w:sz w:val="26"/>
          <w:szCs w:val="26"/>
        </w:rPr>
        <w:t xml:space="preserve"> his attempts to distance himself from the statement by claiming he was not in his senses and that he had been led to believe the matter would end when he admitted the offence was a lie.</w:t>
      </w:r>
    </w:p>
    <w:p w14:paraId="7DE1785E" w14:textId="39DD54ED" w:rsidR="00FC3B0C" w:rsidRDefault="008B3C62" w:rsidP="008B65B9">
      <w:pPr>
        <w:spacing w:after="200" w:line="360" w:lineRule="auto"/>
        <w:jc w:val="both"/>
        <w:rPr>
          <w:rFonts w:eastAsia="Calibri" w:cstheme="minorHAnsi"/>
          <w:bCs/>
          <w:sz w:val="26"/>
          <w:szCs w:val="26"/>
        </w:rPr>
      </w:pPr>
      <w:r>
        <w:rPr>
          <w:rFonts w:eastAsia="Calibri" w:cstheme="minorHAnsi"/>
          <w:bCs/>
          <w:sz w:val="26"/>
          <w:szCs w:val="26"/>
        </w:rPr>
        <w:lastRenderedPageBreak/>
        <w:t>At the time that</w:t>
      </w:r>
      <w:r w:rsidR="00164CCB">
        <w:rPr>
          <w:rFonts w:eastAsia="Calibri" w:cstheme="minorHAnsi"/>
          <w:bCs/>
          <w:sz w:val="26"/>
          <w:szCs w:val="26"/>
        </w:rPr>
        <w:t xml:space="preserve"> the statement </w:t>
      </w:r>
      <w:proofErr w:type="gramStart"/>
      <w:r>
        <w:rPr>
          <w:rFonts w:eastAsia="Calibri" w:cstheme="minorHAnsi"/>
          <w:bCs/>
          <w:sz w:val="26"/>
          <w:szCs w:val="26"/>
        </w:rPr>
        <w:t>was taken</w:t>
      </w:r>
      <w:proofErr w:type="gramEnd"/>
      <w:r>
        <w:rPr>
          <w:rFonts w:eastAsia="Calibri" w:cstheme="minorHAnsi"/>
          <w:bCs/>
          <w:sz w:val="26"/>
          <w:szCs w:val="26"/>
        </w:rPr>
        <w:t xml:space="preserve"> </w:t>
      </w:r>
      <w:r w:rsidR="00164CCB">
        <w:rPr>
          <w:rFonts w:eastAsia="Calibri" w:cstheme="minorHAnsi"/>
          <w:bCs/>
          <w:sz w:val="26"/>
          <w:szCs w:val="26"/>
        </w:rPr>
        <w:t>into evidence</w:t>
      </w:r>
      <w:r>
        <w:rPr>
          <w:rFonts w:eastAsia="Calibri" w:cstheme="minorHAnsi"/>
          <w:bCs/>
          <w:sz w:val="26"/>
          <w:szCs w:val="26"/>
        </w:rPr>
        <w:t>,</w:t>
      </w:r>
      <w:r w:rsidR="00164CCB">
        <w:rPr>
          <w:rFonts w:eastAsia="Calibri" w:cstheme="minorHAnsi"/>
          <w:bCs/>
          <w:sz w:val="26"/>
          <w:szCs w:val="26"/>
        </w:rPr>
        <w:t xml:space="preserve"> </w:t>
      </w:r>
      <w:r w:rsidR="001936E8">
        <w:rPr>
          <w:rFonts w:eastAsia="Calibri" w:cstheme="minorHAnsi"/>
          <w:bCs/>
          <w:sz w:val="26"/>
          <w:szCs w:val="26"/>
        </w:rPr>
        <w:t xml:space="preserve">the prosecution sought to </w:t>
      </w:r>
      <w:r>
        <w:rPr>
          <w:rFonts w:eastAsia="Calibri" w:cstheme="minorHAnsi"/>
          <w:bCs/>
          <w:sz w:val="26"/>
          <w:szCs w:val="26"/>
        </w:rPr>
        <w:t xml:space="preserve">disprove </w:t>
      </w:r>
      <w:r w:rsidR="001936E8">
        <w:rPr>
          <w:rFonts w:eastAsia="Calibri" w:cstheme="minorHAnsi"/>
          <w:bCs/>
          <w:sz w:val="26"/>
          <w:szCs w:val="26"/>
        </w:rPr>
        <w:t xml:space="preserve">the </w:t>
      </w:r>
      <w:r w:rsidR="009D359F">
        <w:rPr>
          <w:rFonts w:eastAsia="Calibri" w:cstheme="minorHAnsi"/>
          <w:bCs/>
          <w:sz w:val="26"/>
          <w:szCs w:val="26"/>
        </w:rPr>
        <w:t>A</w:t>
      </w:r>
      <w:r>
        <w:rPr>
          <w:rFonts w:eastAsia="Calibri" w:cstheme="minorHAnsi"/>
          <w:bCs/>
          <w:sz w:val="26"/>
          <w:szCs w:val="26"/>
        </w:rPr>
        <w:t xml:space="preserve">ccused’s testimony </w:t>
      </w:r>
      <w:r w:rsidR="001936E8">
        <w:rPr>
          <w:rFonts w:eastAsia="Calibri" w:cstheme="minorHAnsi"/>
          <w:bCs/>
          <w:sz w:val="26"/>
          <w:szCs w:val="26"/>
        </w:rPr>
        <w:t>that his Charge and Caution Statement was obtained</w:t>
      </w:r>
      <w:r>
        <w:rPr>
          <w:rFonts w:eastAsia="Calibri" w:cstheme="minorHAnsi"/>
          <w:bCs/>
          <w:sz w:val="26"/>
          <w:szCs w:val="26"/>
        </w:rPr>
        <w:t xml:space="preserve"> under equivocal circumstances</w:t>
      </w:r>
      <w:r w:rsidR="001936E8">
        <w:rPr>
          <w:rFonts w:eastAsia="Calibri" w:cstheme="minorHAnsi"/>
          <w:bCs/>
          <w:sz w:val="26"/>
          <w:szCs w:val="26"/>
        </w:rPr>
        <w:t xml:space="preserve">. </w:t>
      </w:r>
      <w:proofErr w:type="gramStart"/>
      <w:r w:rsidR="003308C3">
        <w:rPr>
          <w:rFonts w:eastAsia="Calibri" w:cstheme="minorHAnsi"/>
          <w:bCs/>
          <w:sz w:val="26"/>
          <w:szCs w:val="26"/>
        </w:rPr>
        <w:t xml:space="preserve">However, </w:t>
      </w:r>
      <w:r w:rsidR="001936E8">
        <w:rPr>
          <w:rFonts w:eastAsia="Calibri" w:cstheme="minorHAnsi"/>
          <w:bCs/>
          <w:sz w:val="26"/>
          <w:szCs w:val="26"/>
        </w:rPr>
        <w:t xml:space="preserve">I find that in as much as the statement was obtained from the </w:t>
      </w:r>
      <w:r w:rsidR="009D359F">
        <w:rPr>
          <w:rFonts w:eastAsia="Calibri" w:cstheme="minorHAnsi"/>
          <w:bCs/>
          <w:sz w:val="26"/>
          <w:szCs w:val="26"/>
        </w:rPr>
        <w:t>A</w:t>
      </w:r>
      <w:r w:rsidR="001936E8">
        <w:rPr>
          <w:rFonts w:eastAsia="Calibri" w:cstheme="minorHAnsi"/>
          <w:bCs/>
          <w:sz w:val="26"/>
          <w:szCs w:val="26"/>
        </w:rPr>
        <w:t>ccused as a Charge and Caution Statement</w:t>
      </w:r>
      <w:r w:rsidR="00C1343F">
        <w:rPr>
          <w:rFonts w:eastAsia="Calibri" w:cstheme="minorHAnsi"/>
          <w:bCs/>
          <w:sz w:val="26"/>
          <w:szCs w:val="26"/>
        </w:rPr>
        <w:t xml:space="preserve"> it was in fact a confession within the meaning of Section 23 of the Evidence Act and the fact that the </w:t>
      </w:r>
      <w:r w:rsidR="004A4C3C">
        <w:rPr>
          <w:rFonts w:eastAsia="Calibri" w:cstheme="minorHAnsi"/>
          <w:bCs/>
          <w:sz w:val="26"/>
          <w:szCs w:val="26"/>
        </w:rPr>
        <w:t>A</w:t>
      </w:r>
      <w:r w:rsidR="00C1343F">
        <w:rPr>
          <w:rFonts w:eastAsia="Calibri" w:cstheme="minorHAnsi"/>
          <w:bCs/>
          <w:sz w:val="26"/>
          <w:szCs w:val="26"/>
        </w:rPr>
        <w:t>ccused had raised an issue of a possible inducement to the confession contrary to Section 24 of the Evidence Act meant that the statement ought not to have been admitted in evidence without being subjected to a trial within a trial.</w:t>
      </w:r>
      <w:proofErr w:type="gramEnd"/>
      <w:r w:rsidR="00C1343F">
        <w:rPr>
          <w:rFonts w:eastAsia="Calibri" w:cstheme="minorHAnsi"/>
          <w:bCs/>
          <w:sz w:val="26"/>
          <w:szCs w:val="26"/>
        </w:rPr>
        <w:t xml:space="preserve"> The fact that the </w:t>
      </w:r>
      <w:r w:rsidR="004A4C3C">
        <w:rPr>
          <w:rFonts w:eastAsia="Calibri" w:cstheme="minorHAnsi"/>
          <w:bCs/>
          <w:sz w:val="26"/>
          <w:szCs w:val="26"/>
        </w:rPr>
        <w:t>P</w:t>
      </w:r>
      <w:r w:rsidR="00C1343F">
        <w:rPr>
          <w:rFonts w:eastAsia="Calibri" w:cstheme="minorHAnsi"/>
          <w:bCs/>
          <w:sz w:val="26"/>
          <w:szCs w:val="26"/>
        </w:rPr>
        <w:t>rosecution adduced the statement in evidence in rebuttal of the</w:t>
      </w:r>
      <w:r w:rsidR="004A4C3C">
        <w:rPr>
          <w:rFonts w:eastAsia="Calibri" w:cstheme="minorHAnsi"/>
          <w:bCs/>
          <w:sz w:val="26"/>
          <w:szCs w:val="26"/>
        </w:rPr>
        <w:t xml:space="preserve"> A</w:t>
      </w:r>
      <w:r w:rsidR="00C1343F">
        <w:rPr>
          <w:rFonts w:eastAsia="Calibri" w:cstheme="minorHAnsi"/>
          <w:bCs/>
          <w:sz w:val="26"/>
          <w:szCs w:val="26"/>
        </w:rPr>
        <w:t xml:space="preserve">ccused’s own testimony discrediting the statement does not remove the need for the statement to have been specifically proven before </w:t>
      </w:r>
      <w:r w:rsidR="002A3402">
        <w:rPr>
          <w:rFonts w:eastAsia="Calibri" w:cstheme="minorHAnsi"/>
          <w:bCs/>
          <w:sz w:val="26"/>
          <w:szCs w:val="26"/>
        </w:rPr>
        <w:t>C</w:t>
      </w:r>
      <w:r w:rsidR="00C1343F">
        <w:rPr>
          <w:rFonts w:eastAsia="Calibri" w:cstheme="minorHAnsi"/>
          <w:bCs/>
          <w:sz w:val="26"/>
          <w:szCs w:val="26"/>
        </w:rPr>
        <w:t>ourt and this entailed producing the officer who recorded the statement to testify regarding the circumstances under which the statement was recorded. This was not done and therefore the Charge and Caution c</w:t>
      </w:r>
      <w:r w:rsidR="00FC3B0C">
        <w:rPr>
          <w:rFonts w:eastAsia="Calibri" w:cstheme="minorHAnsi"/>
          <w:bCs/>
          <w:sz w:val="26"/>
          <w:szCs w:val="26"/>
        </w:rPr>
        <w:t>annot</w:t>
      </w:r>
      <w:r w:rsidR="00C1343F">
        <w:rPr>
          <w:rFonts w:eastAsia="Calibri" w:cstheme="minorHAnsi"/>
          <w:bCs/>
          <w:sz w:val="26"/>
          <w:szCs w:val="26"/>
        </w:rPr>
        <w:t xml:space="preserve"> be relied upon</w:t>
      </w:r>
      <w:r w:rsidR="00FC3B0C">
        <w:rPr>
          <w:rFonts w:eastAsia="Calibri" w:cstheme="minorHAnsi"/>
          <w:bCs/>
          <w:sz w:val="26"/>
          <w:szCs w:val="26"/>
        </w:rPr>
        <w:t xml:space="preserve"> as evidence against the </w:t>
      </w:r>
      <w:r w:rsidR="00E315B0">
        <w:rPr>
          <w:rFonts w:eastAsia="Calibri" w:cstheme="minorHAnsi"/>
          <w:bCs/>
          <w:sz w:val="26"/>
          <w:szCs w:val="26"/>
        </w:rPr>
        <w:t>A</w:t>
      </w:r>
      <w:r w:rsidR="00FC3B0C">
        <w:rPr>
          <w:rFonts w:eastAsia="Calibri" w:cstheme="minorHAnsi"/>
          <w:bCs/>
          <w:sz w:val="26"/>
          <w:szCs w:val="26"/>
        </w:rPr>
        <w:t>ccused</w:t>
      </w:r>
      <w:r w:rsidR="00C1343F">
        <w:rPr>
          <w:rFonts w:eastAsia="Calibri" w:cstheme="minorHAnsi"/>
          <w:bCs/>
          <w:sz w:val="26"/>
          <w:szCs w:val="26"/>
        </w:rPr>
        <w:t>.</w:t>
      </w:r>
      <w:r w:rsidR="00FC3B0C">
        <w:rPr>
          <w:rFonts w:eastAsia="Calibri" w:cstheme="minorHAnsi"/>
          <w:bCs/>
          <w:sz w:val="26"/>
          <w:szCs w:val="26"/>
        </w:rPr>
        <w:t xml:space="preserve"> The requirement for a trial within a trial was well established by the Supreme Court in the case of </w:t>
      </w:r>
      <w:r w:rsidR="00FC3B0C" w:rsidRPr="0047638A">
        <w:rPr>
          <w:rFonts w:eastAsia="Calibri" w:cstheme="minorHAnsi"/>
          <w:b/>
          <w:sz w:val="26"/>
          <w:szCs w:val="26"/>
        </w:rPr>
        <w:t xml:space="preserve">Amos </w:t>
      </w:r>
      <w:proofErr w:type="spellStart"/>
      <w:r w:rsidR="00FC3B0C" w:rsidRPr="0047638A">
        <w:rPr>
          <w:rFonts w:eastAsia="Calibri" w:cstheme="minorHAnsi"/>
          <w:b/>
          <w:sz w:val="26"/>
          <w:szCs w:val="26"/>
        </w:rPr>
        <w:t>Binuge</w:t>
      </w:r>
      <w:proofErr w:type="spellEnd"/>
      <w:r w:rsidR="00FC3B0C" w:rsidRPr="0047638A">
        <w:rPr>
          <w:rFonts w:eastAsia="Calibri" w:cstheme="minorHAnsi"/>
          <w:b/>
          <w:sz w:val="26"/>
          <w:szCs w:val="26"/>
        </w:rPr>
        <w:t xml:space="preserve"> v Uganda – Criminal Appeal No 23 of 1989</w:t>
      </w:r>
      <w:r w:rsidR="00FC3B0C">
        <w:rPr>
          <w:rFonts w:eastAsia="Calibri" w:cstheme="minorHAnsi"/>
          <w:bCs/>
          <w:sz w:val="26"/>
          <w:szCs w:val="26"/>
        </w:rPr>
        <w:t xml:space="preserve"> wherein it was held that, </w:t>
      </w:r>
    </w:p>
    <w:p w14:paraId="6F1BA02F" w14:textId="580DB440" w:rsidR="000F46D0" w:rsidRPr="00644816" w:rsidRDefault="00FC3B0C" w:rsidP="008B65B9">
      <w:pPr>
        <w:spacing w:after="200" w:line="360" w:lineRule="auto"/>
        <w:ind w:left="720" w:right="521"/>
        <w:jc w:val="both"/>
        <w:rPr>
          <w:rFonts w:eastAsia="Calibri" w:cstheme="minorHAnsi"/>
          <w:bCs/>
          <w:i/>
          <w:iCs/>
          <w:sz w:val="26"/>
          <w:szCs w:val="26"/>
        </w:rPr>
      </w:pPr>
      <w:r w:rsidRPr="00644816">
        <w:rPr>
          <w:rFonts w:eastAsia="Calibri" w:cstheme="minorHAnsi"/>
          <w:bCs/>
          <w:i/>
          <w:iCs/>
          <w:sz w:val="26"/>
          <w:szCs w:val="26"/>
        </w:rPr>
        <w:t>“It is trite law that when the admissibility of an extra-judicial statement is challenged then the objecting accused must be given a chance to establish, by evidence, his grounds of objection. This is done through a trial within a trial.”</w:t>
      </w:r>
    </w:p>
    <w:p w14:paraId="2DBA0E9A" w14:textId="64817F36" w:rsidR="00FC3B0C" w:rsidRDefault="00FC3B0C" w:rsidP="008B65B9">
      <w:pPr>
        <w:spacing w:after="200" w:line="360" w:lineRule="auto"/>
        <w:jc w:val="both"/>
        <w:rPr>
          <w:rFonts w:eastAsia="Calibri" w:cstheme="minorHAnsi"/>
          <w:bCs/>
          <w:sz w:val="26"/>
          <w:szCs w:val="26"/>
        </w:rPr>
      </w:pPr>
      <w:r>
        <w:rPr>
          <w:rFonts w:eastAsia="Calibri" w:cstheme="minorHAnsi"/>
          <w:bCs/>
          <w:sz w:val="26"/>
          <w:szCs w:val="26"/>
        </w:rPr>
        <w:t xml:space="preserve">This therefore leaves only the evidence of </w:t>
      </w:r>
      <w:r w:rsidRPr="003308C3">
        <w:rPr>
          <w:rFonts w:eastAsia="Calibri" w:cstheme="minorHAnsi"/>
          <w:b/>
          <w:bCs/>
          <w:sz w:val="26"/>
          <w:szCs w:val="26"/>
        </w:rPr>
        <w:t>PW5</w:t>
      </w:r>
      <w:r>
        <w:rPr>
          <w:rFonts w:eastAsia="Calibri" w:cstheme="minorHAnsi"/>
          <w:bCs/>
          <w:sz w:val="26"/>
          <w:szCs w:val="26"/>
        </w:rPr>
        <w:t xml:space="preserve">. </w:t>
      </w:r>
      <w:r w:rsidR="00AA39ED">
        <w:rPr>
          <w:rFonts w:eastAsia="Calibri" w:cstheme="minorHAnsi"/>
          <w:bCs/>
          <w:sz w:val="26"/>
          <w:szCs w:val="26"/>
        </w:rPr>
        <w:t xml:space="preserve">Section 133 of the Evidence Act provides that subject to the provisions of any other law in force, no particular number of witnesses shall be required for the proof of any fact. This basically means that there is no limit to the number of witnesses one may produce to prove a fact. Even one witness may be sufficient for the proof of a fact. </w:t>
      </w:r>
      <w:r w:rsidR="007950D8">
        <w:rPr>
          <w:rFonts w:eastAsia="Calibri" w:cstheme="minorHAnsi"/>
          <w:bCs/>
          <w:sz w:val="26"/>
          <w:szCs w:val="26"/>
        </w:rPr>
        <w:t xml:space="preserve">However, in the case of </w:t>
      </w:r>
      <w:r w:rsidR="007950D8" w:rsidRPr="000567A3">
        <w:rPr>
          <w:rFonts w:eastAsia="Calibri" w:cstheme="minorHAnsi"/>
          <w:b/>
          <w:sz w:val="26"/>
          <w:szCs w:val="26"/>
        </w:rPr>
        <w:t>Chila and Another v Republic (1967) EA 722</w:t>
      </w:r>
      <w:r w:rsidR="007950D8">
        <w:rPr>
          <w:rFonts w:eastAsia="Calibri" w:cstheme="minorHAnsi"/>
          <w:bCs/>
          <w:sz w:val="26"/>
          <w:szCs w:val="26"/>
        </w:rPr>
        <w:t xml:space="preserve">, which decision has since been adopted by the Supreme Court of Uganda in its own decisions such as in the case of </w:t>
      </w:r>
      <w:r w:rsidR="007950D8" w:rsidRPr="000567A3">
        <w:rPr>
          <w:rFonts w:eastAsia="Calibri" w:cstheme="minorHAnsi"/>
          <w:b/>
          <w:sz w:val="26"/>
          <w:szCs w:val="26"/>
        </w:rPr>
        <w:t>Livingstone Sewanyana v Uganda – Criminal Appeal No 19 of 2006</w:t>
      </w:r>
      <w:r w:rsidR="007950D8">
        <w:rPr>
          <w:rFonts w:eastAsia="Calibri" w:cstheme="minorHAnsi"/>
          <w:bCs/>
          <w:sz w:val="26"/>
          <w:szCs w:val="26"/>
        </w:rPr>
        <w:t>, it was held that,</w:t>
      </w:r>
    </w:p>
    <w:p w14:paraId="53F53268" w14:textId="7C8742E0" w:rsidR="007950D8" w:rsidRPr="00644816" w:rsidRDefault="007950D8" w:rsidP="008B65B9">
      <w:pPr>
        <w:spacing w:after="200" w:line="360" w:lineRule="auto"/>
        <w:ind w:left="720" w:right="521"/>
        <w:jc w:val="both"/>
        <w:rPr>
          <w:rFonts w:eastAsia="Calibri" w:cstheme="minorHAnsi"/>
          <w:bCs/>
          <w:i/>
          <w:iCs/>
          <w:sz w:val="26"/>
          <w:szCs w:val="26"/>
        </w:rPr>
      </w:pPr>
      <w:r w:rsidRPr="00644816">
        <w:rPr>
          <w:rFonts w:eastAsia="Calibri" w:cstheme="minorHAnsi"/>
          <w:bCs/>
          <w:i/>
          <w:iCs/>
          <w:sz w:val="26"/>
          <w:szCs w:val="26"/>
        </w:rPr>
        <w:lastRenderedPageBreak/>
        <w:t>“The judge should warn the assessors and himself of the danger of acting on the uncorroborated testimony of the complainant, but having done so he may convict in the absence of corroboration if he is satisfied that her evidence is truthful. If no such warning is given, then the conviction will normally be set aside unless the appellate court is satisfied that there was no failure of justice.”</w:t>
      </w:r>
    </w:p>
    <w:p w14:paraId="577DADBE" w14:textId="4DE51AC7" w:rsidR="00644816" w:rsidRDefault="007950D8" w:rsidP="008B65B9">
      <w:pPr>
        <w:spacing w:after="200" w:line="360" w:lineRule="auto"/>
        <w:jc w:val="both"/>
        <w:rPr>
          <w:rFonts w:eastAsia="Calibri" w:cstheme="minorHAnsi"/>
          <w:bCs/>
          <w:sz w:val="26"/>
          <w:szCs w:val="26"/>
        </w:rPr>
      </w:pPr>
      <w:r>
        <w:rPr>
          <w:rFonts w:eastAsia="Calibri" w:cstheme="minorHAnsi"/>
          <w:bCs/>
          <w:sz w:val="26"/>
          <w:szCs w:val="26"/>
        </w:rPr>
        <w:t xml:space="preserve">In light of the decision above and my </w:t>
      </w:r>
      <w:r w:rsidR="00BA0D06">
        <w:rPr>
          <w:rFonts w:eastAsia="Calibri" w:cstheme="minorHAnsi"/>
          <w:bCs/>
          <w:sz w:val="26"/>
          <w:szCs w:val="26"/>
        </w:rPr>
        <w:t xml:space="preserve">analysis of the evidence in this matter, I have to be mindful of the fact that </w:t>
      </w:r>
      <w:r w:rsidR="00BA0D06" w:rsidRPr="003308C3">
        <w:rPr>
          <w:rFonts w:eastAsia="Calibri" w:cstheme="minorHAnsi"/>
          <w:b/>
          <w:bCs/>
          <w:sz w:val="26"/>
          <w:szCs w:val="26"/>
        </w:rPr>
        <w:t>PW5</w:t>
      </w:r>
      <w:r w:rsidR="00BA0D06">
        <w:rPr>
          <w:rFonts w:eastAsia="Calibri" w:cstheme="minorHAnsi"/>
          <w:bCs/>
          <w:sz w:val="26"/>
          <w:szCs w:val="26"/>
        </w:rPr>
        <w:t xml:space="preserve"> the </w:t>
      </w:r>
      <w:r w:rsidR="00686CDE">
        <w:rPr>
          <w:rFonts w:eastAsia="Calibri" w:cstheme="minorHAnsi"/>
          <w:bCs/>
          <w:sz w:val="26"/>
          <w:szCs w:val="26"/>
        </w:rPr>
        <w:t>V</w:t>
      </w:r>
      <w:r w:rsidR="00BA0D06">
        <w:rPr>
          <w:rFonts w:eastAsia="Calibri" w:cstheme="minorHAnsi"/>
          <w:bCs/>
          <w:sz w:val="26"/>
          <w:szCs w:val="26"/>
        </w:rPr>
        <w:t xml:space="preserve">ictim’s evidence in this matter stands uncorroborated and </w:t>
      </w:r>
      <w:proofErr w:type="gramStart"/>
      <w:r w:rsidR="00BA0D06">
        <w:rPr>
          <w:rFonts w:eastAsia="Calibri" w:cstheme="minorHAnsi"/>
          <w:bCs/>
          <w:sz w:val="26"/>
          <w:szCs w:val="26"/>
        </w:rPr>
        <w:t>must be carefully weighed</w:t>
      </w:r>
      <w:proofErr w:type="gramEnd"/>
      <w:r w:rsidR="00BA0D06">
        <w:rPr>
          <w:rFonts w:eastAsia="Calibri" w:cstheme="minorHAnsi"/>
          <w:bCs/>
          <w:sz w:val="26"/>
          <w:szCs w:val="26"/>
        </w:rPr>
        <w:t xml:space="preserve"> in that regard. The evidence of </w:t>
      </w:r>
      <w:r w:rsidR="00BA0D06" w:rsidRPr="003308C3">
        <w:rPr>
          <w:rFonts w:eastAsia="Calibri" w:cstheme="minorHAnsi"/>
          <w:b/>
          <w:bCs/>
          <w:sz w:val="26"/>
          <w:szCs w:val="26"/>
        </w:rPr>
        <w:t>PW5</w:t>
      </w:r>
      <w:r w:rsidR="00BA0D06">
        <w:rPr>
          <w:rFonts w:eastAsia="Calibri" w:cstheme="minorHAnsi"/>
          <w:bCs/>
          <w:sz w:val="26"/>
          <w:szCs w:val="26"/>
        </w:rPr>
        <w:t xml:space="preserve"> was not entirely conclusive or clear in some material regards. </w:t>
      </w:r>
    </w:p>
    <w:p w14:paraId="672BCBAD" w14:textId="77777777" w:rsidR="00BC6E49" w:rsidRPr="00BC6E49" w:rsidRDefault="00BC6E49" w:rsidP="00BC6E49">
      <w:pPr>
        <w:spacing w:after="80" w:line="360" w:lineRule="auto"/>
        <w:jc w:val="both"/>
        <w:rPr>
          <w:rFonts w:ascii="Calibri" w:eastAsia="Calibri" w:hAnsi="Calibri" w:cs="Times New Roman"/>
          <w:sz w:val="26"/>
          <w:szCs w:val="26"/>
        </w:rPr>
      </w:pPr>
      <w:r w:rsidRPr="00BC6E49">
        <w:rPr>
          <w:rFonts w:ascii="Calibri" w:eastAsia="Calibri" w:hAnsi="Calibri" w:cs="Times New Roman"/>
          <w:sz w:val="26"/>
          <w:szCs w:val="26"/>
        </w:rPr>
        <w:t xml:space="preserve">In the case of </w:t>
      </w:r>
      <w:r w:rsidRPr="00BC6E49">
        <w:rPr>
          <w:rFonts w:ascii="Calibri" w:eastAsia="Calibri" w:hAnsi="Calibri" w:cs="Times New Roman"/>
          <w:b/>
          <w:sz w:val="26"/>
          <w:szCs w:val="26"/>
        </w:rPr>
        <w:t xml:space="preserve">No. 0875 </w:t>
      </w:r>
      <w:proofErr w:type="spellStart"/>
      <w:r w:rsidRPr="00BC6E49">
        <w:rPr>
          <w:rFonts w:ascii="Calibri" w:eastAsia="Calibri" w:hAnsi="Calibri" w:cs="Times New Roman"/>
          <w:b/>
          <w:sz w:val="26"/>
          <w:szCs w:val="26"/>
        </w:rPr>
        <w:t>Pte</w:t>
      </w:r>
      <w:proofErr w:type="spellEnd"/>
      <w:r w:rsidRPr="00BC6E49">
        <w:rPr>
          <w:rFonts w:ascii="Calibri" w:eastAsia="Calibri" w:hAnsi="Calibri" w:cs="Times New Roman"/>
          <w:b/>
          <w:sz w:val="26"/>
          <w:szCs w:val="26"/>
        </w:rPr>
        <w:t xml:space="preserve"> </w:t>
      </w:r>
      <w:proofErr w:type="spellStart"/>
      <w:r w:rsidRPr="00BC6E49">
        <w:rPr>
          <w:rFonts w:ascii="Calibri" w:eastAsia="Calibri" w:hAnsi="Calibri" w:cs="Times New Roman"/>
          <w:b/>
          <w:sz w:val="26"/>
          <w:szCs w:val="26"/>
        </w:rPr>
        <w:t>Wepukhulu</w:t>
      </w:r>
      <w:proofErr w:type="spellEnd"/>
      <w:r w:rsidRPr="00BC6E49">
        <w:rPr>
          <w:rFonts w:ascii="Calibri" w:eastAsia="Calibri" w:hAnsi="Calibri" w:cs="Times New Roman"/>
          <w:b/>
          <w:sz w:val="26"/>
          <w:szCs w:val="26"/>
        </w:rPr>
        <w:t xml:space="preserve"> </w:t>
      </w:r>
      <w:proofErr w:type="spellStart"/>
      <w:r w:rsidRPr="00BC6E49">
        <w:rPr>
          <w:rFonts w:ascii="Calibri" w:eastAsia="Calibri" w:hAnsi="Calibri" w:cs="Times New Roman"/>
          <w:b/>
          <w:sz w:val="26"/>
          <w:szCs w:val="26"/>
        </w:rPr>
        <w:t>Nyuguli</w:t>
      </w:r>
      <w:proofErr w:type="spellEnd"/>
      <w:r w:rsidRPr="00BC6E49">
        <w:rPr>
          <w:rFonts w:ascii="Calibri" w:eastAsia="Calibri" w:hAnsi="Calibri" w:cs="Times New Roman"/>
          <w:b/>
          <w:sz w:val="26"/>
          <w:szCs w:val="26"/>
        </w:rPr>
        <w:t xml:space="preserve"> v Uganda (2002) UGSC 14 </w:t>
      </w:r>
      <w:r w:rsidRPr="00BC6E49">
        <w:rPr>
          <w:rFonts w:ascii="Calibri" w:eastAsia="Calibri" w:hAnsi="Calibri" w:cs="Times New Roman"/>
          <w:sz w:val="26"/>
          <w:szCs w:val="26"/>
        </w:rPr>
        <w:t xml:space="preserve">the Supreme Court in reference to the defunct EACA case </w:t>
      </w:r>
      <w:r w:rsidRPr="00BC6E49">
        <w:rPr>
          <w:rFonts w:ascii="Calibri" w:eastAsia="Calibri" w:hAnsi="Calibri" w:cs="Times New Roman"/>
          <w:b/>
          <w:sz w:val="26"/>
          <w:szCs w:val="26"/>
        </w:rPr>
        <w:t xml:space="preserve">Alfred </w:t>
      </w:r>
      <w:proofErr w:type="spellStart"/>
      <w:r w:rsidRPr="00BC6E49">
        <w:rPr>
          <w:rFonts w:ascii="Calibri" w:eastAsia="Calibri" w:hAnsi="Calibri" w:cs="Times New Roman"/>
          <w:b/>
          <w:sz w:val="26"/>
          <w:szCs w:val="26"/>
        </w:rPr>
        <w:t>Tajar</w:t>
      </w:r>
      <w:proofErr w:type="spellEnd"/>
      <w:r w:rsidRPr="00BC6E49">
        <w:rPr>
          <w:rFonts w:ascii="Calibri" w:eastAsia="Calibri" w:hAnsi="Calibri" w:cs="Times New Roman"/>
          <w:b/>
          <w:sz w:val="26"/>
          <w:szCs w:val="26"/>
        </w:rPr>
        <w:t xml:space="preserve"> v Uganda – Criminal Appeal No. 167 of 1969 </w:t>
      </w:r>
      <w:r w:rsidRPr="00BC6E49">
        <w:rPr>
          <w:rFonts w:ascii="Calibri" w:eastAsia="Calibri" w:hAnsi="Calibri" w:cs="Times New Roman"/>
          <w:sz w:val="26"/>
          <w:szCs w:val="26"/>
        </w:rPr>
        <w:t>held that,</w:t>
      </w:r>
    </w:p>
    <w:p w14:paraId="16319D5E" w14:textId="77777777" w:rsidR="00BC6E49" w:rsidRPr="00BC6E49" w:rsidRDefault="00BC6E49" w:rsidP="00BC6E49">
      <w:pPr>
        <w:spacing w:after="80" w:line="360" w:lineRule="auto"/>
        <w:ind w:left="720" w:right="720"/>
        <w:jc w:val="both"/>
        <w:rPr>
          <w:rFonts w:ascii="Calibri" w:eastAsia="Calibri" w:hAnsi="Calibri" w:cs="Times New Roman"/>
          <w:i/>
          <w:sz w:val="26"/>
          <w:szCs w:val="26"/>
        </w:rPr>
      </w:pPr>
      <w:r w:rsidRPr="00BC6E49">
        <w:rPr>
          <w:rFonts w:ascii="Calibri" w:eastAsia="Calibri" w:hAnsi="Calibri" w:cs="Times New Roman"/>
          <w:i/>
          <w:sz w:val="26"/>
          <w:szCs w:val="26"/>
        </w:rPr>
        <w:t xml:space="preserve">“It is trite law that minor inconsistencies, unless they point to deliberate untruthfulness of the part of the prosecution witness, should be ignored and that major ones which go to the root of the </w:t>
      </w:r>
      <w:proofErr w:type="gramStart"/>
      <w:r w:rsidRPr="00BC6E49">
        <w:rPr>
          <w:rFonts w:ascii="Calibri" w:eastAsia="Calibri" w:hAnsi="Calibri" w:cs="Times New Roman"/>
          <w:i/>
          <w:sz w:val="26"/>
          <w:szCs w:val="26"/>
        </w:rPr>
        <w:t>case,</w:t>
      </w:r>
      <w:proofErr w:type="gramEnd"/>
      <w:r w:rsidRPr="00BC6E49">
        <w:rPr>
          <w:rFonts w:ascii="Calibri" w:eastAsia="Calibri" w:hAnsi="Calibri" w:cs="Times New Roman"/>
          <w:i/>
          <w:sz w:val="26"/>
          <w:szCs w:val="26"/>
        </w:rPr>
        <w:t xml:space="preserve"> should be resolved in </w:t>
      </w:r>
      <w:proofErr w:type="spellStart"/>
      <w:r w:rsidRPr="00BC6E49">
        <w:rPr>
          <w:rFonts w:ascii="Calibri" w:eastAsia="Calibri" w:hAnsi="Calibri" w:cs="Times New Roman"/>
          <w:i/>
          <w:sz w:val="26"/>
          <w:szCs w:val="26"/>
        </w:rPr>
        <w:t>favour</w:t>
      </w:r>
      <w:proofErr w:type="spellEnd"/>
      <w:r w:rsidRPr="00BC6E49">
        <w:rPr>
          <w:rFonts w:ascii="Calibri" w:eastAsia="Calibri" w:hAnsi="Calibri" w:cs="Times New Roman"/>
          <w:i/>
          <w:sz w:val="26"/>
          <w:szCs w:val="26"/>
        </w:rPr>
        <w:t xml:space="preserve"> of the accused.”</w:t>
      </w:r>
    </w:p>
    <w:p w14:paraId="086ED9BF" w14:textId="77777777" w:rsidR="00BC6E49" w:rsidRPr="00BC6E49" w:rsidRDefault="00BC6E49" w:rsidP="00BC6E49">
      <w:pPr>
        <w:spacing w:after="80" w:line="360" w:lineRule="auto"/>
        <w:jc w:val="both"/>
        <w:rPr>
          <w:rFonts w:ascii="Calibri" w:eastAsia="Calibri" w:hAnsi="Calibri" w:cs="Times New Roman"/>
          <w:sz w:val="26"/>
          <w:szCs w:val="26"/>
        </w:rPr>
      </w:pPr>
      <w:r w:rsidRPr="00BC6E49">
        <w:rPr>
          <w:rFonts w:ascii="Calibri" w:eastAsia="Calibri" w:hAnsi="Calibri" w:cs="Times New Roman"/>
          <w:sz w:val="26"/>
          <w:szCs w:val="26"/>
        </w:rPr>
        <w:t xml:space="preserve">Furthermore, in the case of </w:t>
      </w:r>
      <w:proofErr w:type="spellStart"/>
      <w:r w:rsidRPr="00BC6E49">
        <w:rPr>
          <w:rFonts w:ascii="Calibri" w:eastAsia="Calibri" w:hAnsi="Calibri" w:cs="Times New Roman"/>
          <w:b/>
          <w:sz w:val="26"/>
          <w:szCs w:val="26"/>
        </w:rPr>
        <w:t>Sarapio</w:t>
      </w:r>
      <w:proofErr w:type="spellEnd"/>
      <w:r w:rsidRPr="00BC6E49">
        <w:rPr>
          <w:rFonts w:ascii="Calibri" w:eastAsia="Calibri" w:hAnsi="Calibri" w:cs="Times New Roman"/>
          <w:b/>
          <w:sz w:val="26"/>
          <w:szCs w:val="26"/>
        </w:rPr>
        <w:t xml:space="preserve"> </w:t>
      </w:r>
      <w:proofErr w:type="spellStart"/>
      <w:r w:rsidRPr="00BC6E49">
        <w:rPr>
          <w:rFonts w:ascii="Calibri" w:eastAsia="Calibri" w:hAnsi="Calibri" w:cs="Times New Roman"/>
          <w:b/>
          <w:sz w:val="26"/>
          <w:szCs w:val="26"/>
        </w:rPr>
        <w:t>Tinkamalirwe</w:t>
      </w:r>
      <w:proofErr w:type="spellEnd"/>
      <w:r w:rsidRPr="00BC6E49">
        <w:rPr>
          <w:rFonts w:ascii="Calibri" w:eastAsia="Calibri" w:hAnsi="Calibri" w:cs="Times New Roman"/>
          <w:b/>
          <w:sz w:val="26"/>
          <w:szCs w:val="26"/>
        </w:rPr>
        <w:t xml:space="preserve"> v Uganda – Criminal Appeal No. 27 of 1989 </w:t>
      </w:r>
      <w:r w:rsidRPr="00BC6E49">
        <w:rPr>
          <w:rFonts w:ascii="Calibri" w:eastAsia="Calibri" w:hAnsi="Calibri" w:cs="Times New Roman"/>
          <w:sz w:val="26"/>
          <w:szCs w:val="26"/>
        </w:rPr>
        <w:t>the Supreme Court held that,</w:t>
      </w:r>
    </w:p>
    <w:p w14:paraId="694124A6" w14:textId="6239CB07" w:rsidR="00BC6E49" w:rsidRPr="00BC6E49" w:rsidRDefault="00BC6E49" w:rsidP="00BC6E49">
      <w:pPr>
        <w:spacing w:after="80" w:line="360" w:lineRule="auto"/>
        <w:ind w:left="720" w:right="720"/>
        <w:jc w:val="both"/>
        <w:rPr>
          <w:rFonts w:ascii="Calibri" w:eastAsia="Calibri" w:hAnsi="Calibri" w:cs="Times New Roman"/>
          <w:sz w:val="26"/>
          <w:szCs w:val="26"/>
        </w:rPr>
      </w:pPr>
      <w:r w:rsidRPr="00BC6E49">
        <w:rPr>
          <w:rFonts w:ascii="Calibri" w:eastAsia="Calibri" w:hAnsi="Calibri" w:cs="Times New Roman"/>
          <w:i/>
          <w:sz w:val="26"/>
          <w:szCs w:val="26"/>
        </w:rPr>
        <w:t xml:space="preserve">“It is not every inconsistency that will result in a witness testimony being rejected. It is only a grave inconsistency, unless satisfactorily explained, which </w:t>
      </w:r>
      <w:proofErr w:type="gramStart"/>
      <w:r w:rsidRPr="00BC6E49">
        <w:rPr>
          <w:rFonts w:ascii="Calibri" w:eastAsia="Calibri" w:hAnsi="Calibri" w:cs="Times New Roman"/>
          <w:i/>
          <w:sz w:val="26"/>
          <w:szCs w:val="26"/>
        </w:rPr>
        <w:t>will usually, but not necessarily result</w:t>
      </w:r>
      <w:proofErr w:type="gramEnd"/>
      <w:r w:rsidRPr="00BC6E49">
        <w:rPr>
          <w:rFonts w:ascii="Calibri" w:eastAsia="Calibri" w:hAnsi="Calibri" w:cs="Times New Roman"/>
          <w:i/>
          <w:sz w:val="26"/>
          <w:szCs w:val="26"/>
        </w:rPr>
        <w:t xml:space="preserve"> in the evidence of a witness being rejected. Minor inconsistencies will not usually have the effect unless the Court thinks they point to deliberate untruthfulness.”</w:t>
      </w:r>
    </w:p>
    <w:p w14:paraId="382C5F1D" w14:textId="6B6D72A3" w:rsidR="00BC6E49" w:rsidRDefault="00BA0D06" w:rsidP="008B65B9">
      <w:pPr>
        <w:spacing w:after="200" w:line="360" w:lineRule="auto"/>
        <w:jc w:val="both"/>
        <w:rPr>
          <w:rFonts w:eastAsia="Calibri" w:cstheme="minorHAnsi"/>
          <w:bCs/>
          <w:sz w:val="26"/>
          <w:szCs w:val="26"/>
        </w:rPr>
      </w:pPr>
      <w:r>
        <w:rPr>
          <w:rFonts w:eastAsia="Calibri" w:cstheme="minorHAnsi"/>
          <w:bCs/>
          <w:sz w:val="26"/>
          <w:szCs w:val="26"/>
        </w:rPr>
        <w:t xml:space="preserve">As concerns truthfulness, </w:t>
      </w:r>
      <w:r w:rsidRPr="003308C3">
        <w:rPr>
          <w:rFonts w:eastAsia="Calibri" w:cstheme="minorHAnsi"/>
          <w:b/>
          <w:bCs/>
          <w:sz w:val="26"/>
          <w:szCs w:val="26"/>
        </w:rPr>
        <w:t>PW5</w:t>
      </w:r>
      <w:r>
        <w:rPr>
          <w:rFonts w:eastAsia="Calibri" w:cstheme="minorHAnsi"/>
          <w:bCs/>
          <w:sz w:val="26"/>
          <w:szCs w:val="26"/>
        </w:rPr>
        <w:t xml:space="preserve"> stated during examination in chief that she heard someone knock at the gate while she was asleep in the house and that the </w:t>
      </w:r>
      <w:r w:rsidR="004E2B46">
        <w:rPr>
          <w:rFonts w:eastAsia="Calibri" w:cstheme="minorHAnsi"/>
          <w:bCs/>
          <w:sz w:val="26"/>
          <w:szCs w:val="26"/>
        </w:rPr>
        <w:t>A</w:t>
      </w:r>
      <w:r>
        <w:rPr>
          <w:rFonts w:eastAsia="Calibri" w:cstheme="minorHAnsi"/>
          <w:bCs/>
          <w:sz w:val="26"/>
          <w:szCs w:val="26"/>
        </w:rPr>
        <w:t>ccused had made his way into the house and assaulted her in her room. This version of events left me with some doubt as to what really transpired because during cross-</w:t>
      </w:r>
      <w:r>
        <w:rPr>
          <w:rFonts w:eastAsia="Calibri" w:cstheme="minorHAnsi"/>
          <w:bCs/>
          <w:sz w:val="26"/>
          <w:szCs w:val="26"/>
        </w:rPr>
        <w:lastRenderedPageBreak/>
        <w:t xml:space="preserve">examination </w:t>
      </w:r>
      <w:r w:rsidRPr="003308C3">
        <w:rPr>
          <w:rFonts w:eastAsia="Calibri" w:cstheme="minorHAnsi"/>
          <w:b/>
          <w:bCs/>
          <w:sz w:val="26"/>
          <w:szCs w:val="26"/>
        </w:rPr>
        <w:t>PW5</w:t>
      </w:r>
      <w:r>
        <w:rPr>
          <w:rFonts w:eastAsia="Calibri" w:cstheme="minorHAnsi"/>
          <w:bCs/>
          <w:sz w:val="26"/>
          <w:szCs w:val="26"/>
        </w:rPr>
        <w:t xml:space="preserve"> stated that prior to the </w:t>
      </w:r>
      <w:r w:rsidR="004E2B46">
        <w:rPr>
          <w:rFonts w:eastAsia="Calibri" w:cstheme="minorHAnsi"/>
          <w:bCs/>
          <w:sz w:val="26"/>
          <w:szCs w:val="26"/>
        </w:rPr>
        <w:t>A</w:t>
      </w:r>
      <w:r>
        <w:rPr>
          <w:rFonts w:eastAsia="Calibri" w:cstheme="minorHAnsi"/>
          <w:bCs/>
          <w:sz w:val="26"/>
          <w:szCs w:val="26"/>
        </w:rPr>
        <w:t xml:space="preserve">ccused arriving and assaulting her she had woken up to go outside and let out the chickens. She also stated that she took a crawling two-year-old child by the name </w:t>
      </w:r>
      <w:proofErr w:type="spellStart"/>
      <w:r>
        <w:rPr>
          <w:rFonts w:eastAsia="Calibri" w:cstheme="minorHAnsi"/>
          <w:bCs/>
          <w:sz w:val="26"/>
          <w:szCs w:val="26"/>
        </w:rPr>
        <w:t>Tibokina</w:t>
      </w:r>
      <w:proofErr w:type="spellEnd"/>
      <w:r>
        <w:rPr>
          <w:rFonts w:eastAsia="Calibri" w:cstheme="minorHAnsi"/>
          <w:bCs/>
          <w:sz w:val="26"/>
          <w:szCs w:val="26"/>
        </w:rPr>
        <w:t xml:space="preserve"> outside at the same time she released the chickens and then went back into the house to sleep. I have difficulty believing that a</w:t>
      </w:r>
      <w:r w:rsidR="003F2000">
        <w:rPr>
          <w:rFonts w:eastAsia="Calibri" w:cstheme="minorHAnsi"/>
          <w:bCs/>
          <w:sz w:val="26"/>
          <w:szCs w:val="26"/>
        </w:rPr>
        <w:t xml:space="preserve"> child at the age of </w:t>
      </w:r>
      <w:r w:rsidR="003F2000" w:rsidRPr="003308C3">
        <w:rPr>
          <w:rFonts w:eastAsia="Calibri" w:cstheme="minorHAnsi"/>
          <w:b/>
          <w:bCs/>
          <w:sz w:val="26"/>
          <w:szCs w:val="26"/>
        </w:rPr>
        <w:t>PW5</w:t>
      </w:r>
      <w:r w:rsidR="003F2000">
        <w:rPr>
          <w:rFonts w:eastAsia="Calibri" w:cstheme="minorHAnsi"/>
          <w:bCs/>
          <w:sz w:val="26"/>
          <w:szCs w:val="26"/>
        </w:rPr>
        <w:t xml:space="preserve"> (13 years at the time) would leave a crawling two-year-old outside and then retreat into the house to sleep. It is even more difficult to accept that having heard a knock at the gate, </w:t>
      </w:r>
      <w:r w:rsidR="003F2000" w:rsidRPr="003308C3">
        <w:rPr>
          <w:rFonts w:eastAsia="Calibri" w:cstheme="minorHAnsi"/>
          <w:b/>
          <w:bCs/>
          <w:sz w:val="26"/>
          <w:szCs w:val="26"/>
        </w:rPr>
        <w:t xml:space="preserve">PW5 </w:t>
      </w:r>
      <w:r w:rsidR="003F2000">
        <w:rPr>
          <w:rFonts w:eastAsia="Calibri" w:cstheme="minorHAnsi"/>
          <w:bCs/>
          <w:sz w:val="26"/>
          <w:szCs w:val="26"/>
        </w:rPr>
        <w:t xml:space="preserve">would continue to remain in bed knowing fully well that she had left a baby unattended outside. </w:t>
      </w:r>
      <w:r w:rsidR="00BC6E49">
        <w:rPr>
          <w:rFonts w:eastAsia="Calibri" w:cstheme="minorHAnsi"/>
          <w:bCs/>
          <w:sz w:val="26"/>
          <w:szCs w:val="26"/>
        </w:rPr>
        <w:t xml:space="preserve">These inconsistencies in </w:t>
      </w:r>
      <w:r w:rsidR="00BC6E49" w:rsidRPr="003308C3">
        <w:rPr>
          <w:rFonts w:eastAsia="Calibri" w:cstheme="minorHAnsi"/>
          <w:b/>
          <w:bCs/>
          <w:sz w:val="26"/>
          <w:szCs w:val="26"/>
        </w:rPr>
        <w:t>PW5</w:t>
      </w:r>
      <w:r w:rsidR="00BC6E49">
        <w:rPr>
          <w:rFonts w:eastAsia="Calibri" w:cstheme="minorHAnsi"/>
          <w:bCs/>
          <w:sz w:val="26"/>
          <w:szCs w:val="26"/>
        </w:rPr>
        <w:t>’s conduct go to the root of the matter a</w:t>
      </w:r>
      <w:r w:rsidR="00C058B4">
        <w:rPr>
          <w:rFonts w:eastAsia="Calibri" w:cstheme="minorHAnsi"/>
          <w:bCs/>
          <w:sz w:val="26"/>
          <w:szCs w:val="26"/>
        </w:rPr>
        <w:t>nd leave her version of events in doubt.</w:t>
      </w:r>
    </w:p>
    <w:p w14:paraId="441BE2F7" w14:textId="2125A528" w:rsidR="007950D8" w:rsidRDefault="00BC6E49" w:rsidP="008B65B9">
      <w:pPr>
        <w:spacing w:after="200" w:line="360" w:lineRule="auto"/>
        <w:jc w:val="both"/>
        <w:rPr>
          <w:rFonts w:eastAsia="Calibri" w:cstheme="minorHAnsi"/>
          <w:bCs/>
          <w:sz w:val="26"/>
          <w:szCs w:val="26"/>
        </w:rPr>
      </w:pPr>
      <w:r>
        <w:rPr>
          <w:rFonts w:eastAsia="Calibri" w:cstheme="minorHAnsi"/>
          <w:bCs/>
          <w:sz w:val="26"/>
          <w:szCs w:val="26"/>
        </w:rPr>
        <w:t xml:space="preserve">It is also pertinent to note that </w:t>
      </w:r>
      <w:r w:rsidR="003F2000" w:rsidRPr="003308C3">
        <w:rPr>
          <w:rFonts w:eastAsia="Calibri" w:cstheme="minorHAnsi"/>
          <w:b/>
          <w:bCs/>
          <w:sz w:val="26"/>
          <w:szCs w:val="26"/>
        </w:rPr>
        <w:t>PW5</w:t>
      </w:r>
      <w:r w:rsidR="003F2000">
        <w:rPr>
          <w:rFonts w:eastAsia="Calibri" w:cstheme="minorHAnsi"/>
          <w:bCs/>
          <w:sz w:val="26"/>
          <w:szCs w:val="26"/>
        </w:rPr>
        <w:t xml:space="preserve"> also testified on cross-examination that when she heard the knock, she thought it was the </w:t>
      </w:r>
      <w:proofErr w:type="gramStart"/>
      <w:r w:rsidR="003F2000">
        <w:rPr>
          <w:rFonts w:eastAsia="Calibri" w:cstheme="minorHAnsi"/>
          <w:bCs/>
          <w:sz w:val="26"/>
          <w:szCs w:val="26"/>
        </w:rPr>
        <w:t>guys</w:t>
      </w:r>
      <w:proofErr w:type="gramEnd"/>
      <w:r w:rsidR="003F2000">
        <w:rPr>
          <w:rFonts w:eastAsia="Calibri" w:cstheme="minorHAnsi"/>
          <w:bCs/>
          <w:sz w:val="26"/>
          <w:szCs w:val="26"/>
        </w:rPr>
        <w:t xml:space="preserve"> who normally come home. This bit of information tended to corroborate the </w:t>
      </w:r>
      <w:r w:rsidR="00EA4EDD">
        <w:rPr>
          <w:rFonts w:eastAsia="Calibri" w:cstheme="minorHAnsi"/>
          <w:bCs/>
          <w:sz w:val="26"/>
          <w:szCs w:val="26"/>
        </w:rPr>
        <w:t>A</w:t>
      </w:r>
      <w:r w:rsidR="003F2000">
        <w:rPr>
          <w:rFonts w:eastAsia="Calibri" w:cstheme="minorHAnsi"/>
          <w:bCs/>
          <w:sz w:val="26"/>
          <w:szCs w:val="26"/>
        </w:rPr>
        <w:t xml:space="preserve">ccused’s testimony that he was there to collect tools that he used to keep at the </w:t>
      </w:r>
      <w:r w:rsidR="00EA4EDD">
        <w:rPr>
          <w:rFonts w:eastAsia="Calibri" w:cstheme="minorHAnsi"/>
          <w:bCs/>
          <w:sz w:val="26"/>
          <w:szCs w:val="26"/>
        </w:rPr>
        <w:t>V</w:t>
      </w:r>
      <w:r w:rsidR="003F2000">
        <w:rPr>
          <w:rFonts w:eastAsia="Calibri" w:cstheme="minorHAnsi"/>
          <w:bCs/>
          <w:sz w:val="26"/>
          <w:szCs w:val="26"/>
        </w:rPr>
        <w:t xml:space="preserve">ictim’s </w:t>
      </w:r>
      <w:r w:rsidR="003D62F5">
        <w:rPr>
          <w:rFonts w:eastAsia="Calibri" w:cstheme="minorHAnsi"/>
          <w:bCs/>
          <w:sz w:val="26"/>
          <w:szCs w:val="26"/>
        </w:rPr>
        <w:t xml:space="preserve">maternal aunt’s </w:t>
      </w:r>
      <w:r w:rsidR="003F2000">
        <w:rPr>
          <w:rFonts w:eastAsia="Calibri" w:cstheme="minorHAnsi"/>
          <w:bCs/>
          <w:sz w:val="26"/>
          <w:szCs w:val="26"/>
        </w:rPr>
        <w:t xml:space="preserve">house and that she had cut him when he tried to force his way into the house after she blocked him. </w:t>
      </w:r>
      <w:r w:rsidR="008B65B9">
        <w:rPr>
          <w:rFonts w:eastAsia="Calibri" w:cstheme="minorHAnsi"/>
          <w:bCs/>
          <w:sz w:val="26"/>
          <w:szCs w:val="26"/>
        </w:rPr>
        <w:t xml:space="preserve">There is no doubt that something took place on the day the </w:t>
      </w:r>
      <w:r w:rsidR="003D62F5">
        <w:rPr>
          <w:rFonts w:eastAsia="Calibri" w:cstheme="minorHAnsi"/>
          <w:bCs/>
          <w:sz w:val="26"/>
          <w:szCs w:val="26"/>
        </w:rPr>
        <w:t>A</w:t>
      </w:r>
      <w:r w:rsidR="008B65B9">
        <w:rPr>
          <w:rFonts w:eastAsia="Calibri" w:cstheme="minorHAnsi"/>
          <w:bCs/>
          <w:sz w:val="26"/>
          <w:szCs w:val="26"/>
        </w:rPr>
        <w:t>ccused was cut. However, w</w:t>
      </w:r>
      <w:r w:rsidR="003F2000">
        <w:rPr>
          <w:rFonts w:eastAsia="Calibri" w:cstheme="minorHAnsi"/>
          <w:bCs/>
          <w:sz w:val="26"/>
          <w:szCs w:val="26"/>
        </w:rPr>
        <w:t xml:space="preserve">ithout the benefit of medical evidence to establish the fact that the accused </w:t>
      </w:r>
      <w:r w:rsidR="008B65B9">
        <w:rPr>
          <w:rFonts w:eastAsia="Calibri" w:cstheme="minorHAnsi"/>
          <w:bCs/>
          <w:sz w:val="26"/>
          <w:szCs w:val="26"/>
        </w:rPr>
        <w:t>was there for more than just</w:t>
      </w:r>
      <w:r w:rsidR="003F2000">
        <w:rPr>
          <w:rFonts w:eastAsia="Calibri" w:cstheme="minorHAnsi"/>
          <w:bCs/>
          <w:sz w:val="26"/>
          <w:szCs w:val="26"/>
        </w:rPr>
        <w:t xml:space="preserve"> collect</w:t>
      </w:r>
      <w:r w:rsidR="008B65B9">
        <w:rPr>
          <w:rFonts w:eastAsia="Calibri" w:cstheme="minorHAnsi"/>
          <w:bCs/>
          <w:sz w:val="26"/>
          <w:szCs w:val="26"/>
        </w:rPr>
        <w:t>ing</w:t>
      </w:r>
      <w:r w:rsidR="003F2000">
        <w:rPr>
          <w:rFonts w:eastAsia="Calibri" w:cstheme="minorHAnsi"/>
          <w:bCs/>
          <w:sz w:val="26"/>
          <w:szCs w:val="26"/>
        </w:rPr>
        <w:t xml:space="preserve"> tools, there is </w:t>
      </w:r>
      <w:r w:rsidR="008B65B9">
        <w:rPr>
          <w:rFonts w:eastAsia="Calibri" w:cstheme="minorHAnsi"/>
          <w:bCs/>
          <w:sz w:val="26"/>
          <w:szCs w:val="26"/>
        </w:rPr>
        <w:t>still reasonable</w:t>
      </w:r>
      <w:r w:rsidR="003F2000">
        <w:rPr>
          <w:rFonts w:eastAsia="Calibri" w:cstheme="minorHAnsi"/>
          <w:bCs/>
          <w:sz w:val="26"/>
          <w:szCs w:val="26"/>
        </w:rPr>
        <w:t xml:space="preserve"> doubt as </w:t>
      </w:r>
      <w:r w:rsidR="003F2000" w:rsidRPr="003308C3">
        <w:rPr>
          <w:rFonts w:eastAsia="Calibri" w:cstheme="minorHAnsi"/>
          <w:b/>
          <w:bCs/>
          <w:sz w:val="26"/>
          <w:szCs w:val="26"/>
        </w:rPr>
        <w:t>PW5</w:t>
      </w:r>
      <w:r w:rsidR="00370ECB">
        <w:rPr>
          <w:rFonts w:eastAsia="Calibri" w:cstheme="minorHAnsi"/>
          <w:bCs/>
          <w:sz w:val="26"/>
          <w:szCs w:val="26"/>
        </w:rPr>
        <w:t>’</w:t>
      </w:r>
      <w:r w:rsidR="003F2000">
        <w:rPr>
          <w:rFonts w:eastAsia="Calibri" w:cstheme="minorHAnsi"/>
          <w:bCs/>
          <w:sz w:val="26"/>
          <w:szCs w:val="26"/>
        </w:rPr>
        <w:t xml:space="preserve">s testimony </w:t>
      </w:r>
      <w:r w:rsidR="0007578B">
        <w:rPr>
          <w:rFonts w:eastAsia="Calibri" w:cstheme="minorHAnsi"/>
          <w:bCs/>
          <w:sz w:val="26"/>
          <w:szCs w:val="26"/>
        </w:rPr>
        <w:t xml:space="preserve">is not only lacking in corroboration but </w:t>
      </w:r>
      <w:r w:rsidR="008B65B9">
        <w:rPr>
          <w:rFonts w:eastAsia="Calibri" w:cstheme="minorHAnsi"/>
          <w:bCs/>
          <w:sz w:val="26"/>
          <w:szCs w:val="26"/>
        </w:rPr>
        <w:t xml:space="preserve">does not </w:t>
      </w:r>
      <w:r w:rsidR="0007578B">
        <w:rPr>
          <w:rFonts w:eastAsia="Calibri" w:cstheme="minorHAnsi"/>
          <w:bCs/>
          <w:sz w:val="26"/>
          <w:szCs w:val="26"/>
        </w:rPr>
        <w:t>adequate</w:t>
      </w:r>
      <w:r w:rsidR="008B65B9">
        <w:rPr>
          <w:rFonts w:eastAsia="Calibri" w:cstheme="minorHAnsi"/>
          <w:bCs/>
          <w:sz w:val="26"/>
          <w:szCs w:val="26"/>
        </w:rPr>
        <w:t>ly</w:t>
      </w:r>
      <w:r w:rsidR="0007578B">
        <w:rPr>
          <w:rFonts w:eastAsia="Calibri" w:cstheme="minorHAnsi"/>
          <w:bCs/>
          <w:sz w:val="26"/>
          <w:szCs w:val="26"/>
        </w:rPr>
        <w:t xml:space="preserve"> rebut the </w:t>
      </w:r>
      <w:r w:rsidR="00370ECB">
        <w:rPr>
          <w:rFonts w:eastAsia="Calibri" w:cstheme="minorHAnsi"/>
          <w:bCs/>
          <w:sz w:val="26"/>
          <w:szCs w:val="26"/>
        </w:rPr>
        <w:t>A</w:t>
      </w:r>
      <w:r w:rsidR="0007578B">
        <w:rPr>
          <w:rFonts w:eastAsia="Calibri" w:cstheme="minorHAnsi"/>
          <w:bCs/>
          <w:sz w:val="26"/>
          <w:szCs w:val="26"/>
        </w:rPr>
        <w:t xml:space="preserve">ccused’s </w:t>
      </w:r>
      <w:proofErr w:type="spellStart"/>
      <w:r w:rsidR="0007578B">
        <w:rPr>
          <w:rFonts w:eastAsia="Calibri" w:cstheme="minorHAnsi"/>
          <w:bCs/>
          <w:sz w:val="26"/>
          <w:szCs w:val="26"/>
        </w:rPr>
        <w:t>defence</w:t>
      </w:r>
      <w:proofErr w:type="spellEnd"/>
      <w:r w:rsidR="0007578B">
        <w:rPr>
          <w:rFonts w:eastAsia="Calibri" w:cstheme="minorHAnsi"/>
          <w:bCs/>
          <w:sz w:val="26"/>
          <w:szCs w:val="26"/>
        </w:rPr>
        <w:t xml:space="preserve"> regarding his presence at her home.</w:t>
      </w:r>
    </w:p>
    <w:p w14:paraId="7BEFD7F6" w14:textId="5275CB08" w:rsidR="009D5970" w:rsidRPr="00BC6E49" w:rsidRDefault="00DA242E" w:rsidP="008B65B9">
      <w:pPr>
        <w:spacing w:after="200" w:line="360" w:lineRule="auto"/>
        <w:jc w:val="both"/>
        <w:rPr>
          <w:rFonts w:eastAsia="Calibri" w:cstheme="minorHAnsi"/>
          <w:bCs/>
          <w:sz w:val="26"/>
          <w:szCs w:val="26"/>
        </w:rPr>
      </w:pPr>
      <w:r>
        <w:rPr>
          <w:rFonts w:eastAsia="Calibri" w:cstheme="minorHAnsi"/>
          <w:bCs/>
          <w:sz w:val="26"/>
          <w:szCs w:val="26"/>
        </w:rPr>
        <w:t xml:space="preserve">It is with regard to the above that I respectfully disagree with the </w:t>
      </w:r>
      <w:r w:rsidR="00370ECB">
        <w:rPr>
          <w:rFonts w:eastAsia="Calibri" w:cstheme="minorHAnsi"/>
          <w:bCs/>
          <w:sz w:val="26"/>
          <w:szCs w:val="26"/>
        </w:rPr>
        <w:t>A</w:t>
      </w:r>
      <w:r>
        <w:rPr>
          <w:rFonts w:eastAsia="Calibri" w:cstheme="minorHAnsi"/>
          <w:bCs/>
          <w:sz w:val="26"/>
          <w:szCs w:val="26"/>
        </w:rPr>
        <w:t xml:space="preserve">ssessors in this matter. The </w:t>
      </w:r>
      <w:r w:rsidR="00370ECB">
        <w:rPr>
          <w:rFonts w:eastAsia="Calibri" w:cstheme="minorHAnsi"/>
          <w:bCs/>
          <w:sz w:val="26"/>
          <w:szCs w:val="26"/>
        </w:rPr>
        <w:t>A</w:t>
      </w:r>
      <w:r>
        <w:rPr>
          <w:rFonts w:eastAsia="Calibri" w:cstheme="minorHAnsi"/>
          <w:bCs/>
          <w:sz w:val="26"/>
          <w:szCs w:val="26"/>
        </w:rPr>
        <w:t xml:space="preserve">ssessors indicated in their opinion that the evidence of </w:t>
      </w:r>
      <w:r w:rsidRPr="003308C3">
        <w:rPr>
          <w:rFonts w:eastAsia="Calibri" w:cstheme="minorHAnsi"/>
          <w:b/>
          <w:bCs/>
          <w:sz w:val="26"/>
          <w:szCs w:val="26"/>
        </w:rPr>
        <w:t xml:space="preserve">PW5 </w:t>
      </w:r>
      <w:r>
        <w:rPr>
          <w:rFonts w:eastAsia="Calibri" w:cstheme="minorHAnsi"/>
          <w:bCs/>
          <w:sz w:val="26"/>
          <w:szCs w:val="26"/>
        </w:rPr>
        <w:t xml:space="preserve">on the sexual act was corroborated by the medical report and bearing that in </w:t>
      </w:r>
      <w:proofErr w:type="gramStart"/>
      <w:r>
        <w:rPr>
          <w:rFonts w:eastAsia="Calibri" w:cstheme="minorHAnsi"/>
          <w:bCs/>
          <w:sz w:val="26"/>
          <w:szCs w:val="26"/>
        </w:rPr>
        <w:t>mind</w:t>
      </w:r>
      <w:proofErr w:type="gramEnd"/>
      <w:r>
        <w:rPr>
          <w:rFonts w:eastAsia="Calibri" w:cstheme="minorHAnsi"/>
          <w:bCs/>
          <w:sz w:val="26"/>
          <w:szCs w:val="26"/>
        </w:rPr>
        <w:t xml:space="preserve"> they drew the conclusion that there was no other reason why the </w:t>
      </w:r>
      <w:r w:rsidR="0082291F">
        <w:rPr>
          <w:rFonts w:eastAsia="Calibri" w:cstheme="minorHAnsi"/>
          <w:bCs/>
          <w:sz w:val="26"/>
          <w:szCs w:val="26"/>
        </w:rPr>
        <w:t>A</w:t>
      </w:r>
      <w:r>
        <w:rPr>
          <w:rFonts w:eastAsia="Calibri" w:cstheme="minorHAnsi"/>
          <w:bCs/>
          <w:sz w:val="26"/>
          <w:szCs w:val="26"/>
        </w:rPr>
        <w:t xml:space="preserve">ccused could have been at the scene apart </w:t>
      </w:r>
      <w:r w:rsidR="008B65B9">
        <w:rPr>
          <w:rFonts w:eastAsia="Calibri" w:cstheme="minorHAnsi"/>
          <w:bCs/>
          <w:sz w:val="26"/>
          <w:szCs w:val="26"/>
        </w:rPr>
        <w:t xml:space="preserve">from </w:t>
      </w:r>
      <w:r>
        <w:rPr>
          <w:rFonts w:eastAsia="Calibri" w:cstheme="minorHAnsi"/>
          <w:bCs/>
          <w:sz w:val="26"/>
          <w:szCs w:val="26"/>
        </w:rPr>
        <w:t xml:space="preserve">defiling </w:t>
      </w:r>
      <w:r w:rsidRPr="003308C3">
        <w:rPr>
          <w:rFonts w:eastAsia="Calibri" w:cstheme="minorHAnsi"/>
          <w:b/>
          <w:bCs/>
          <w:sz w:val="26"/>
          <w:szCs w:val="26"/>
        </w:rPr>
        <w:t>PW5</w:t>
      </w:r>
      <w:r>
        <w:rPr>
          <w:rFonts w:eastAsia="Calibri" w:cstheme="minorHAnsi"/>
          <w:bCs/>
          <w:sz w:val="26"/>
          <w:szCs w:val="26"/>
        </w:rPr>
        <w:t xml:space="preserve">. However, as I have laid out in detail above, the evidence of </w:t>
      </w:r>
      <w:r w:rsidRPr="003308C3">
        <w:rPr>
          <w:rFonts w:eastAsia="Calibri" w:cstheme="minorHAnsi"/>
          <w:b/>
          <w:bCs/>
          <w:sz w:val="26"/>
          <w:szCs w:val="26"/>
        </w:rPr>
        <w:t xml:space="preserve">PW5 </w:t>
      </w:r>
      <w:r>
        <w:rPr>
          <w:rFonts w:eastAsia="Calibri" w:cstheme="minorHAnsi"/>
          <w:bCs/>
          <w:sz w:val="26"/>
          <w:szCs w:val="26"/>
        </w:rPr>
        <w:t xml:space="preserve">remained uncorroborated as the medical report turned out to be vague and inconclusive and furthermore the truthfulness of </w:t>
      </w:r>
      <w:r w:rsidRPr="003308C3">
        <w:rPr>
          <w:rFonts w:eastAsia="Calibri" w:cstheme="minorHAnsi"/>
          <w:b/>
          <w:bCs/>
          <w:sz w:val="26"/>
          <w:szCs w:val="26"/>
        </w:rPr>
        <w:t xml:space="preserve">PW5 </w:t>
      </w:r>
      <w:r>
        <w:rPr>
          <w:rFonts w:eastAsia="Calibri" w:cstheme="minorHAnsi"/>
          <w:bCs/>
          <w:sz w:val="26"/>
          <w:szCs w:val="26"/>
        </w:rPr>
        <w:t xml:space="preserve">about the events of that </w:t>
      </w:r>
      <w:proofErr w:type="gramStart"/>
      <w:r>
        <w:rPr>
          <w:rFonts w:eastAsia="Calibri" w:cstheme="minorHAnsi"/>
          <w:bCs/>
          <w:sz w:val="26"/>
          <w:szCs w:val="26"/>
        </w:rPr>
        <w:t>day also</w:t>
      </w:r>
      <w:proofErr w:type="gramEnd"/>
      <w:r>
        <w:rPr>
          <w:rFonts w:eastAsia="Calibri" w:cstheme="minorHAnsi"/>
          <w:bCs/>
          <w:sz w:val="26"/>
          <w:szCs w:val="26"/>
        </w:rPr>
        <w:t xml:space="preserve"> remained in doubt. </w:t>
      </w:r>
    </w:p>
    <w:p w14:paraId="18C6FE27" w14:textId="4C1C3CAF" w:rsidR="009D5970" w:rsidRDefault="009D5970" w:rsidP="008B65B9">
      <w:pPr>
        <w:spacing w:after="200" w:line="360" w:lineRule="auto"/>
        <w:jc w:val="both"/>
        <w:rPr>
          <w:rFonts w:eastAsia="Calibri" w:cstheme="minorHAnsi"/>
          <w:bCs/>
          <w:sz w:val="26"/>
          <w:szCs w:val="26"/>
        </w:rPr>
      </w:pPr>
      <w:r>
        <w:rPr>
          <w:rFonts w:eastAsia="Calibri" w:cstheme="minorHAnsi"/>
          <w:bCs/>
          <w:sz w:val="26"/>
          <w:szCs w:val="26"/>
        </w:rPr>
        <w:lastRenderedPageBreak/>
        <w:t xml:space="preserve">In light of my analysis of the evidence and the law in this case, I am mindful that the burden of proving the </w:t>
      </w:r>
      <w:r w:rsidR="0082291F">
        <w:rPr>
          <w:rFonts w:eastAsia="Calibri" w:cstheme="minorHAnsi"/>
          <w:bCs/>
          <w:sz w:val="26"/>
          <w:szCs w:val="26"/>
        </w:rPr>
        <w:t>A</w:t>
      </w:r>
      <w:r>
        <w:rPr>
          <w:rFonts w:eastAsia="Calibri" w:cstheme="minorHAnsi"/>
          <w:bCs/>
          <w:sz w:val="26"/>
          <w:szCs w:val="26"/>
        </w:rPr>
        <w:t xml:space="preserve">ccused’s guilt always rests upon the </w:t>
      </w:r>
      <w:r w:rsidR="0082291F">
        <w:rPr>
          <w:rFonts w:eastAsia="Calibri" w:cstheme="minorHAnsi"/>
          <w:bCs/>
          <w:sz w:val="26"/>
          <w:szCs w:val="26"/>
        </w:rPr>
        <w:t>P</w:t>
      </w:r>
      <w:r>
        <w:rPr>
          <w:rFonts w:eastAsia="Calibri" w:cstheme="minorHAnsi"/>
          <w:bCs/>
          <w:sz w:val="26"/>
          <w:szCs w:val="26"/>
        </w:rPr>
        <w:t xml:space="preserve">rosecution and the standard in that regard is proof beyond reasonable doubt. In that </w:t>
      </w:r>
      <w:proofErr w:type="gramStart"/>
      <w:r>
        <w:rPr>
          <w:rFonts w:eastAsia="Calibri" w:cstheme="minorHAnsi"/>
          <w:bCs/>
          <w:sz w:val="26"/>
          <w:szCs w:val="26"/>
        </w:rPr>
        <w:t>regard</w:t>
      </w:r>
      <w:proofErr w:type="gramEnd"/>
      <w:r>
        <w:rPr>
          <w:rFonts w:eastAsia="Calibri" w:cstheme="minorHAnsi"/>
          <w:bCs/>
          <w:sz w:val="26"/>
          <w:szCs w:val="26"/>
        </w:rPr>
        <w:t xml:space="preserve"> I draw particular reference from the case of </w:t>
      </w:r>
      <w:r w:rsidRPr="000567A3">
        <w:rPr>
          <w:rFonts w:eastAsia="Calibri" w:cstheme="minorHAnsi"/>
          <w:b/>
          <w:sz w:val="26"/>
          <w:szCs w:val="26"/>
        </w:rPr>
        <w:t>Miller v Minister of Pensions (1947) 2 ALLER 372</w:t>
      </w:r>
      <w:r>
        <w:rPr>
          <w:rFonts w:eastAsia="Calibri" w:cstheme="minorHAnsi"/>
          <w:bCs/>
          <w:sz w:val="26"/>
          <w:szCs w:val="26"/>
        </w:rPr>
        <w:t xml:space="preserve"> wherein Lord Denning held concerning the standard of proof that,</w:t>
      </w:r>
    </w:p>
    <w:p w14:paraId="49C12C40" w14:textId="5F1AFA81" w:rsidR="009D5970" w:rsidRPr="00644816" w:rsidRDefault="009D5970" w:rsidP="008B65B9">
      <w:pPr>
        <w:spacing w:after="200" w:line="360" w:lineRule="auto"/>
        <w:ind w:left="720" w:right="521"/>
        <w:jc w:val="both"/>
        <w:rPr>
          <w:rFonts w:eastAsia="Calibri" w:cstheme="minorHAnsi"/>
          <w:bCs/>
          <w:i/>
          <w:iCs/>
          <w:sz w:val="26"/>
          <w:szCs w:val="26"/>
        </w:rPr>
      </w:pPr>
      <w:r w:rsidRPr="00644816">
        <w:rPr>
          <w:rFonts w:eastAsia="Calibri" w:cstheme="minorHAnsi"/>
          <w:bCs/>
          <w:i/>
          <w:iCs/>
          <w:sz w:val="26"/>
          <w:szCs w:val="26"/>
        </w:rPr>
        <w:t xml:space="preserve">“It need not reach certainty, but it must carry a high degree of probability. Proof beyond reasonable doubt does not mean proof beyond the shadow of doubt. The law would fail to protect the community if it admitted fanciful possibilities to deflate the cause of justice. If the evidence is strong against a man as to leave only a remote possibility, in his </w:t>
      </w:r>
      <w:proofErr w:type="spellStart"/>
      <w:r w:rsidRPr="00644816">
        <w:rPr>
          <w:rFonts w:eastAsia="Calibri" w:cstheme="minorHAnsi"/>
          <w:bCs/>
          <w:i/>
          <w:iCs/>
          <w:sz w:val="26"/>
          <w:szCs w:val="26"/>
        </w:rPr>
        <w:t>favour</w:t>
      </w:r>
      <w:proofErr w:type="spellEnd"/>
      <w:r w:rsidRPr="00644816">
        <w:rPr>
          <w:rFonts w:eastAsia="Calibri" w:cstheme="minorHAnsi"/>
          <w:bCs/>
          <w:i/>
          <w:iCs/>
          <w:sz w:val="26"/>
          <w:szCs w:val="26"/>
        </w:rPr>
        <w:t>, which can be dismissal with the sentence – of course, it is possible but not in the least probable –the case is proved beyond reasonable doubt but nothing short of this will suffice.”</w:t>
      </w:r>
    </w:p>
    <w:p w14:paraId="5D7D5C3F" w14:textId="7DA2A9A5" w:rsidR="009D5970" w:rsidRDefault="009D5970" w:rsidP="008B65B9">
      <w:pPr>
        <w:spacing w:after="200" w:line="360" w:lineRule="auto"/>
        <w:jc w:val="both"/>
        <w:rPr>
          <w:rFonts w:eastAsia="Calibri" w:cstheme="minorHAnsi"/>
          <w:bCs/>
          <w:sz w:val="26"/>
          <w:szCs w:val="26"/>
        </w:rPr>
      </w:pPr>
      <w:r>
        <w:rPr>
          <w:rFonts w:eastAsia="Calibri" w:cstheme="minorHAnsi"/>
          <w:bCs/>
          <w:sz w:val="26"/>
          <w:szCs w:val="26"/>
        </w:rPr>
        <w:t xml:space="preserve">The inadequacy of the medical evidence and the </w:t>
      </w:r>
      <w:r w:rsidR="00644816">
        <w:rPr>
          <w:rFonts w:eastAsia="Calibri" w:cstheme="minorHAnsi"/>
          <w:bCs/>
          <w:sz w:val="26"/>
          <w:szCs w:val="26"/>
        </w:rPr>
        <w:t xml:space="preserve">inadmissibility of the </w:t>
      </w:r>
      <w:r w:rsidR="007C3B6E">
        <w:rPr>
          <w:rFonts w:eastAsia="Calibri" w:cstheme="minorHAnsi"/>
          <w:bCs/>
          <w:sz w:val="26"/>
          <w:szCs w:val="26"/>
        </w:rPr>
        <w:t>A</w:t>
      </w:r>
      <w:r w:rsidR="00644816">
        <w:rPr>
          <w:rFonts w:eastAsia="Calibri" w:cstheme="minorHAnsi"/>
          <w:bCs/>
          <w:sz w:val="26"/>
          <w:szCs w:val="26"/>
        </w:rPr>
        <w:t xml:space="preserve">ccused’s confession left only the evidence of the </w:t>
      </w:r>
      <w:r w:rsidR="007C3B6E">
        <w:rPr>
          <w:rFonts w:eastAsia="Calibri" w:cstheme="minorHAnsi"/>
          <w:bCs/>
          <w:sz w:val="26"/>
          <w:szCs w:val="26"/>
        </w:rPr>
        <w:t>V</w:t>
      </w:r>
      <w:r w:rsidR="00644816">
        <w:rPr>
          <w:rFonts w:eastAsia="Calibri" w:cstheme="minorHAnsi"/>
          <w:bCs/>
          <w:sz w:val="26"/>
          <w:szCs w:val="26"/>
        </w:rPr>
        <w:t>ictim</w:t>
      </w:r>
      <w:r w:rsidR="007C3B6E">
        <w:rPr>
          <w:rFonts w:eastAsia="Calibri" w:cstheme="minorHAnsi"/>
          <w:bCs/>
          <w:sz w:val="26"/>
          <w:szCs w:val="26"/>
        </w:rPr>
        <w:t xml:space="preserve"> </w:t>
      </w:r>
      <w:r w:rsidR="00AD3521">
        <w:rPr>
          <w:rFonts w:eastAsia="Calibri" w:cstheme="minorHAnsi"/>
          <w:bCs/>
          <w:sz w:val="26"/>
          <w:szCs w:val="26"/>
        </w:rPr>
        <w:t>concerning the sexual act</w:t>
      </w:r>
      <w:r w:rsidR="00644816">
        <w:rPr>
          <w:rFonts w:eastAsia="Calibri" w:cstheme="minorHAnsi"/>
          <w:bCs/>
          <w:sz w:val="26"/>
          <w:szCs w:val="26"/>
        </w:rPr>
        <w:t xml:space="preserve"> which evidence does not in my view reach that high degree of probability as to leave a remote possibility of the innocence of the accused.</w:t>
      </w:r>
    </w:p>
    <w:p w14:paraId="4238E26A" w14:textId="066B6A6C" w:rsidR="00DA242E" w:rsidRDefault="00644816" w:rsidP="008B65B9">
      <w:pPr>
        <w:spacing w:after="200" w:line="360" w:lineRule="auto"/>
        <w:jc w:val="both"/>
        <w:rPr>
          <w:rFonts w:eastAsia="Calibri" w:cstheme="minorHAnsi"/>
          <w:bCs/>
          <w:sz w:val="26"/>
          <w:szCs w:val="26"/>
        </w:rPr>
      </w:pPr>
      <w:r>
        <w:rPr>
          <w:rFonts w:eastAsia="Calibri" w:cstheme="minorHAnsi"/>
          <w:bCs/>
          <w:sz w:val="26"/>
          <w:szCs w:val="26"/>
        </w:rPr>
        <w:t>To that extent therefore I do find the accused not guilty of the offence of Aggravated Defilement and I do accordingly acquit him of the same.</w:t>
      </w:r>
      <w:r w:rsidR="008B65B9">
        <w:rPr>
          <w:rFonts w:eastAsia="Calibri" w:cstheme="minorHAnsi"/>
          <w:bCs/>
          <w:sz w:val="26"/>
          <w:szCs w:val="26"/>
        </w:rPr>
        <w:t xml:space="preserve"> The accused is free to go unless there are other pending charges against him.</w:t>
      </w:r>
    </w:p>
    <w:p w14:paraId="2985C5EA" w14:textId="7F30793C" w:rsidR="008B65B9" w:rsidRDefault="008B65B9" w:rsidP="008B65B9">
      <w:pPr>
        <w:spacing w:after="200" w:line="360" w:lineRule="auto"/>
        <w:jc w:val="both"/>
        <w:rPr>
          <w:rFonts w:eastAsia="Calibri" w:cstheme="minorHAnsi"/>
          <w:bCs/>
          <w:sz w:val="26"/>
          <w:szCs w:val="26"/>
        </w:rPr>
      </w:pPr>
    </w:p>
    <w:p w14:paraId="61DC54D0" w14:textId="7F1777BE" w:rsidR="008B65B9" w:rsidRDefault="008B65B9" w:rsidP="00B63982">
      <w:pPr>
        <w:spacing w:after="0" w:line="240" w:lineRule="auto"/>
        <w:jc w:val="both"/>
        <w:rPr>
          <w:rFonts w:eastAsia="Calibri" w:cstheme="minorHAnsi"/>
          <w:b/>
          <w:sz w:val="26"/>
          <w:szCs w:val="26"/>
        </w:rPr>
      </w:pPr>
      <w:r>
        <w:rPr>
          <w:rFonts w:eastAsia="Calibri" w:cstheme="minorHAnsi"/>
          <w:b/>
          <w:sz w:val="26"/>
          <w:szCs w:val="26"/>
        </w:rPr>
        <w:t>David S.L. Makumbi</w:t>
      </w:r>
    </w:p>
    <w:p w14:paraId="48BCD64C" w14:textId="1D69B89B" w:rsidR="0047638A" w:rsidRDefault="0047638A" w:rsidP="00B63982">
      <w:pPr>
        <w:spacing w:after="0" w:line="240" w:lineRule="auto"/>
        <w:jc w:val="both"/>
        <w:rPr>
          <w:rFonts w:eastAsia="Calibri" w:cstheme="minorHAnsi"/>
          <w:b/>
          <w:sz w:val="26"/>
          <w:szCs w:val="26"/>
        </w:rPr>
      </w:pPr>
      <w:r>
        <w:rPr>
          <w:rFonts w:eastAsia="Calibri" w:cstheme="minorHAnsi"/>
          <w:b/>
          <w:sz w:val="26"/>
          <w:szCs w:val="26"/>
        </w:rPr>
        <w:t>JUDGE</w:t>
      </w:r>
    </w:p>
    <w:p w14:paraId="7BDBCE66" w14:textId="0DA08729" w:rsidR="00C058B4" w:rsidRPr="008B65B9" w:rsidRDefault="00C058B4" w:rsidP="00B63982">
      <w:pPr>
        <w:spacing w:after="0" w:line="240" w:lineRule="auto"/>
        <w:jc w:val="both"/>
        <w:rPr>
          <w:rFonts w:eastAsia="Calibri" w:cstheme="minorHAnsi"/>
          <w:b/>
          <w:sz w:val="26"/>
          <w:szCs w:val="26"/>
        </w:rPr>
      </w:pPr>
      <w:r>
        <w:rPr>
          <w:rFonts w:eastAsia="Calibri" w:cstheme="minorHAnsi"/>
          <w:b/>
          <w:sz w:val="26"/>
          <w:szCs w:val="26"/>
        </w:rPr>
        <w:t>28/03/24</w:t>
      </w:r>
    </w:p>
    <w:p w14:paraId="39636FBD" w14:textId="77777777" w:rsidR="00F86965" w:rsidRPr="001C0FA5" w:rsidRDefault="00F86965" w:rsidP="008B65B9">
      <w:pPr>
        <w:spacing w:after="200" w:line="360" w:lineRule="auto"/>
        <w:jc w:val="both"/>
        <w:rPr>
          <w:bCs/>
          <w:sz w:val="26"/>
          <w:szCs w:val="26"/>
        </w:rPr>
      </w:pPr>
    </w:p>
    <w:sectPr w:rsidR="00F86965" w:rsidRPr="001C0FA5" w:rsidSect="00D60635">
      <w:footerReference w:type="default" r:id="rId7"/>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7D14" w14:textId="77777777" w:rsidR="00AD2B74" w:rsidRDefault="00AD2B74" w:rsidP="000567A3">
      <w:pPr>
        <w:spacing w:after="0" w:line="240" w:lineRule="auto"/>
      </w:pPr>
      <w:r>
        <w:separator/>
      </w:r>
    </w:p>
  </w:endnote>
  <w:endnote w:type="continuationSeparator" w:id="0">
    <w:p w14:paraId="2F0C1495" w14:textId="77777777" w:rsidR="00AD2B74" w:rsidRDefault="00AD2B74" w:rsidP="0005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2799"/>
      <w:docPartObj>
        <w:docPartGallery w:val="Page Numbers (Bottom of Page)"/>
        <w:docPartUnique/>
      </w:docPartObj>
    </w:sdtPr>
    <w:sdtEndPr/>
    <w:sdtContent>
      <w:sdt>
        <w:sdtPr>
          <w:id w:val="1728636285"/>
          <w:docPartObj>
            <w:docPartGallery w:val="Page Numbers (Top of Page)"/>
            <w:docPartUnique/>
          </w:docPartObj>
        </w:sdtPr>
        <w:sdtEndPr/>
        <w:sdtContent>
          <w:p w14:paraId="4E340209" w14:textId="0956176B" w:rsidR="000567A3" w:rsidRDefault="000567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692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6922">
              <w:rPr>
                <w:b/>
                <w:bCs/>
                <w:noProof/>
              </w:rPr>
              <w:t>12</w:t>
            </w:r>
            <w:r>
              <w:rPr>
                <w:b/>
                <w:bCs/>
                <w:sz w:val="24"/>
                <w:szCs w:val="24"/>
              </w:rPr>
              <w:fldChar w:fldCharType="end"/>
            </w:r>
          </w:p>
        </w:sdtContent>
      </w:sdt>
    </w:sdtContent>
  </w:sdt>
  <w:p w14:paraId="699EF246" w14:textId="77777777" w:rsidR="000567A3" w:rsidRDefault="0005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74F39" w14:textId="77777777" w:rsidR="00AD2B74" w:rsidRDefault="00AD2B74" w:rsidP="000567A3">
      <w:pPr>
        <w:spacing w:after="0" w:line="240" w:lineRule="auto"/>
      </w:pPr>
      <w:r>
        <w:separator/>
      </w:r>
    </w:p>
  </w:footnote>
  <w:footnote w:type="continuationSeparator" w:id="0">
    <w:p w14:paraId="66F2CA3F" w14:textId="77777777" w:rsidR="00AD2B74" w:rsidRDefault="00AD2B74" w:rsidP="00056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9B5"/>
    <w:multiLevelType w:val="hybridMultilevel"/>
    <w:tmpl w:val="CBAE71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02241F0"/>
    <w:multiLevelType w:val="hybridMultilevel"/>
    <w:tmpl w:val="0C30D7C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62012F"/>
    <w:multiLevelType w:val="hybridMultilevel"/>
    <w:tmpl w:val="469EA71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793044F"/>
    <w:multiLevelType w:val="hybridMultilevel"/>
    <w:tmpl w:val="F20C47D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9335E42"/>
    <w:multiLevelType w:val="hybridMultilevel"/>
    <w:tmpl w:val="FCD63C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85"/>
    <w:rsid w:val="00000427"/>
    <w:rsid w:val="00015258"/>
    <w:rsid w:val="00050EE7"/>
    <w:rsid w:val="000567A3"/>
    <w:rsid w:val="0006224B"/>
    <w:rsid w:val="0007578B"/>
    <w:rsid w:val="000E3A0F"/>
    <w:rsid w:val="000E557A"/>
    <w:rsid w:val="000F1AF2"/>
    <w:rsid w:val="000F46D0"/>
    <w:rsid w:val="0011501B"/>
    <w:rsid w:val="00130979"/>
    <w:rsid w:val="00142B5C"/>
    <w:rsid w:val="00164CCB"/>
    <w:rsid w:val="001936E8"/>
    <w:rsid w:val="001C0FA5"/>
    <w:rsid w:val="001C334D"/>
    <w:rsid w:val="001C5CE3"/>
    <w:rsid w:val="001E2C8B"/>
    <w:rsid w:val="001F342F"/>
    <w:rsid w:val="001F4426"/>
    <w:rsid w:val="00212591"/>
    <w:rsid w:val="00223DAA"/>
    <w:rsid w:val="002265FA"/>
    <w:rsid w:val="00232482"/>
    <w:rsid w:val="002A3402"/>
    <w:rsid w:val="003308C3"/>
    <w:rsid w:val="00336B8F"/>
    <w:rsid w:val="00370ECB"/>
    <w:rsid w:val="003B492E"/>
    <w:rsid w:val="003C31B1"/>
    <w:rsid w:val="003D62F5"/>
    <w:rsid w:val="003F1FB0"/>
    <w:rsid w:val="003F2000"/>
    <w:rsid w:val="004214C6"/>
    <w:rsid w:val="00471805"/>
    <w:rsid w:val="0047638A"/>
    <w:rsid w:val="004823C3"/>
    <w:rsid w:val="004A4C3C"/>
    <w:rsid w:val="004E0E69"/>
    <w:rsid w:val="004E2B46"/>
    <w:rsid w:val="0054115B"/>
    <w:rsid w:val="005767BE"/>
    <w:rsid w:val="005C2503"/>
    <w:rsid w:val="00615D63"/>
    <w:rsid w:val="00644816"/>
    <w:rsid w:val="00686CDE"/>
    <w:rsid w:val="006B7329"/>
    <w:rsid w:val="006D22D1"/>
    <w:rsid w:val="006D6E06"/>
    <w:rsid w:val="006F1902"/>
    <w:rsid w:val="006F70A1"/>
    <w:rsid w:val="00716222"/>
    <w:rsid w:val="007221CE"/>
    <w:rsid w:val="007950D8"/>
    <w:rsid w:val="007C3B6E"/>
    <w:rsid w:val="007D11EC"/>
    <w:rsid w:val="007F6922"/>
    <w:rsid w:val="00816655"/>
    <w:rsid w:val="0082291F"/>
    <w:rsid w:val="00862CD6"/>
    <w:rsid w:val="008A5C8E"/>
    <w:rsid w:val="008B3C62"/>
    <w:rsid w:val="008B65B9"/>
    <w:rsid w:val="008C0619"/>
    <w:rsid w:val="008E0CAC"/>
    <w:rsid w:val="0090682B"/>
    <w:rsid w:val="009114CA"/>
    <w:rsid w:val="00930DF7"/>
    <w:rsid w:val="009465A5"/>
    <w:rsid w:val="0096305B"/>
    <w:rsid w:val="009D359F"/>
    <w:rsid w:val="009D5970"/>
    <w:rsid w:val="00A146BF"/>
    <w:rsid w:val="00A40752"/>
    <w:rsid w:val="00A9342F"/>
    <w:rsid w:val="00AA39ED"/>
    <w:rsid w:val="00AB43E8"/>
    <w:rsid w:val="00AD2B74"/>
    <w:rsid w:val="00AD3521"/>
    <w:rsid w:val="00AE130F"/>
    <w:rsid w:val="00AE7617"/>
    <w:rsid w:val="00AE777B"/>
    <w:rsid w:val="00AF1377"/>
    <w:rsid w:val="00B54396"/>
    <w:rsid w:val="00B63982"/>
    <w:rsid w:val="00B647C0"/>
    <w:rsid w:val="00B8617F"/>
    <w:rsid w:val="00BA0D06"/>
    <w:rsid w:val="00BA6645"/>
    <w:rsid w:val="00BC6E49"/>
    <w:rsid w:val="00C058B4"/>
    <w:rsid w:val="00C1343F"/>
    <w:rsid w:val="00C160F3"/>
    <w:rsid w:val="00C21245"/>
    <w:rsid w:val="00C24EF9"/>
    <w:rsid w:val="00C91B9E"/>
    <w:rsid w:val="00CB7D66"/>
    <w:rsid w:val="00D04785"/>
    <w:rsid w:val="00D1476C"/>
    <w:rsid w:val="00D2594B"/>
    <w:rsid w:val="00D4432B"/>
    <w:rsid w:val="00D60635"/>
    <w:rsid w:val="00D73202"/>
    <w:rsid w:val="00DA242E"/>
    <w:rsid w:val="00E315B0"/>
    <w:rsid w:val="00E54C32"/>
    <w:rsid w:val="00E76AB1"/>
    <w:rsid w:val="00E82B44"/>
    <w:rsid w:val="00EA4EDD"/>
    <w:rsid w:val="00EB7F81"/>
    <w:rsid w:val="00ED76B6"/>
    <w:rsid w:val="00F04145"/>
    <w:rsid w:val="00F422F6"/>
    <w:rsid w:val="00F504FF"/>
    <w:rsid w:val="00F54886"/>
    <w:rsid w:val="00F86965"/>
    <w:rsid w:val="00F87C42"/>
    <w:rsid w:val="00FA38CC"/>
    <w:rsid w:val="00FB3784"/>
    <w:rsid w:val="00FC3B0C"/>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3E7"/>
  <w15:chartTrackingRefBased/>
  <w15:docId w15:val="{4268CCDC-C241-4504-A3EB-AAF20B44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85"/>
  </w:style>
  <w:style w:type="paragraph" w:styleId="Heading1">
    <w:name w:val="heading 1"/>
    <w:basedOn w:val="Normal"/>
    <w:next w:val="Normal"/>
    <w:link w:val="Heading1Char"/>
    <w:uiPriority w:val="9"/>
    <w:qFormat/>
    <w:rsid w:val="00D0478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0478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0478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0478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0478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047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7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7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7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8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047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478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0478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0478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047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7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7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785"/>
    <w:rPr>
      <w:rFonts w:eastAsiaTheme="majorEastAsia" w:cstheme="majorBidi"/>
      <w:color w:val="272727" w:themeColor="text1" w:themeTint="D8"/>
    </w:rPr>
  </w:style>
  <w:style w:type="paragraph" w:styleId="Title">
    <w:name w:val="Title"/>
    <w:basedOn w:val="Normal"/>
    <w:next w:val="Normal"/>
    <w:link w:val="TitleChar"/>
    <w:uiPriority w:val="10"/>
    <w:qFormat/>
    <w:rsid w:val="00D047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7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7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7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785"/>
    <w:pPr>
      <w:spacing w:before="160"/>
      <w:jc w:val="center"/>
    </w:pPr>
    <w:rPr>
      <w:i/>
      <w:iCs/>
      <w:color w:val="404040" w:themeColor="text1" w:themeTint="BF"/>
    </w:rPr>
  </w:style>
  <w:style w:type="character" w:customStyle="1" w:styleId="QuoteChar">
    <w:name w:val="Quote Char"/>
    <w:basedOn w:val="DefaultParagraphFont"/>
    <w:link w:val="Quote"/>
    <w:uiPriority w:val="29"/>
    <w:rsid w:val="00D04785"/>
    <w:rPr>
      <w:i/>
      <w:iCs/>
      <w:color w:val="404040" w:themeColor="text1" w:themeTint="BF"/>
    </w:rPr>
  </w:style>
  <w:style w:type="paragraph" w:styleId="ListParagraph">
    <w:name w:val="List Paragraph"/>
    <w:basedOn w:val="Normal"/>
    <w:uiPriority w:val="34"/>
    <w:qFormat/>
    <w:rsid w:val="00D04785"/>
    <w:pPr>
      <w:ind w:left="720"/>
      <w:contextualSpacing/>
    </w:pPr>
  </w:style>
  <w:style w:type="character" w:styleId="IntenseEmphasis">
    <w:name w:val="Intense Emphasis"/>
    <w:basedOn w:val="DefaultParagraphFont"/>
    <w:uiPriority w:val="21"/>
    <w:qFormat/>
    <w:rsid w:val="00D04785"/>
    <w:rPr>
      <w:i/>
      <w:iCs/>
      <w:color w:val="2F5496" w:themeColor="accent1" w:themeShade="BF"/>
    </w:rPr>
  </w:style>
  <w:style w:type="paragraph" w:styleId="IntenseQuote">
    <w:name w:val="Intense Quote"/>
    <w:basedOn w:val="Normal"/>
    <w:next w:val="Normal"/>
    <w:link w:val="IntenseQuoteChar"/>
    <w:uiPriority w:val="30"/>
    <w:qFormat/>
    <w:rsid w:val="00D0478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04785"/>
    <w:rPr>
      <w:i/>
      <w:iCs/>
      <w:color w:val="2F5496" w:themeColor="accent1" w:themeShade="BF"/>
    </w:rPr>
  </w:style>
  <w:style w:type="character" w:styleId="IntenseReference">
    <w:name w:val="Intense Reference"/>
    <w:basedOn w:val="DefaultParagraphFont"/>
    <w:uiPriority w:val="32"/>
    <w:qFormat/>
    <w:rsid w:val="00D04785"/>
    <w:rPr>
      <w:b/>
      <w:bCs/>
      <w:smallCaps/>
      <w:color w:val="2F5496" w:themeColor="accent1" w:themeShade="BF"/>
      <w:spacing w:val="5"/>
    </w:rPr>
  </w:style>
  <w:style w:type="paragraph" w:styleId="Header">
    <w:name w:val="header"/>
    <w:basedOn w:val="Normal"/>
    <w:link w:val="HeaderChar"/>
    <w:uiPriority w:val="99"/>
    <w:unhideWhenUsed/>
    <w:rsid w:val="0005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A3"/>
    <w:rPr>
      <w:lang w:val="en-US"/>
    </w:rPr>
  </w:style>
  <w:style w:type="paragraph" w:styleId="Footer">
    <w:name w:val="footer"/>
    <w:basedOn w:val="Normal"/>
    <w:link w:val="FooterChar"/>
    <w:uiPriority w:val="99"/>
    <w:unhideWhenUsed/>
    <w:rsid w:val="0005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7A3"/>
    <w:rPr>
      <w:lang w:val="en-US"/>
    </w:rPr>
  </w:style>
  <w:style w:type="character" w:styleId="LineNumber">
    <w:name w:val="line number"/>
    <w:basedOn w:val="DefaultParagraphFont"/>
    <w:uiPriority w:val="99"/>
    <w:semiHidden/>
    <w:unhideWhenUsed/>
    <w:rsid w:val="008B65B9"/>
  </w:style>
  <w:style w:type="paragraph" w:styleId="BalloonText">
    <w:name w:val="Balloon Text"/>
    <w:basedOn w:val="Normal"/>
    <w:link w:val="BalloonTextChar"/>
    <w:uiPriority w:val="99"/>
    <w:semiHidden/>
    <w:unhideWhenUsed/>
    <w:rsid w:val="007F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3743">
      <w:bodyDiv w:val="1"/>
      <w:marLeft w:val="0"/>
      <w:marRight w:val="0"/>
      <w:marTop w:val="0"/>
      <w:marBottom w:val="0"/>
      <w:divBdr>
        <w:top w:val="none" w:sz="0" w:space="0" w:color="auto"/>
        <w:left w:val="none" w:sz="0" w:space="0" w:color="auto"/>
        <w:bottom w:val="none" w:sz="0" w:space="0" w:color="auto"/>
        <w:right w:val="none" w:sz="0" w:space="0" w:color="auto"/>
      </w:divBdr>
    </w:div>
    <w:div w:id="1382630872">
      <w:bodyDiv w:val="1"/>
      <w:marLeft w:val="0"/>
      <w:marRight w:val="0"/>
      <w:marTop w:val="0"/>
      <w:marBottom w:val="0"/>
      <w:divBdr>
        <w:top w:val="none" w:sz="0" w:space="0" w:color="auto"/>
        <w:left w:val="none" w:sz="0" w:space="0" w:color="auto"/>
        <w:bottom w:val="none" w:sz="0" w:space="0" w:color="auto"/>
        <w:right w:val="none" w:sz="0" w:space="0" w:color="auto"/>
      </w:divBdr>
    </w:div>
    <w:div w:id="17951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Makumbi</dc:creator>
  <cp:keywords/>
  <dc:description/>
  <cp:lastModifiedBy>Personal</cp:lastModifiedBy>
  <cp:revision>5</cp:revision>
  <cp:lastPrinted>2024-03-28T14:41:00Z</cp:lastPrinted>
  <dcterms:created xsi:type="dcterms:W3CDTF">2024-03-09T11:00:00Z</dcterms:created>
  <dcterms:modified xsi:type="dcterms:W3CDTF">2024-03-28T14:42:00Z</dcterms:modified>
</cp:coreProperties>
</file>