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7534DD" w:rsidRDefault="007534D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07087F">
        <w:rPr>
          <w:rFonts w:ascii="Times New Roman" w:hAnsi="Times New Roman" w:cs="Times New Roman"/>
          <w:b/>
          <w:sz w:val="24"/>
          <w:szCs w:val="24"/>
        </w:rPr>
        <w:t>CAUSE</w:t>
      </w:r>
      <w:r>
        <w:rPr>
          <w:rFonts w:ascii="Times New Roman" w:hAnsi="Times New Roman" w:cs="Times New Roman"/>
          <w:b/>
          <w:sz w:val="24"/>
          <w:szCs w:val="24"/>
        </w:rPr>
        <w:t xml:space="preserve"> NO. 000</w:t>
      </w:r>
      <w:r w:rsidR="00D516A5">
        <w:rPr>
          <w:rFonts w:ascii="Times New Roman" w:hAnsi="Times New Roman" w:cs="Times New Roman"/>
          <w:b/>
          <w:sz w:val="24"/>
          <w:szCs w:val="24"/>
        </w:rPr>
        <w:t>3</w:t>
      </w:r>
      <w:r>
        <w:rPr>
          <w:rFonts w:ascii="Times New Roman" w:hAnsi="Times New Roman" w:cs="Times New Roman"/>
          <w:b/>
          <w:sz w:val="24"/>
          <w:szCs w:val="24"/>
        </w:rPr>
        <w:t xml:space="preserve"> OF 2022</w:t>
      </w:r>
    </w:p>
    <w:p w:rsidR="00E60106" w:rsidRPr="009A1C14" w:rsidRDefault="00AF6897" w:rsidP="009A1C14">
      <w:pPr>
        <w:spacing w:after="0"/>
        <w:jc w:val="both"/>
        <w:rPr>
          <w:rFonts w:ascii="Times New Roman" w:hAnsi="Times New Roman" w:cs="Times New Roman"/>
          <w:b/>
          <w:sz w:val="24"/>
          <w:szCs w:val="24"/>
        </w:rPr>
      </w:pPr>
      <w:r>
        <w:rPr>
          <w:rFonts w:ascii="Times New Roman" w:hAnsi="Times New Roman" w:cs="Times New Roman"/>
          <w:b/>
          <w:sz w:val="24"/>
          <w:szCs w:val="24"/>
        </w:rPr>
        <w:t>POLAT YOL YAPI SANVETIC SA</w:t>
      </w:r>
      <w:r w:rsidR="00251915" w:rsidRPr="009A1C14">
        <w:rPr>
          <w:rFonts w:ascii="Times New Roman" w:hAnsi="Times New Roman" w:cs="Times New Roman"/>
          <w:b/>
          <w:sz w:val="24"/>
          <w:szCs w:val="24"/>
        </w:rPr>
        <w:tab/>
      </w:r>
      <w:r w:rsidR="007D5FE3" w:rsidRPr="009A1C14">
        <w:rPr>
          <w:rFonts w:ascii="Times New Roman" w:hAnsi="Times New Roman" w:cs="Times New Roman"/>
          <w:b/>
          <w:sz w:val="24"/>
          <w:szCs w:val="24"/>
        </w:rPr>
        <w:t>……</w:t>
      </w:r>
      <w:r w:rsidR="009A1C14" w:rsidRPr="00E526FF">
        <w:rPr>
          <w:rFonts w:ascii="Times New Roman" w:hAnsi="Times New Roman" w:cs="Times New Roman"/>
          <w:b/>
          <w:sz w:val="24"/>
          <w:szCs w:val="24"/>
        </w:rPr>
        <w:t>…</w:t>
      </w:r>
      <w:r w:rsidR="0007087F" w:rsidRPr="00E526FF">
        <w:rPr>
          <w:rFonts w:ascii="Times New Roman" w:hAnsi="Times New Roman" w:cs="Times New Roman"/>
          <w:b/>
          <w:sz w:val="24"/>
          <w:szCs w:val="24"/>
        </w:rPr>
        <w:t>……………………</w:t>
      </w:r>
      <w:r w:rsidR="0007087F">
        <w:rPr>
          <w:rFonts w:ascii="Times New Roman" w:hAnsi="Times New Roman" w:cs="Times New Roman"/>
          <w:b/>
          <w:sz w:val="24"/>
          <w:szCs w:val="24"/>
        </w:rPr>
        <w:t>…</w:t>
      </w:r>
      <w:r w:rsidR="00D0524E">
        <w:rPr>
          <w:rFonts w:ascii="Times New Roman" w:hAnsi="Times New Roman" w:cs="Times New Roman"/>
          <w:b/>
          <w:sz w:val="24"/>
          <w:szCs w:val="24"/>
        </w:rPr>
        <w:t>…</w:t>
      </w:r>
      <w:r w:rsidR="00E60106" w:rsidRPr="009A1C14">
        <w:rPr>
          <w:rFonts w:ascii="Times New Roman" w:hAnsi="Times New Roman" w:cs="Times New Roman"/>
          <w:b/>
          <w:sz w:val="24"/>
          <w:szCs w:val="24"/>
        </w:rPr>
        <w:t xml:space="preserve">… </w:t>
      </w:r>
      <w:r w:rsidR="009A1C14">
        <w:rPr>
          <w:rFonts w:ascii="Times New Roman" w:hAnsi="Times New Roman" w:cs="Times New Roman"/>
          <w:b/>
          <w:sz w:val="24"/>
          <w:szCs w:val="24"/>
        </w:rPr>
        <w:t xml:space="preserve">     </w:t>
      </w:r>
      <w:r w:rsidR="007534DD">
        <w:rPr>
          <w:rFonts w:ascii="Times New Roman" w:hAnsi="Times New Roman" w:cs="Times New Roman"/>
          <w:b/>
          <w:sz w:val="24"/>
          <w:szCs w:val="24"/>
        </w:rPr>
        <w:t>APPLICANT</w:t>
      </w:r>
    </w:p>
    <w:p w:rsidR="002C331F" w:rsidRDefault="002C331F" w:rsidP="00E60106">
      <w:pPr>
        <w:pStyle w:val="ListParagraph"/>
        <w:spacing w:after="0"/>
        <w:jc w:val="center"/>
        <w:rPr>
          <w:rFonts w:ascii="Times New Roman" w:hAnsi="Times New Roman" w:cs="Times New Roman"/>
          <w:b/>
          <w:sz w:val="24"/>
          <w:szCs w:val="24"/>
        </w:rPr>
      </w:pPr>
    </w:p>
    <w:p w:rsidR="008177CC" w:rsidRDefault="00E60106" w:rsidP="008F5A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00FB4" w:rsidRPr="0007087F" w:rsidRDefault="00AF6897" w:rsidP="0007087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UGANDA NATIONAL ROADS AUHORITY</w:t>
      </w:r>
      <w:r w:rsidR="001A3337" w:rsidRPr="0007087F">
        <w:rPr>
          <w:rFonts w:ascii="Times New Roman" w:hAnsi="Times New Roman" w:cs="Times New Roman"/>
          <w:b/>
          <w:sz w:val="24"/>
          <w:szCs w:val="24"/>
        </w:rPr>
        <w:tab/>
        <w:t>…</w:t>
      </w:r>
      <w:r w:rsidR="002C331F" w:rsidRPr="0007087F">
        <w:rPr>
          <w:rFonts w:ascii="Times New Roman" w:hAnsi="Times New Roman" w:cs="Times New Roman"/>
          <w:b/>
          <w:sz w:val="24"/>
          <w:szCs w:val="24"/>
        </w:rPr>
        <w:t>…</w:t>
      </w:r>
      <w:r w:rsidR="008F5AD2" w:rsidRPr="0007087F">
        <w:rPr>
          <w:rFonts w:ascii="Times New Roman" w:hAnsi="Times New Roman" w:cs="Times New Roman"/>
          <w:b/>
          <w:sz w:val="24"/>
          <w:szCs w:val="24"/>
        </w:rPr>
        <w:t>…</w:t>
      </w:r>
      <w:r w:rsidR="0007087F" w:rsidRPr="00E526FF">
        <w:rPr>
          <w:rFonts w:ascii="Times New Roman" w:hAnsi="Times New Roman" w:cs="Times New Roman"/>
          <w:b/>
          <w:sz w:val="24"/>
          <w:szCs w:val="24"/>
        </w:rPr>
        <w:t>…………</w:t>
      </w:r>
      <w:r w:rsidR="008F5AD2" w:rsidRPr="0007087F">
        <w:rPr>
          <w:rFonts w:ascii="Times New Roman" w:hAnsi="Times New Roman" w:cs="Times New Roman"/>
          <w:b/>
          <w:sz w:val="24"/>
          <w:szCs w:val="24"/>
        </w:rPr>
        <w:t>…</w:t>
      </w:r>
      <w:r w:rsidR="00D0524E" w:rsidRPr="0007087F">
        <w:rPr>
          <w:rFonts w:ascii="Times New Roman" w:hAnsi="Times New Roman" w:cs="Times New Roman"/>
          <w:b/>
          <w:sz w:val="24"/>
          <w:szCs w:val="24"/>
        </w:rPr>
        <w:t>…</w:t>
      </w:r>
      <w:r w:rsidR="00F07E3A" w:rsidRPr="0007087F">
        <w:rPr>
          <w:rFonts w:ascii="Times New Roman" w:hAnsi="Times New Roman" w:cs="Times New Roman"/>
          <w:b/>
          <w:sz w:val="24"/>
          <w:szCs w:val="24"/>
        </w:rPr>
        <w:t xml:space="preserve">… </w:t>
      </w:r>
      <w:r w:rsidR="009B3409" w:rsidRPr="0007087F">
        <w:rPr>
          <w:rFonts w:ascii="Times New Roman" w:hAnsi="Times New Roman" w:cs="Times New Roman"/>
          <w:b/>
          <w:sz w:val="24"/>
          <w:szCs w:val="24"/>
        </w:rPr>
        <w:t xml:space="preserve">   </w:t>
      </w:r>
      <w:r w:rsidR="00D0524E" w:rsidRPr="0007087F">
        <w:rPr>
          <w:rFonts w:ascii="Times New Roman" w:hAnsi="Times New Roman" w:cs="Times New Roman"/>
          <w:b/>
          <w:sz w:val="24"/>
          <w:szCs w:val="24"/>
        </w:rPr>
        <w:t xml:space="preserve">  </w:t>
      </w:r>
      <w:r w:rsidR="007534DD" w:rsidRPr="0007087F">
        <w:rPr>
          <w:rFonts w:ascii="Times New Roman" w:hAnsi="Times New Roman" w:cs="Times New Roman"/>
          <w:b/>
          <w:sz w:val="24"/>
          <w:szCs w:val="24"/>
        </w:rPr>
        <w:t>RESPONDEN</w:t>
      </w:r>
      <w:r w:rsidR="009E169C" w:rsidRPr="0007087F">
        <w:rPr>
          <w:rFonts w:ascii="Times New Roman" w:hAnsi="Times New Roman" w:cs="Times New Roman"/>
          <w:b/>
          <w:sz w:val="24"/>
          <w:szCs w:val="24"/>
        </w:rPr>
        <w:t>T</w:t>
      </w:r>
    </w:p>
    <w:p w:rsidR="001C0929" w:rsidRDefault="006C5CF7" w:rsidP="00077E72">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2A6177" w:rsidRDefault="002A6177" w:rsidP="002A6177">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2A6177" w:rsidRDefault="002A6177" w:rsidP="002A6177">
      <w:pPr>
        <w:pStyle w:val="ListParagraph"/>
        <w:numPr>
          <w:ilvl w:val="0"/>
          <w:numId w:val="3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2A6177" w:rsidRDefault="002A6177" w:rsidP="002A6177">
      <w:pPr>
        <w:spacing w:line="360" w:lineRule="auto"/>
        <w:contextualSpacing/>
        <w:jc w:val="both"/>
        <w:rPr>
          <w:rFonts w:ascii="Times New Roman" w:eastAsiaTheme="minorEastAsia" w:hAnsi="Times New Roman" w:cs="Times New Roman"/>
          <w:sz w:val="24"/>
          <w:szCs w:val="24"/>
          <w:lang w:eastAsia="en-GB"/>
        </w:rPr>
      </w:pPr>
    </w:p>
    <w:p w:rsidR="002A6177" w:rsidRDefault="00051D39" w:rsidP="000669E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On or about 7</w:t>
      </w:r>
      <w:r w:rsidRPr="00051D3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t</w:t>
      </w:r>
      <w:r w:rsidR="002A6177">
        <w:rPr>
          <w:rFonts w:ascii="Times New Roman" w:hAnsi="Times New Roman" w:cs="Times New Roman"/>
          <w:sz w:val="24"/>
          <w:szCs w:val="24"/>
        </w:rPr>
        <w:t>he respondent signed a contract with the applicant for civil works involving the up-grading of the Muyembe-Nakapiripirit Road</w:t>
      </w:r>
      <w:r w:rsidR="002A6177">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parties agreed that 30</w:t>
      </w:r>
      <w:r w:rsidRPr="00051D3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March, 2020 would be the commencement date. The </w:t>
      </w:r>
      <w:r w:rsidR="002A6177">
        <w:rPr>
          <w:rFonts w:ascii="Times New Roman" w:eastAsiaTheme="minorEastAsia" w:hAnsi="Times New Roman" w:cs="Times New Roman"/>
          <w:sz w:val="24"/>
          <w:szCs w:val="24"/>
          <w:lang w:eastAsia="en-GB"/>
        </w:rPr>
        <w:t>respondent was subsequently dissatisfied with the applicant</w:t>
      </w:r>
      <w:r w:rsidR="00EE77A0">
        <w:rPr>
          <w:rFonts w:ascii="Times New Roman" w:eastAsiaTheme="minorEastAsia" w:hAnsi="Times New Roman" w:cs="Times New Roman"/>
          <w:sz w:val="24"/>
          <w:szCs w:val="24"/>
          <w:lang w:eastAsia="en-GB"/>
        </w:rPr>
        <w:t>’</w:t>
      </w:r>
      <w:r w:rsidR="002A6177">
        <w:rPr>
          <w:rFonts w:ascii="Times New Roman" w:eastAsiaTheme="minorEastAsia" w:hAnsi="Times New Roman" w:cs="Times New Roman"/>
          <w:sz w:val="24"/>
          <w:szCs w:val="24"/>
          <w:lang w:eastAsia="en-GB"/>
        </w:rPr>
        <w:t xml:space="preserve">s </w:t>
      </w:r>
      <w:r w:rsidR="000669E6">
        <w:rPr>
          <w:rFonts w:ascii="Times New Roman" w:eastAsiaTheme="minorEastAsia" w:hAnsi="Times New Roman" w:cs="Times New Roman"/>
          <w:sz w:val="24"/>
          <w:szCs w:val="24"/>
          <w:lang w:eastAsia="en-GB"/>
        </w:rPr>
        <w:t>delayed commencement of</w:t>
      </w:r>
      <w:r w:rsidR="002A6177">
        <w:rPr>
          <w:rFonts w:ascii="Times New Roman" w:eastAsiaTheme="minorEastAsia" w:hAnsi="Times New Roman" w:cs="Times New Roman"/>
          <w:sz w:val="24"/>
          <w:szCs w:val="24"/>
          <w:lang w:eastAsia="en-GB"/>
        </w:rPr>
        <w:t xml:space="preserve"> execution of the contract and accused the applicant of breach of contract. By a letter dated </w:t>
      </w:r>
      <w:r w:rsidR="003D5C04">
        <w:rPr>
          <w:rFonts w:ascii="Times New Roman" w:hAnsi="Times New Roman" w:cs="Times New Roman"/>
          <w:sz w:val="24"/>
          <w:szCs w:val="24"/>
        </w:rPr>
        <w:t>18</w:t>
      </w:r>
      <w:r w:rsidR="003D5C04" w:rsidRPr="003D5C04">
        <w:rPr>
          <w:rFonts w:ascii="Times New Roman" w:hAnsi="Times New Roman" w:cs="Times New Roman"/>
          <w:sz w:val="24"/>
          <w:szCs w:val="24"/>
          <w:vertAlign w:val="superscript"/>
        </w:rPr>
        <w:t>th</w:t>
      </w:r>
      <w:r w:rsidR="003D5C04">
        <w:rPr>
          <w:rFonts w:ascii="Times New Roman" w:hAnsi="Times New Roman" w:cs="Times New Roman"/>
          <w:sz w:val="24"/>
          <w:szCs w:val="24"/>
        </w:rPr>
        <w:t xml:space="preserve"> January, 2022 the respondent </w:t>
      </w:r>
      <w:r w:rsidR="002A6177">
        <w:rPr>
          <w:rFonts w:ascii="Times New Roman" w:eastAsiaTheme="minorEastAsia" w:hAnsi="Times New Roman" w:cs="Times New Roman"/>
          <w:sz w:val="24"/>
          <w:szCs w:val="24"/>
          <w:lang w:eastAsia="en-GB"/>
        </w:rPr>
        <w:t>proceeded to call on the applicant</w:t>
      </w:r>
      <w:r w:rsidR="00EE77A0">
        <w:rPr>
          <w:rFonts w:ascii="Times New Roman" w:eastAsiaTheme="minorEastAsia" w:hAnsi="Times New Roman" w:cs="Times New Roman"/>
          <w:sz w:val="24"/>
          <w:szCs w:val="24"/>
          <w:lang w:eastAsia="en-GB"/>
        </w:rPr>
        <w:t>’</w:t>
      </w:r>
      <w:r w:rsidR="002A6177">
        <w:rPr>
          <w:rFonts w:ascii="Times New Roman" w:eastAsiaTheme="minorEastAsia" w:hAnsi="Times New Roman" w:cs="Times New Roman"/>
          <w:sz w:val="24"/>
          <w:szCs w:val="24"/>
          <w:lang w:eastAsia="en-GB"/>
        </w:rPr>
        <w:t>s advance payment guarantee in the sum of shs. 14,259,362,014</w:t>
      </w:r>
      <w:r w:rsidR="003D5C04">
        <w:rPr>
          <w:rFonts w:ascii="Times New Roman" w:eastAsiaTheme="minorEastAsia" w:hAnsi="Times New Roman" w:cs="Times New Roman"/>
          <w:sz w:val="24"/>
          <w:szCs w:val="24"/>
          <w:lang w:eastAsia="en-GB"/>
        </w:rPr>
        <w:t>/=</w:t>
      </w:r>
      <w:r w:rsidR="002A6177">
        <w:rPr>
          <w:rFonts w:ascii="Times New Roman" w:eastAsiaTheme="minorEastAsia" w:hAnsi="Times New Roman" w:cs="Times New Roman"/>
          <w:sz w:val="24"/>
          <w:szCs w:val="24"/>
          <w:lang w:eastAsia="en-GB"/>
        </w:rPr>
        <w:t xml:space="preserve"> and US $ 12,413,382</w:t>
      </w:r>
      <w:r>
        <w:rPr>
          <w:rFonts w:ascii="Times New Roman" w:eastAsiaTheme="minorEastAsia" w:hAnsi="Times New Roman" w:cs="Times New Roman"/>
          <w:sz w:val="24"/>
          <w:szCs w:val="24"/>
          <w:lang w:eastAsia="en-GB"/>
        </w:rPr>
        <w:t xml:space="preserve"> issued by DFCU Bank Limited</w:t>
      </w:r>
      <w:r w:rsidR="003D5C04">
        <w:rPr>
          <w:rFonts w:ascii="Times New Roman" w:eastAsiaTheme="minorEastAsia" w:hAnsi="Times New Roman" w:cs="Times New Roman"/>
          <w:sz w:val="24"/>
          <w:szCs w:val="24"/>
          <w:lang w:eastAsia="en-GB"/>
        </w:rPr>
        <w:t xml:space="preserve"> and on 25</w:t>
      </w:r>
      <w:r w:rsidR="003D5C04" w:rsidRPr="002A6177">
        <w:rPr>
          <w:rFonts w:ascii="Times New Roman" w:eastAsiaTheme="minorEastAsia" w:hAnsi="Times New Roman" w:cs="Times New Roman"/>
          <w:sz w:val="24"/>
          <w:szCs w:val="24"/>
          <w:vertAlign w:val="superscript"/>
          <w:lang w:eastAsia="en-GB"/>
        </w:rPr>
        <w:t>th</w:t>
      </w:r>
      <w:r w:rsidR="003D5C04">
        <w:rPr>
          <w:rFonts w:ascii="Times New Roman" w:eastAsiaTheme="minorEastAsia" w:hAnsi="Times New Roman" w:cs="Times New Roman"/>
          <w:sz w:val="24"/>
          <w:szCs w:val="24"/>
          <w:lang w:eastAsia="en-GB"/>
        </w:rPr>
        <w:t xml:space="preserve"> January, 2022 the respondent issued the applicant with a notice of termination of the contract</w:t>
      </w:r>
      <w:r w:rsidR="002A617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Contending</w:t>
      </w:r>
      <w:r w:rsidR="002A6177">
        <w:rPr>
          <w:rFonts w:ascii="Times New Roman" w:eastAsiaTheme="minorEastAsia" w:hAnsi="Times New Roman" w:cs="Times New Roman"/>
          <w:sz w:val="24"/>
          <w:szCs w:val="24"/>
          <w:lang w:eastAsia="en-GB"/>
        </w:rPr>
        <w:t xml:space="preserve"> that </w:t>
      </w:r>
      <w:r>
        <w:rPr>
          <w:rFonts w:ascii="Times New Roman" w:eastAsiaTheme="minorEastAsia" w:hAnsi="Times New Roman" w:cs="Times New Roman"/>
          <w:sz w:val="24"/>
          <w:szCs w:val="24"/>
          <w:lang w:eastAsia="en-GB"/>
        </w:rPr>
        <w:t>its</w:t>
      </w:r>
      <w:r w:rsidR="002A6177">
        <w:rPr>
          <w:rFonts w:ascii="Times New Roman" w:eastAsiaTheme="minorEastAsia" w:hAnsi="Times New Roman" w:cs="Times New Roman"/>
          <w:sz w:val="24"/>
          <w:szCs w:val="24"/>
          <w:lang w:eastAsia="en-GB"/>
        </w:rPr>
        <w:t xml:space="preserve"> inability to commence implementation of t</w:t>
      </w:r>
      <w:r>
        <w:rPr>
          <w:rFonts w:ascii="Times New Roman" w:eastAsiaTheme="minorEastAsia" w:hAnsi="Times New Roman" w:cs="Times New Roman"/>
          <w:sz w:val="24"/>
          <w:szCs w:val="24"/>
          <w:lang w:eastAsia="en-GB"/>
        </w:rPr>
        <w:t>h</w:t>
      </w:r>
      <w:r w:rsidR="002A6177">
        <w:rPr>
          <w:rFonts w:ascii="Times New Roman" w:eastAsiaTheme="minorEastAsia" w:hAnsi="Times New Roman" w:cs="Times New Roman"/>
          <w:sz w:val="24"/>
          <w:szCs w:val="24"/>
          <w:lang w:eastAsia="en-GB"/>
        </w:rPr>
        <w:t xml:space="preserve">e contract o time was caused by </w:t>
      </w:r>
      <w:r>
        <w:rPr>
          <w:rFonts w:ascii="Times New Roman" w:eastAsiaTheme="minorEastAsia" w:hAnsi="Times New Roman" w:cs="Times New Roman"/>
          <w:sz w:val="24"/>
          <w:szCs w:val="24"/>
          <w:lang w:eastAsia="en-GB"/>
        </w:rPr>
        <w:t>disruptions</w:t>
      </w:r>
      <w:r w:rsidR="002A6177">
        <w:rPr>
          <w:rFonts w:ascii="Times New Roman" w:eastAsiaTheme="minorEastAsia" w:hAnsi="Times New Roman" w:cs="Times New Roman"/>
          <w:sz w:val="24"/>
          <w:szCs w:val="24"/>
          <w:lang w:eastAsia="en-GB"/>
        </w:rPr>
        <w:t xml:space="preserve"> in the supply ch</w:t>
      </w:r>
      <w:r>
        <w:rPr>
          <w:rFonts w:ascii="Times New Roman" w:eastAsiaTheme="minorEastAsia" w:hAnsi="Times New Roman" w:cs="Times New Roman"/>
          <w:sz w:val="24"/>
          <w:szCs w:val="24"/>
          <w:lang w:eastAsia="en-GB"/>
        </w:rPr>
        <w:t>ain</w:t>
      </w:r>
      <w:r w:rsidR="002A6177">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sz w:val="24"/>
          <w:szCs w:val="24"/>
          <w:lang w:eastAsia="en-GB"/>
        </w:rPr>
        <w:t>materials</w:t>
      </w:r>
      <w:r w:rsidR="002A6177">
        <w:rPr>
          <w:rFonts w:ascii="Times New Roman" w:eastAsiaTheme="minorEastAsia" w:hAnsi="Times New Roman" w:cs="Times New Roman"/>
          <w:sz w:val="24"/>
          <w:szCs w:val="24"/>
          <w:lang w:eastAsia="en-GB"/>
        </w:rPr>
        <w:t xml:space="preserve"> required for the </w:t>
      </w:r>
      <w:r>
        <w:rPr>
          <w:rFonts w:ascii="Times New Roman" w:eastAsiaTheme="minorEastAsia" w:hAnsi="Times New Roman" w:cs="Times New Roman"/>
          <w:sz w:val="24"/>
          <w:szCs w:val="24"/>
          <w:lang w:eastAsia="en-GB"/>
        </w:rPr>
        <w:t>contract</w:t>
      </w:r>
      <w:r w:rsidR="002A6177">
        <w:rPr>
          <w:rFonts w:ascii="Times New Roman" w:eastAsiaTheme="minorEastAsia" w:hAnsi="Times New Roman" w:cs="Times New Roman"/>
          <w:sz w:val="24"/>
          <w:szCs w:val="24"/>
          <w:lang w:eastAsia="en-GB"/>
        </w:rPr>
        <w:t xml:space="preserve"> caused by the Covid19 pandemic</w:t>
      </w:r>
      <w:r>
        <w:rPr>
          <w:rFonts w:ascii="Times New Roman" w:eastAsiaTheme="minorEastAsia" w:hAnsi="Times New Roman" w:cs="Times New Roman"/>
          <w:sz w:val="24"/>
          <w:szCs w:val="24"/>
          <w:lang w:eastAsia="en-GB"/>
        </w:rPr>
        <w:t>, the applicant seeks to prevent the respondent from cashing that guarantee as well as its intended call on the performance guarantee taken out with KCB Bank limited.</w:t>
      </w:r>
    </w:p>
    <w:p w:rsidR="002A6177" w:rsidRDefault="002A6177" w:rsidP="000669E6">
      <w:pPr>
        <w:spacing w:after="0" w:line="360" w:lineRule="auto"/>
        <w:contextualSpacing/>
        <w:jc w:val="both"/>
        <w:rPr>
          <w:rFonts w:ascii="Times New Roman" w:eastAsiaTheme="minorEastAsia" w:hAnsi="Times New Roman" w:cs="Times New Roman"/>
          <w:sz w:val="24"/>
          <w:szCs w:val="24"/>
          <w:lang w:eastAsia="en-GB"/>
        </w:rPr>
      </w:pPr>
    </w:p>
    <w:p w:rsidR="002A6177" w:rsidRDefault="002A6177" w:rsidP="000669E6">
      <w:pPr>
        <w:pStyle w:val="ListParagraph"/>
        <w:numPr>
          <w:ilvl w:val="0"/>
          <w:numId w:val="3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rsidR="002A6177" w:rsidRDefault="002A6177" w:rsidP="000669E6">
      <w:pPr>
        <w:spacing w:after="0" w:line="360" w:lineRule="auto"/>
        <w:jc w:val="both"/>
        <w:rPr>
          <w:rFonts w:ascii="Times New Roman" w:eastAsiaTheme="minorEastAsia" w:hAnsi="Times New Roman" w:cs="Times New Roman"/>
          <w:sz w:val="24"/>
          <w:szCs w:val="24"/>
          <w:lang w:eastAsia="en-GB"/>
        </w:rPr>
      </w:pPr>
    </w:p>
    <w:p w:rsidR="002A6177" w:rsidRDefault="002A6177" w:rsidP="000669E6">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This application is made under the provisions of section</w:t>
      </w:r>
      <w:r w:rsidR="00051D39">
        <w:rPr>
          <w:rFonts w:ascii="Times New Roman" w:eastAsiaTheme="minorEastAsia" w:hAnsi="Times New Roman" w:cs="Times New Roman"/>
          <w:sz w:val="24"/>
          <w:szCs w:val="24"/>
          <w:lang w:eastAsia="en-GB"/>
        </w:rPr>
        <w:t xml:space="preserve"> 6 </w:t>
      </w:r>
      <w:r>
        <w:rPr>
          <w:rFonts w:ascii="Times New Roman" w:eastAsiaTheme="minorEastAsia" w:hAnsi="Times New Roman" w:cs="Times New Roman"/>
          <w:sz w:val="24"/>
          <w:szCs w:val="24"/>
          <w:lang w:eastAsia="en-GB"/>
        </w:rPr>
        <w:t xml:space="preserve">of </w:t>
      </w:r>
      <w:r>
        <w:rPr>
          <w:rFonts w:ascii="Times New Roman" w:eastAsiaTheme="minorEastAsia" w:hAnsi="Times New Roman" w:cs="Times New Roman"/>
          <w:i/>
          <w:iCs/>
          <w:sz w:val="24"/>
          <w:szCs w:val="24"/>
          <w:lang w:eastAsia="en-GB"/>
        </w:rPr>
        <w:t xml:space="preserve">The </w:t>
      </w:r>
      <w:r w:rsidR="00051D39">
        <w:rPr>
          <w:rFonts w:ascii="Times New Roman" w:eastAsiaTheme="minorEastAsia" w:hAnsi="Times New Roman" w:cs="Times New Roman"/>
          <w:i/>
          <w:iCs/>
          <w:sz w:val="24"/>
          <w:szCs w:val="24"/>
          <w:lang w:eastAsia="en-GB"/>
        </w:rPr>
        <w:t>Arbitration and Conciliation</w:t>
      </w:r>
      <w:r>
        <w:rPr>
          <w:rFonts w:ascii="Times New Roman" w:eastAsiaTheme="minorEastAsia" w:hAnsi="Times New Roman" w:cs="Times New Roman"/>
          <w:i/>
          <w:iCs/>
          <w:sz w:val="24"/>
          <w:szCs w:val="24"/>
          <w:lang w:eastAsia="en-GB"/>
        </w:rPr>
        <w:t xml:space="preserve"> Act</w:t>
      </w:r>
      <w:r>
        <w:rPr>
          <w:rFonts w:ascii="Times New Roman" w:eastAsiaTheme="minorEastAsia" w:hAnsi="Times New Roman" w:cs="Times New Roman"/>
          <w:sz w:val="24"/>
          <w:szCs w:val="24"/>
          <w:lang w:eastAsia="en-GB"/>
        </w:rPr>
        <w:t xml:space="preserve">, and Order 52 rules 1 and 3 of </w:t>
      </w:r>
      <w:r>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sz w:val="24"/>
          <w:szCs w:val="24"/>
          <w:lang w:eastAsia="en-GB"/>
        </w:rPr>
        <w:t xml:space="preserve"> The applicant seeks </w:t>
      </w:r>
      <w:r w:rsidR="00051D39">
        <w:rPr>
          <w:rFonts w:ascii="Times New Roman" w:eastAsiaTheme="minorEastAsia" w:hAnsi="Times New Roman" w:cs="Times New Roman"/>
          <w:sz w:val="24"/>
          <w:szCs w:val="24"/>
          <w:lang w:eastAsia="en-GB"/>
        </w:rPr>
        <w:t>an interim measure of protection restraining the respondent from terminating the applicant</w:t>
      </w:r>
      <w:r w:rsidR="00EE77A0">
        <w:rPr>
          <w:rFonts w:ascii="Times New Roman" w:eastAsiaTheme="minorEastAsia" w:hAnsi="Times New Roman" w:cs="Times New Roman"/>
          <w:sz w:val="24"/>
          <w:szCs w:val="24"/>
          <w:lang w:eastAsia="en-GB"/>
        </w:rPr>
        <w:t>’</w:t>
      </w:r>
      <w:r w:rsidR="00051D39">
        <w:rPr>
          <w:rFonts w:ascii="Times New Roman" w:eastAsiaTheme="minorEastAsia" w:hAnsi="Times New Roman" w:cs="Times New Roman"/>
          <w:sz w:val="24"/>
          <w:szCs w:val="24"/>
          <w:lang w:eastAsia="en-GB"/>
        </w:rPr>
        <w:t>s contract for</w:t>
      </w:r>
      <w:r w:rsidR="00051D39" w:rsidRPr="00051D39">
        <w:rPr>
          <w:rFonts w:ascii="Times New Roman" w:hAnsi="Times New Roman" w:cs="Times New Roman"/>
          <w:sz w:val="24"/>
          <w:szCs w:val="24"/>
        </w:rPr>
        <w:t xml:space="preserve"> </w:t>
      </w:r>
      <w:r w:rsidR="00051D39">
        <w:rPr>
          <w:rFonts w:ascii="Times New Roman" w:hAnsi="Times New Roman" w:cs="Times New Roman"/>
          <w:sz w:val="24"/>
          <w:szCs w:val="24"/>
        </w:rPr>
        <w:t xml:space="preserve">up-grading of the Muyembe-Nakapiripirit Road (92 kms) of paved (bituminous) standard and secondary link roads, and from enforcing, collecting or calling on the advance payment and performance </w:t>
      </w:r>
      <w:r w:rsidR="00051D39">
        <w:rPr>
          <w:rFonts w:ascii="Times New Roman" w:hAnsi="Times New Roman" w:cs="Times New Roman"/>
          <w:sz w:val="24"/>
          <w:szCs w:val="24"/>
        </w:rPr>
        <w:lastRenderedPageBreak/>
        <w:t>guarantees issued by</w:t>
      </w:r>
      <w:r w:rsidR="00051D39">
        <w:rPr>
          <w:rFonts w:ascii="Times New Roman" w:eastAsiaTheme="minorEastAsia" w:hAnsi="Times New Roman" w:cs="Times New Roman"/>
          <w:sz w:val="24"/>
          <w:szCs w:val="24"/>
          <w:lang w:eastAsia="en-GB"/>
        </w:rPr>
        <w:t xml:space="preserve"> DFCU Bank Limited and KCB Bank limited respectively,</w:t>
      </w:r>
      <w:r w:rsidR="00051D39" w:rsidRPr="00051D39">
        <w:rPr>
          <w:rFonts w:ascii="Times New Roman" w:hAnsi="Times New Roman" w:cs="Times New Roman"/>
          <w:sz w:val="24"/>
          <w:szCs w:val="24"/>
        </w:rPr>
        <w:t xml:space="preserve"> </w:t>
      </w:r>
      <w:r w:rsidR="00051D39">
        <w:rPr>
          <w:rFonts w:ascii="Times New Roman" w:hAnsi="Times New Roman" w:cs="Times New Roman"/>
          <w:sz w:val="24"/>
          <w:szCs w:val="24"/>
        </w:rPr>
        <w:t>pending arbitration.</w:t>
      </w:r>
      <w:r w:rsidR="000669E6">
        <w:rPr>
          <w:rFonts w:ascii="Times New Roman" w:hAnsi="Times New Roman" w:cs="Times New Roman"/>
          <w:sz w:val="24"/>
          <w:szCs w:val="24"/>
        </w:rPr>
        <w:t xml:space="preserve"> It is the applicant</w:t>
      </w:r>
      <w:r w:rsidR="00EE77A0">
        <w:rPr>
          <w:rFonts w:ascii="Times New Roman" w:hAnsi="Times New Roman" w:cs="Times New Roman"/>
          <w:sz w:val="24"/>
          <w:szCs w:val="24"/>
        </w:rPr>
        <w:t>’</w:t>
      </w:r>
      <w:r w:rsidR="000669E6">
        <w:rPr>
          <w:rFonts w:ascii="Times New Roman" w:hAnsi="Times New Roman" w:cs="Times New Roman"/>
          <w:sz w:val="24"/>
          <w:szCs w:val="24"/>
        </w:rPr>
        <w:t>s contention that the delayed commencement of execution of the contract was occasioned by the fact that for long periods of time between the date of signing the contract and the appointed date of commencement of the contract, the country was under nationwide lock-down, an event that cause disruptions in its supply chain for materials needed for the civil works. Despite this, the applicant had by 25</w:t>
      </w:r>
      <w:r w:rsidR="000669E6" w:rsidRPr="000669E6">
        <w:rPr>
          <w:rFonts w:ascii="Times New Roman" w:hAnsi="Times New Roman" w:cs="Times New Roman"/>
          <w:sz w:val="24"/>
          <w:szCs w:val="24"/>
          <w:vertAlign w:val="superscript"/>
        </w:rPr>
        <w:t>th</w:t>
      </w:r>
      <w:r w:rsidR="000669E6">
        <w:rPr>
          <w:rFonts w:ascii="Times New Roman" w:hAnsi="Times New Roman" w:cs="Times New Roman"/>
          <w:sz w:val="24"/>
          <w:szCs w:val="24"/>
        </w:rPr>
        <w:t xml:space="preserve"> January, 2022 mobilised all the equipment necessary for the successful completion of the project, yet the respondent issued a notice of termination of the contract and made a call on the advance payment guarantee, hence this application. </w:t>
      </w:r>
      <w:r w:rsidR="00BA38BA">
        <w:rPr>
          <w:rFonts w:ascii="Times New Roman" w:hAnsi="Times New Roman" w:cs="Times New Roman"/>
          <w:sz w:val="24"/>
          <w:szCs w:val="24"/>
        </w:rPr>
        <w:t xml:space="preserve">In the meantime, the applicant has prepared a notice to arbitrate. </w:t>
      </w:r>
    </w:p>
    <w:p w:rsidR="002A6177" w:rsidRDefault="002A6177" w:rsidP="000669E6">
      <w:pPr>
        <w:spacing w:after="0" w:line="360" w:lineRule="auto"/>
        <w:contextualSpacing/>
        <w:jc w:val="both"/>
        <w:rPr>
          <w:rFonts w:ascii="Times New Roman" w:eastAsiaTheme="minorEastAsia" w:hAnsi="Times New Roman" w:cs="Times New Roman"/>
          <w:sz w:val="24"/>
          <w:szCs w:val="24"/>
          <w:lang w:eastAsia="en-GB"/>
        </w:rPr>
      </w:pPr>
    </w:p>
    <w:p w:rsidR="002A6177" w:rsidRDefault="002A6177" w:rsidP="000669E6">
      <w:pPr>
        <w:pStyle w:val="ListParagraph"/>
        <w:numPr>
          <w:ilvl w:val="0"/>
          <w:numId w:val="3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reply</w:t>
      </w:r>
      <w:r>
        <w:rPr>
          <w:rFonts w:ascii="Times New Roman" w:eastAsiaTheme="minorEastAsia" w:hAnsi="Times New Roman" w:cs="Times New Roman"/>
          <w:sz w:val="24"/>
          <w:szCs w:val="24"/>
          <w:lang w:eastAsia="en-GB"/>
        </w:rPr>
        <w:t>;</w:t>
      </w:r>
    </w:p>
    <w:p w:rsidR="002A6177" w:rsidRDefault="002A6177" w:rsidP="000669E6">
      <w:pPr>
        <w:pStyle w:val="ListParagraph"/>
        <w:spacing w:after="0" w:line="360" w:lineRule="auto"/>
        <w:ind w:left="0"/>
        <w:jc w:val="both"/>
        <w:rPr>
          <w:rFonts w:ascii="Times New Roman" w:eastAsiaTheme="minorEastAsia" w:hAnsi="Times New Roman" w:cs="Times New Roman"/>
          <w:sz w:val="24"/>
          <w:szCs w:val="24"/>
          <w:lang w:eastAsia="en-GB"/>
        </w:rPr>
      </w:pPr>
    </w:p>
    <w:p w:rsidR="002A6177" w:rsidRDefault="003F3206" w:rsidP="002A6177">
      <w:pPr>
        <w:spacing w:after="0" w:line="360" w:lineRule="auto"/>
        <w:jc w:val="both"/>
        <w:rPr>
          <w:rStyle w:val="Emphasis"/>
          <w:rFonts w:ascii="Times New Roman" w:hAnsi="Times New Roman" w:cs="Times New Roman"/>
          <w:i w:val="0"/>
          <w:sz w:val="24"/>
          <w:szCs w:val="24"/>
        </w:rPr>
      </w:pPr>
      <w:r>
        <w:rPr>
          <w:rFonts w:ascii="Times New Roman" w:eastAsiaTheme="minorEastAsia" w:hAnsi="Times New Roman" w:cs="Times New Roman"/>
          <w:sz w:val="24"/>
          <w:szCs w:val="24"/>
          <w:lang w:eastAsia="en-GB"/>
        </w:rPr>
        <w:t>The respondent never filed an affidavit in reply</w:t>
      </w:r>
      <w:r w:rsidR="002A6177">
        <w:rPr>
          <w:rStyle w:val="Emphasis"/>
          <w:rFonts w:ascii="Times New Roman" w:hAnsi="Times New Roman" w:cs="Times New Roman"/>
          <w:i w:val="0"/>
          <w:sz w:val="24"/>
          <w:szCs w:val="24"/>
        </w:rPr>
        <w:t xml:space="preserve">. </w:t>
      </w:r>
    </w:p>
    <w:p w:rsidR="003F3206" w:rsidRDefault="003F3206" w:rsidP="002A6177">
      <w:pPr>
        <w:spacing w:after="0" w:line="360" w:lineRule="auto"/>
        <w:jc w:val="both"/>
        <w:rPr>
          <w:rFonts w:ascii="Times New Roman" w:eastAsiaTheme="minorEastAsia" w:hAnsi="Times New Roman" w:cs="Times New Roman"/>
          <w:sz w:val="24"/>
          <w:szCs w:val="24"/>
          <w:lang w:eastAsia="en-GB"/>
        </w:rPr>
      </w:pPr>
    </w:p>
    <w:p w:rsidR="002A6177" w:rsidRDefault="002A6177" w:rsidP="002A6177">
      <w:pPr>
        <w:pStyle w:val="ListParagraph"/>
        <w:numPr>
          <w:ilvl w:val="0"/>
          <w:numId w:val="3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rsidR="002A6177" w:rsidRDefault="002A6177" w:rsidP="002A6177">
      <w:pPr>
        <w:pStyle w:val="ListParagraph"/>
        <w:spacing w:after="0" w:line="360" w:lineRule="auto"/>
        <w:ind w:left="0"/>
        <w:jc w:val="both"/>
        <w:rPr>
          <w:rFonts w:ascii="Times New Roman" w:eastAsiaTheme="minorEastAsia" w:hAnsi="Times New Roman" w:cs="Times New Roman"/>
          <w:sz w:val="24"/>
          <w:szCs w:val="24"/>
          <w:lang w:eastAsia="en-GB"/>
        </w:rPr>
      </w:pPr>
    </w:p>
    <w:p w:rsidR="002A6177" w:rsidRPr="00F5393E" w:rsidRDefault="002A6177" w:rsidP="002A6177">
      <w:pPr>
        <w:spacing w:after="0" w:line="360" w:lineRule="auto"/>
        <w:jc w:val="both"/>
        <w:rPr>
          <w:rFonts w:ascii="Times New Roman" w:hAnsi="Times New Roman" w:cs="Times New Roman"/>
          <w:iCs/>
          <w:sz w:val="24"/>
          <w:szCs w:val="24"/>
        </w:rPr>
      </w:pPr>
      <w:r>
        <w:rPr>
          <w:rFonts w:ascii="Times New Roman" w:eastAsiaTheme="minorEastAsia" w:hAnsi="Times New Roman" w:cs="Times New Roman"/>
          <w:sz w:val="24"/>
          <w:szCs w:val="24"/>
          <w:lang w:eastAsia="en-GB"/>
        </w:rPr>
        <w:t xml:space="preserve">M/s </w:t>
      </w:r>
      <w:r w:rsidR="003F3206">
        <w:rPr>
          <w:rFonts w:ascii="Times New Roman" w:eastAsiaTheme="minorEastAsia" w:hAnsi="Times New Roman" w:cs="Times New Roman"/>
          <w:sz w:val="24"/>
          <w:szCs w:val="24"/>
          <w:lang w:eastAsia="en-GB"/>
        </w:rPr>
        <w:t>Kampala Associated</w:t>
      </w:r>
      <w:r>
        <w:rPr>
          <w:rFonts w:ascii="Times New Roman" w:eastAsiaTheme="minorEastAsia" w:hAnsi="Times New Roman" w:cs="Times New Roman"/>
          <w:sz w:val="24"/>
          <w:szCs w:val="24"/>
          <w:lang w:eastAsia="en-GB"/>
        </w:rPr>
        <w:t xml:space="preserve"> Advocates </w:t>
      </w:r>
      <w:r w:rsidR="003F3206">
        <w:rPr>
          <w:rFonts w:ascii="Times New Roman" w:eastAsiaTheme="minorEastAsia" w:hAnsi="Times New Roman" w:cs="Times New Roman"/>
          <w:sz w:val="24"/>
          <w:szCs w:val="24"/>
          <w:lang w:eastAsia="en-GB"/>
        </w:rPr>
        <w:t>were not in court when the application was called for hearing</w:t>
      </w:r>
      <w:r>
        <w:rPr>
          <w:rStyle w:val="Emphasis"/>
          <w:rFonts w:ascii="Times New Roman" w:hAnsi="Times New Roman" w:cs="Times New Roman"/>
          <w:i w:val="0"/>
          <w:sz w:val="24"/>
          <w:szCs w:val="24"/>
        </w:rPr>
        <w:t xml:space="preserve">. </w:t>
      </w:r>
    </w:p>
    <w:p w:rsidR="002A6177" w:rsidRDefault="002A6177" w:rsidP="002A6177">
      <w:pPr>
        <w:spacing w:after="0" w:line="360" w:lineRule="auto"/>
        <w:jc w:val="both"/>
        <w:rPr>
          <w:rFonts w:ascii="Times New Roman" w:eastAsiaTheme="minorEastAsia" w:hAnsi="Times New Roman" w:cs="Times New Roman"/>
          <w:sz w:val="24"/>
          <w:szCs w:val="24"/>
          <w:lang w:eastAsia="en-GB"/>
        </w:rPr>
      </w:pPr>
    </w:p>
    <w:p w:rsidR="002A6177" w:rsidRDefault="002A6177" w:rsidP="002A6177">
      <w:pPr>
        <w:pStyle w:val="ListParagraph"/>
        <w:numPr>
          <w:ilvl w:val="0"/>
          <w:numId w:val="3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Submissions of counsel for </w:t>
      </w:r>
      <w:r w:rsidR="003F3206">
        <w:rPr>
          <w:rFonts w:ascii="Times New Roman" w:eastAsiaTheme="minorEastAsia" w:hAnsi="Times New Roman" w:cs="Times New Roman"/>
          <w:sz w:val="24"/>
          <w:szCs w:val="24"/>
          <w:u w:val="single"/>
          <w:lang w:eastAsia="en-GB"/>
        </w:rPr>
        <w:t>the respondent</w:t>
      </w:r>
      <w:r>
        <w:rPr>
          <w:rFonts w:ascii="Times New Roman" w:eastAsiaTheme="minorEastAsia" w:hAnsi="Times New Roman" w:cs="Times New Roman"/>
          <w:sz w:val="24"/>
          <w:szCs w:val="24"/>
          <w:lang w:eastAsia="en-GB"/>
        </w:rPr>
        <w:t>.</w:t>
      </w:r>
    </w:p>
    <w:p w:rsidR="002A6177" w:rsidRDefault="002A6177" w:rsidP="002A6177">
      <w:pPr>
        <w:spacing w:after="0" w:line="360" w:lineRule="auto"/>
        <w:jc w:val="both"/>
        <w:rPr>
          <w:rFonts w:ascii="Times New Roman" w:eastAsiaTheme="minorEastAsia" w:hAnsi="Times New Roman" w:cs="Times New Roman"/>
          <w:sz w:val="24"/>
          <w:szCs w:val="24"/>
          <w:lang w:eastAsia="en-GB"/>
        </w:rPr>
      </w:pPr>
    </w:p>
    <w:p w:rsidR="002A6177" w:rsidRDefault="00C15885" w:rsidP="002A6177">
      <w:pPr>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Counsel from the respondent’s Legal Department</w:t>
      </w:r>
      <w:r w:rsidR="002A6177">
        <w:rPr>
          <w:rFonts w:ascii="Times New Roman" w:hAnsi="Times New Roman" w:cs="Times New Roman"/>
          <w:sz w:val="24"/>
          <w:szCs w:val="24"/>
        </w:rPr>
        <w:t xml:space="preserve"> </w:t>
      </w:r>
      <w:r w:rsidR="002A6177">
        <w:rPr>
          <w:rFonts w:ascii="Times New Roman" w:eastAsiaTheme="minorEastAsia" w:hAnsi="Times New Roman" w:cs="Times New Roman"/>
          <w:sz w:val="24"/>
          <w:szCs w:val="24"/>
          <w:lang w:eastAsia="en-GB"/>
        </w:rPr>
        <w:t xml:space="preserve">on behalf of respondent submitted that </w:t>
      </w:r>
      <w:r w:rsidR="003F3206">
        <w:rPr>
          <w:rFonts w:ascii="Times New Roman" w:hAnsi="Times New Roman" w:cs="Times New Roman"/>
          <w:iCs/>
          <w:sz w:val="24"/>
          <w:szCs w:val="24"/>
        </w:rPr>
        <w:t xml:space="preserve">the Court does not have jurisdiction to entertain </w:t>
      </w:r>
      <w:r w:rsidR="00BA38BA">
        <w:rPr>
          <w:rFonts w:ascii="Times New Roman" w:hAnsi="Times New Roman" w:cs="Times New Roman"/>
          <w:iCs/>
          <w:sz w:val="24"/>
          <w:szCs w:val="24"/>
        </w:rPr>
        <w:t>the application since</w:t>
      </w:r>
      <w:r w:rsidR="003F3206">
        <w:rPr>
          <w:rFonts w:ascii="Times New Roman" w:hAnsi="Times New Roman" w:cs="Times New Roman"/>
          <w:iCs/>
          <w:sz w:val="24"/>
          <w:szCs w:val="24"/>
        </w:rPr>
        <w:t xml:space="preserve"> </w:t>
      </w:r>
      <w:r w:rsidR="00BA38BA">
        <w:rPr>
          <w:rFonts w:ascii="Times New Roman" w:hAnsi="Times New Roman" w:cs="Times New Roman"/>
          <w:iCs/>
          <w:sz w:val="24"/>
          <w:szCs w:val="24"/>
        </w:rPr>
        <w:t>t</w:t>
      </w:r>
      <w:r w:rsidR="003F3206">
        <w:rPr>
          <w:rFonts w:ascii="Times New Roman" w:hAnsi="Times New Roman" w:cs="Times New Roman"/>
          <w:iCs/>
          <w:sz w:val="24"/>
          <w:szCs w:val="24"/>
        </w:rPr>
        <w:t>he dispute raised by the applicants touched on a contract signed between them and the respondent which has a dispute settlement clause providing for adjudication and arbitration. None of those ha</w:t>
      </w:r>
      <w:r w:rsidR="00BA38BA">
        <w:rPr>
          <w:rFonts w:ascii="Times New Roman" w:hAnsi="Times New Roman" w:cs="Times New Roman"/>
          <w:iCs/>
          <w:sz w:val="24"/>
          <w:szCs w:val="24"/>
        </w:rPr>
        <w:t>s</w:t>
      </w:r>
      <w:r w:rsidR="003F3206">
        <w:rPr>
          <w:rFonts w:ascii="Times New Roman" w:hAnsi="Times New Roman" w:cs="Times New Roman"/>
          <w:iCs/>
          <w:sz w:val="24"/>
          <w:szCs w:val="24"/>
        </w:rPr>
        <w:t xml:space="preserve"> been pursued by the applicant and the matter should </w:t>
      </w:r>
      <w:r w:rsidR="00BA38BA">
        <w:rPr>
          <w:rFonts w:ascii="Times New Roman" w:hAnsi="Times New Roman" w:cs="Times New Roman"/>
          <w:iCs/>
          <w:sz w:val="24"/>
          <w:szCs w:val="24"/>
        </w:rPr>
        <w:t xml:space="preserve">therefore be </w:t>
      </w:r>
      <w:r w:rsidR="003F3206">
        <w:rPr>
          <w:rFonts w:ascii="Times New Roman" w:hAnsi="Times New Roman" w:cs="Times New Roman"/>
          <w:iCs/>
          <w:sz w:val="24"/>
          <w:szCs w:val="24"/>
        </w:rPr>
        <w:t xml:space="preserve">dismissed. Termination of the contract is a right under the contract given to the </w:t>
      </w:r>
      <w:r w:rsidR="00BA38BA">
        <w:rPr>
          <w:rFonts w:ascii="Times New Roman" w:hAnsi="Times New Roman" w:cs="Times New Roman"/>
          <w:iCs/>
          <w:sz w:val="24"/>
          <w:szCs w:val="24"/>
        </w:rPr>
        <w:t>respondent</w:t>
      </w:r>
      <w:r w:rsidR="003F3206">
        <w:rPr>
          <w:rFonts w:ascii="Times New Roman" w:hAnsi="Times New Roman" w:cs="Times New Roman"/>
          <w:iCs/>
          <w:sz w:val="24"/>
          <w:szCs w:val="24"/>
        </w:rPr>
        <w:t xml:space="preserve"> whe</w:t>
      </w:r>
      <w:r w:rsidR="00BA38BA">
        <w:rPr>
          <w:rFonts w:ascii="Times New Roman" w:hAnsi="Times New Roman" w:cs="Times New Roman"/>
          <w:iCs/>
          <w:sz w:val="24"/>
          <w:szCs w:val="24"/>
        </w:rPr>
        <w:t>n</w:t>
      </w:r>
      <w:r w:rsidR="003F3206">
        <w:rPr>
          <w:rFonts w:ascii="Times New Roman" w:hAnsi="Times New Roman" w:cs="Times New Roman"/>
          <w:iCs/>
          <w:sz w:val="24"/>
          <w:szCs w:val="24"/>
        </w:rPr>
        <w:t xml:space="preserve"> </w:t>
      </w:r>
      <w:r w:rsidR="00BA38BA">
        <w:rPr>
          <w:rFonts w:ascii="Times New Roman" w:hAnsi="Times New Roman" w:cs="Times New Roman"/>
          <w:iCs/>
          <w:sz w:val="24"/>
          <w:szCs w:val="24"/>
        </w:rPr>
        <w:t>t</w:t>
      </w:r>
      <w:r w:rsidR="003F3206">
        <w:rPr>
          <w:rFonts w:ascii="Times New Roman" w:hAnsi="Times New Roman" w:cs="Times New Roman"/>
          <w:iCs/>
          <w:sz w:val="24"/>
          <w:szCs w:val="24"/>
        </w:rPr>
        <w:t>her</w:t>
      </w:r>
      <w:r w:rsidR="00BA38BA">
        <w:rPr>
          <w:rFonts w:ascii="Times New Roman" w:hAnsi="Times New Roman" w:cs="Times New Roman"/>
          <w:iCs/>
          <w:sz w:val="24"/>
          <w:szCs w:val="24"/>
        </w:rPr>
        <w:t>e</w:t>
      </w:r>
      <w:r w:rsidR="003F3206">
        <w:rPr>
          <w:rFonts w:ascii="Times New Roman" w:hAnsi="Times New Roman" w:cs="Times New Roman"/>
          <w:iCs/>
          <w:sz w:val="24"/>
          <w:szCs w:val="24"/>
        </w:rPr>
        <w:t xml:space="preserve"> is failure on the part of the party who was contracted. The notice to terminate was duly issued and the days lapsed however the parties in the matter obtained the intervention of the Minister for Works and they agreed that the contract should be left to continue running with the contractor continuing the project. The application has been overtaken by events and should have been withdrawn</w:t>
      </w:r>
      <w:r w:rsidR="002A6177">
        <w:rPr>
          <w:rFonts w:ascii="Times New Roman" w:hAnsi="Times New Roman" w:cs="Times New Roman"/>
          <w:sz w:val="24"/>
          <w:szCs w:val="24"/>
        </w:rPr>
        <w:t xml:space="preserve">. </w:t>
      </w:r>
    </w:p>
    <w:p w:rsidR="002A6177" w:rsidRDefault="002A6177" w:rsidP="002A6177">
      <w:pPr>
        <w:spacing w:after="0" w:line="360" w:lineRule="auto"/>
        <w:jc w:val="both"/>
        <w:rPr>
          <w:rFonts w:ascii="Times New Roman" w:eastAsiaTheme="minorEastAsia" w:hAnsi="Times New Roman" w:cs="Times New Roman"/>
          <w:sz w:val="24"/>
          <w:szCs w:val="24"/>
          <w:lang w:eastAsia="en-GB"/>
        </w:rPr>
      </w:pPr>
    </w:p>
    <w:p w:rsidR="002A6177" w:rsidRDefault="002A6177" w:rsidP="002A6177">
      <w:pPr>
        <w:pStyle w:val="ListParagraph"/>
        <w:numPr>
          <w:ilvl w:val="0"/>
          <w:numId w:val="34"/>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decision</w:t>
      </w:r>
      <w:r>
        <w:rPr>
          <w:rFonts w:ascii="Times New Roman" w:eastAsiaTheme="minorEastAsia" w:hAnsi="Times New Roman" w:cs="Times New Roman"/>
          <w:sz w:val="24"/>
          <w:szCs w:val="24"/>
          <w:lang w:eastAsia="en-GB"/>
        </w:rPr>
        <w:t>.</w:t>
      </w:r>
    </w:p>
    <w:p w:rsidR="002A6177" w:rsidRDefault="002A6177" w:rsidP="002A6177">
      <w:pPr>
        <w:spacing w:after="0" w:line="360" w:lineRule="auto"/>
        <w:jc w:val="center"/>
        <w:rPr>
          <w:rFonts w:ascii="Times New Roman" w:hAnsi="Times New Roman" w:cs="Times New Roman"/>
          <w:sz w:val="24"/>
          <w:szCs w:val="24"/>
        </w:rPr>
      </w:pPr>
    </w:p>
    <w:p w:rsidR="00115BF7" w:rsidRDefault="00115BF7" w:rsidP="00115BF7">
      <w:pPr>
        <w:spacing w:after="0" w:line="360" w:lineRule="auto"/>
        <w:jc w:val="both"/>
        <w:rPr>
          <w:rFonts w:ascii="Times New Roman" w:hAnsi="Times New Roman" w:cs="Times New Roman"/>
          <w:sz w:val="24"/>
          <w:szCs w:val="24"/>
        </w:rPr>
      </w:pPr>
      <w:bookmarkStart w:id="0" w:name="_Hlk126137497"/>
      <w:r>
        <w:rPr>
          <w:rFonts w:ascii="Times New Roman" w:eastAsia="Times New Roman" w:hAnsi="Times New Roman" w:cs="Times New Roman"/>
          <w:sz w:val="24"/>
          <w:szCs w:val="24"/>
        </w:rPr>
        <w:t xml:space="preserve">According to section 6 of </w:t>
      </w:r>
      <w:r>
        <w:rPr>
          <w:rFonts w:ascii="Times New Roman" w:eastAsia="Times New Roman" w:hAnsi="Times New Roman" w:cs="Times New Roman"/>
          <w:i/>
          <w:sz w:val="24"/>
          <w:szCs w:val="24"/>
        </w:rPr>
        <w:t>The Arbitration and Conciliation Act</w:t>
      </w:r>
      <w:r>
        <w:rPr>
          <w:rFonts w:ascii="Times New Roman" w:eastAsia="Times New Roman" w:hAnsi="Times New Roman" w:cs="Times New Roman"/>
          <w:sz w:val="24"/>
          <w:szCs w:val="24"/>
        </w:rPr>
        <w:t>, a party to an arbitration agreement may apply to the court, before or during arbitral proceedings, for an interim measure of protection, and the court may grant that measure.</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 xml:space="preserve">The jurisdiction exercised by the Court under section 6 of </w:t>
      </w:r>
      <w:r>
        <w:rPr>
          <w:rFonts w:ascii="Times New Roman" w:hAnsi="Times New Roman" w:cs="Times New Roman"/>
          <w:i/>
          <w:sz w:val="24"/>
          <w:szCs w:val="24"/>
        </w:rPr>
        <w:t>The Arbitration and Conciliation Act</w:t>
      </w:r>
      <w:r>
        <w:rPr>
          <w:rFonts w:ascii="Times New Roman" w:hAnsi="Times New Roman" w:cs="Times New Roman"/>
          <w:sz w:val="24"/>
          <w:szCs w:val="24"/>
        </w:rPr>
        <w:t xml:space="preserve"> is ancillary to the process of arbitration. While the subject matter jurisdiction rests with the chosen arbitrator, that of this court is invoked only in aid of, or supplementary to, the process of arbitration for the purpose of: (i) procuring or preserving evidence; (ii)  facilitating the proceedings as the justice of the case might require; (iii) restraining the assertion of doubtful rights; (iii) providing for the safety of property either pending arbitration or when it is in the hands of accounting parties or limited owners; (iv) where the efficacy or integrity of the arbitral proceedings is in jeopardy; (v) enforcing awards obtained, and so on. The Court is empowered to grant whatever interim protective measures it deems necessary, including injunctive relief and measures for the protection and conservation of property.  </w:t>
      </w:r>
    </w:p>
    <w:p w:rsidR="00115BF7" w:rsidRDefault="00115BF7" w:rsidP="00115BF7">
      <w:pPr>
        <w:spacing w:after="0" w:line="360" w:lineRule="auto"/>
        <w:jc w:val="both"/>
        <w:rPr>
          <w:rFonts w:ascii="Times New Roman" w:eastAsia="Times New Roman" w:hAnsi="Times New Roman" w:cs="Times New Roman"/>
          <w:sz w:val="24"/>
          <w:szCs w:val="24"/>
          <w:lang w:val="en-US"/>
        </w:rPr>
      </w:pPr>
    </w:p>
    <w:p w:rsidR="00115BF7" w:rsidRDefault="00115BF7" w:rsidP="00115BF7">
      <w:pPr>
        <w:spacing w:after="0" w:line="360" w:lineRule="auto"/>
        <w:jc w:val="both"/>
        <w:rPr>
          <w:rFonts w:ascii="Times New Roman" w:eastAsia="Times New Roman" w:hAnsi="Times New Roman" w:cs="Times New Roman"/>
          <w:sz w:val="24"/>
          <w:szCs w:val="24"/>
          <w:lang w:val="en-US"/>
        </w:rPr>
      </w:pPr>
      <w:r>
        <w:rPr>
          <w:rFonts w:ascii="Times New Roman" w:eastAsiaTheme="minorEastAsia" w:hAnsi="Times New Roman" w:cs="Times New Roman"/>
          <w:sz w:val="24"/>
          <w:szCs w:val="24"/>
          <w:lang w:eastAsia="en-GB"/>
        </w:rPr>
        <w:t xml:space="preserve">When court is called upon to grant injunctive relief as </w:t>
      </w:r>
      <w:r>
        <w:rPr>
          <w:rFonts w:ascii="Times New Roman" w:hAnsi="Times New Roman" w:cs="Times New Roman"/>
          <w:sz w:val="24"/>
          <w:szCs w:val="24"/>
        </w:rPr>
        <w:t>an interim measure of protection</w:t>
      </w:r>
      <w:r>
        <w:rPr>
          <w:rFonts w:ascii="Times New Roman" w:eastAsiaTheme="minorEastAsia" w:hAnsi="Times New Roman" w:cs="Times New Roman"/>
          <w:sz w:val="24"/>
          <w:szCs w:val="24"/>
          <w:lang w:eastAsia="en-GB"/>
        </w:rPr>
        <w:t xml:space="preserve"> pending arbitral proceedings, the court will generally have regard to the following: (a) the nature and strength of the applicant</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case, i.e., whether there is a serious question to be arbitrated, in respect of which the applicant demonstrates a sufficient likelihood of success; (b) whether there is an imminent risk of irreparable loss, by considering whether damages are an adequate remedy to the perceived risk of harm; and (c) the course of action favoured on a balance of convenience, i.e. the course of action that results in the lower risk of injustice if the decision to grant the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is incorrect.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Cs/>
          <w:iCs/>
          <w:sz w:val="24"/>
          <w:szCs w:val="24"/>
          <w:lang w:val="en-US"/>
        </w:rPr>
        <w:t>The purpose of granting an interim protective measure is for preservation of the parties</w:t>
      </w:r>
      <w:r w:rsidR="00F135F2">
        <w:rPr>
          <w:rFonts w:ascii="Times New Roman" w:eastAsia="Times New Roman" w:hAnsi="Times New Roman" w:cs="Times New Roman"/>
          <w:bCs/>
          <w:iCs/>
          <w:sz w:val="24"/>
          <w:szCs w:val="24"/>
          <w:lang w:val="en-US"/>
        </w:rPr>
        <w:t>’</w:t>
      </w:r>
      <w:r>
        <w:rPr>
          <w:rFonts w:ascii="Times New Roman" w:eastAsia="Times New Roman" w:hAnsi="Times New Roman" w:cs="Times New Roman"/>
          <w:bCs/>
          <w:iCs/>
          <w:sz w:val="24"/>
          <w:szCs w:val="24"/>
          <w:lang w:val="en-US"/>
        </w:rPr>
        <w:t xml:space="preserve"> legal rights pending </w:t>
      </w:r>
      <w:r w:rsidR="00F135F2">
        <w:rPr>
          <w:rFonts w:ascii="Times New Roman" w:eastAsia="Times New Roman" w:hAnsi="Times New Roman" w:cs="Times New Roman"/>
          <w:bCs/>
          <w:iCs/>
          <w:sz w:val="24"/>
          <w:szCs w:val="24"/>
          <w:lang w:val="en-US"/>
        </w:rPr>
        <w:t>arbitration</w:t>
      </w:r>
      <w:r>
        <w:rPr>
          <w:rFonts w:ascii="Times New Roman" w:eastAsia="Times New Roman" w:hAnsi="Times New Roman" w:cs="Times New Roman"/>
          <w:bCs/>
          <w:iCs/>
          <w:sz w:val="24"/>
          <w:szCs w:val="24"/>
          <w:lang w:val="en-US"/>
        </w:rPr>
        <w:t>. The court doesn</w:t>
      </w:r>
      <w:r w:rsidR="00EE77A0">
        <w:rPr>
          <w:rFonts w:ascii="Times New Roman" w:eastAsia="Times New Roman" w:hAnsi="Times New Roman" w:cs="Times New Roman"/>
          <w:bCs/>
          <w:iCs/>
          <w:sz w:val="24"/>
          <w:szCs w:val="24"/>
          <w:lang w:val="en-US"/>
        </w:rPr>
        <w:t>’</w:t>
      </w:r>
      <w:r>
        <w:rPr>
          <w:rFonts w:ascii="Times New Roman" w:eastAsia="Times New Roman" w:hAnsi="Times New Roman" w:cs="Times New Roman"/>
          <w:bCs/>
          <w:iCs/>
          <w:sz w:val="24"/>
          <w:szCs w:val="24"/>
          <w:lang w:val="en-US"/>
        </w:rPr>
        <w:t>t determine the legal rights that will be the subject of the arbitration but merely preserves it in its current condition until their respective rights can be established or declared by the arbitrator</w:t>
      </w:r>
      <w:r>
        <w:rPr>
          <w:rFonts w:ascii="Times New Roman" w:eastAsia="Times New Roman" w:hAnsi="Times New Roman" w:cs="Times New Roman"/>
          <w:bCs/>
          <w:sz w:val="24"/>
          <w:szCs w:val="24"/>
          <w:lang w:val="en-US"/>
        </w:rPr>
        <w:t xml:space="preserve">. If failure to grant the </w:t>
      </w:r>
      <w:r w:rsidR="009C6CA5">
        <w:rPr>
          <w:rFonts w:ascii="Times New Roman" w:eastAsia="Times New Roman" w:hAnsi="Times New Roman" w:cs="Times New Roman"/>
          <w:bCs/>
          <w:sz w:val="24"/>
          <w:szCs w:val="24"/>
          <w:lang w:val="en-US"/>
        </w:rPr>
        <w:t>restraining order</w:t>
      </w:r>
      <w:r>
        <w:rPr>
          <w:rFonts w:ascii="Times New Roman" w:eastAsia="Times New Roman" w:hAnsi="Times New Roman" w:cs="Times New Roman"/>
          <w:bCs/>
          <w:sz w:val="24"/>
          <w:szCs w:val="24"/>
          <w:lang w:val="en-US"/>
        </w:rPr>
        <w:t xml:space="preserve"> might compromise the applicants</w:t>
      </w:r>
      <w:r w:rsidR="00EE77A0">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ability to assert their claimed rights, there is a very high likelihood of occasioning a </w:t>
      </w:r>
      <w:r>
        <w:rPr>
          <w:rFonts w:ascii="Times New Roman" w:eastAsia="Times New Roman" w:hAnsi="Times New Roman" w:cs="Times New Roman"/>
          <w:bCs/>
          <w:iCs/>
          <w:sz w:val="24"/>
          <w:szCs w:val="24"/>
          <w:lang w:val="en-US"/>
        </w:rPr>
        <w:t xml:space="preserve">loss that cannot be compensated for with money. </w:t>
      </w:r>
    </w:p>
    <w:p w:rsidR="00115BF7" w:rsidRDefault="00115BF7" w:rsidP="00115BF7">
      <w:pPr>
        <w:spacing w:after="0" w:line="360" w:lineRule="auto"/>
        <w:jc w:val="both"/>
        <w:rPr>
          <w:rFonts w:ascii="Times New Roman" w:eastAsia="Times New Roman" w:hAnsi="Times New Roman" w:cs="Times New Roman"/>
          <w:bCs/>
          <w:sz w:val="24"/>
          <w:szCs w:val="24"/>
          <w:lang w:val="en-US"/>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established by the law and the decided cases that, the main purpose for issuance of a </w:t>
      </w:r>
      <w:r w:rsidR="00F04F2B">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is the preservation of property the subject of arbitration and the maintenance of </w:t>
      </w: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i/>
          <w:iCs/>
          <w:sz w:val="24"/>
          <w:szCs w:val="24"/>
        </w:rPr>
        <w:t>status quo</w:t>
      </w:r>
      <w:r>
        <w:rPr>
          <w:rFonts w:ascii="Times New Roman" w:eastAsia="Times New Roman" w:hAnsi="Times New Roman" w:cs="Times New Roman"/>
          <w:sz w:val="24"/>
          <w:szCs w:val="24"/>
        </w:rPr>
        <w:t xml:space="preserve"> between the parties pending the disposal of the main proceeding. The conditions for the grant of an interlocutory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are now, well settled.  First, an applicant must show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case with a probability of success.  Secondly, an interlocutory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will not normally be granted unless the applicant might otherwise suffer irreparable injury, which would not adequately be compensated by an award of damages. Thirdly, if the court is in doubt, it will decide an application on the balance of convenience (see </w:t>
      </w:r>
      <w:r>
        <w:rPr>
          <w:rFonts w:ascii="Times New Roman" w:eastAsia="Times New Roman" w:hAnsi="Times New Roman" w:cs="Times New Roman"/>
          <w:i/>
          <w:sz w:val="24"/>
          <w:szCs w:val="24"/>
        </w:rPr>
        <w:t>E.A. Industries v. Trufoods, [1972] E.A. 420</w:t>
      </w:r>
      <w:r>
        <w:rPr>
          <w:rFonts w:ascii="Times New Roman" w:eastAsia="Times New Roman" w:hAnsi="Times New Roman" w:cs="Times New Roman"/>
          <w:i/>
          <w:iCs/>
          <w:sz w:val="24"/>
          <w:szCs w:val="24"/>
        </w:rPr>
        <w:t xml:space="preserve"> American Cyanamid Co v. Ethicon Limited [1975] AC 396</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Geilla v. Cassman Brown Co. Ltd [1973] E.A. 358</w:t>
      </w:r>
      <w:r>
        <w:rPr>
          <w:rFonts w:ascii="Times New Roman" w:eastAsia="Times New Roman" w:hAnsi="Times New Roman" w:cs="Times New Roman"/>
          <w:sz w:val="24"/>
          <w:szCs w:val="24"/>
        </w:rPr>
        <w:t xml:space="preserve"> and </w:t>
      </w:r>
      <w:r>
        <w:rPr>
          <w:rFonts w:ascii="Times New Roman" w:eastAsia="Times New Roman" w:hAnsi="Times New Roman" w:cs="Times New Roman"/>
          <w:i/>
          <w:iCs/>
          <w:sz w:val="24"/>
          <w:szCs w:val="24"/>
        </w:rPr>
        <w:t>GAPCO Uganda Limited v. Kaweesa and another H.C. Misc Application No. 259 of 2013</w:t>
      </w:r>
      <w:r>
        <w:rPr>
          <w:rFonts w:ascii="Times New Roman" w:eastAsia="Times New Roman" w:hAnsi="Times New Roman" w:cs="Times New Roman"/>
          <w:sz w:val="24"/>
          <w:szCs w:val="24"/>
        </w:rPr>
        <w:t xml:space="preserve">). The conditions that have to be fulfilled before court exercises its discretion to grant an interlocutory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have been well laid out as the following: -</w:t>
      </w:r>
    </w:p>
    <w:p w:rsidR="00115BF7" w:rsidRDefault="00115BF7" w:rsidP="00115BF7">
      <w:pPr>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has shown a </w:t>
      </w:r>
      <w:r>
        <w:rPr>
          <w:rFonts w:ascii="Times New Roman" w:eastAsia="Times New Roman" w:hAnsi="Times New Roman" w:cs="Times New Roman"/>
          <w:i/>
          <w:iCs/>
          <w:sz w:val="24"/>
          <w:szCs w:val="24"/>
        </w:rPr>
        <w:t>prima facie</w:t>
      </w:r>
      <w:r>
        <w:rPr>
          <w:rFonts w:ascii="Times New Roman" w:eastAsia="Times New Roman" w:hAnsi="Times New Roman" w:cs="Times New Roman"/>
          <w:sz w:val="24"/>
          <w:szCs w:val="24"/>
        </w:rPr>
        <w:t xml:space="preserve"> case or a serious question to be arbitrated, with a probability of success.</w:t>
      </w:r>
    </w:p>
    <w:p w:rsidR="00115BF7" w:rsidRDefault="00115BF7" w:rsidP="00115BF7">
      <w:pPr>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likelihood of the applicant suffering irreparable damage which would not be adequately compensated by an award of damages.</w:t>
      </w:r>
    </w:p>
    <w:p w:rsidR="00115BF7" w:rsidRDefault="00115BF7" w:rsidP="00115BF7">
      <w:pPr>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in doubt in respect of the above two considerations, then the application will be decided on a balance of convenience </w:t>
      </w:r>
    </w:p>
    <w:p w:rsidR="00115BF7" w:rsidRDefault="00115BF7" w:rsidP="00115B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seeks to restrain payment under a</w:t>
      </w:r>
      <w:r w:rsidR="00F135F2">
        <w:rPr>
          <w:rFonts w:ascii="Times New Roman" w:hAnsi="Times New Roman" w:cs="Times New Roman"/>
          <w:sz w:val="24"/>
          <w:szCs w:val="24"/>
        </w:rPr>
        <w:t>n</w:t>
      </w:r>
      <w:r>
        <w:rPr>
          <w:rFonts w:ascii="Times New Roman" w:hAnsi="Times New Roman" w:cs="Times New Roman"/>
          <w:sz w:val="24"/>
          <w:szCs w:val="24"/>
        </w:rPr>
        <w:t xml:space="preserve"> </w:t>
      </w:r>
      <w:r w:rsidR="00F135F2">
        <w:rPr>
          <w:rFonts w:ascii="Times New Roman" w:hAnsi="Times New Roman" w:cs="Times New Roman"/>
          <w:sz w:val="24"/>
          <w:szCs w:val="24"/>
        </w:rPr>
        <w:t>advance payment</w:t>
      </w:r>
      <w:r>
        <w:rPr>
          <w:rFonts w:ascii="Times New Roman" w:hAnsi="Times New Roman" w:cs="Times New Roman"/>
          <w:sz w:val="24"/>
          <w:szCs w:val="24"/>
        </w:rPr>
        <w:t xml:space="preserve"> guarantee. The independence of the demand guarantee from the underlying contract has the effect that, in principle, the guarantor must pay a demand presented in compliance with the terms of the guarantee, irrespective of whether or not the principal has, in fact, committed a breach of the underlying contract with the Beneficiary. Therefore, Courts will very rarely order a guarantor not to pay a beneficiary who has made an apparently complying demand. However, in order to preserve the autonomy between the guarantor</w:t>
      </w:r>
      <w:r w:rsidR="00EE77A0">
        <w:rPr>
          <w:rFonts w:ascii="Times New Roman" w:hAnsi="Times New Roman" w:cs="Times New Roman"/>
          <w:sz w:val="24"/>
          <w:szCs w:val="24"/>
        </w:rPr>
        <w:t>’</w:t>
      </w:r>
      <w:r>
        <w:rPr>
          <w:rFonts w:ascii="Times New Roman" w:hAnsi="Times New Roman" w:cs="Times New Roman"/>
          <w:sz w:val="24"/>
          <w:szCs w:val="24"/>
        </w:rPr>
        <w:t xml:space="preserve"> obligations, on the one hand, and the rights and obligations of the parties to the underlying contract on the other, the law applies a separate, more stringent, test in the case of injections sought against the payment of demand guarantees.</w:t>
      </w:r>
      <w:r>
        <w:t xml:space="preserve"> </w:t>
      </w:r>
    </w:p>
    <w:p w:rsidR="00115BF7" w:rsidRDefault="00115BF7" w:rsidP="00115BF7">
      <w:pPr>
        <w:spacing w:after="0" w:line="360" w:lineRule="auto"/>
        <w:jc w:val="both"/>
      </w:pPr>
    </w:p>
    <w:p w:rsidR="00115BF7" w:rsidRDefault="00115BF7" w:rsidP="00115BF7">
      <w:pPr>
        <w:spacing w:after="0" w:line="360" w:lineRule="auto"/>
        <w:jc w:val="both"/>
      </w:pPr>
      <w:r>
        <w:rPr>
          <w:rFonts w:ascii="Times New Roman" w:hAnsi="Times New Roman" w:cs="Times New Roman"/>
          <w:sz w:val="24"/>
          <w:szCs w:val="24"/>
        </w:rPr>
        <w:t>The exceptions are; (i) fraud affecting the documents presented by the beneficiary (for example if they have been forged).</w:t>
      </w:r>
      <w:r>
        <w:t xml:space="preserve"> </w:t>
      </w:r>
      <w:r>
        <w:rPr>
          <w:rFonts w:ascii="Times New Roman" w:hAnsi="Times New Roman" w:cs="Times New Roman"/>
          <w:sz w:val="24"/>
          <w:szCs w:val="24"/>
        </w:rPr>
        <w:t xml:space="preserve">Fraud is not limited to dishonesty or fraudulent intent, but extends to an absence of objective good faith, as where no reasonable person would have considered the demand to be justified e.g. if the beneficiary had no honest belief in the validity of its demand; (ii) illegality </w:t>
      </w:r>
      <w:r>
        <w:rPr>
          <w:rFonts w:ascii="Times New Roman" w:hAnsi="Times New Roman" w:cs="Times New Roman"/>
          <w:sz w:val="24"/>
          <w:szCs w:val="24"/>
        </w:rPr>
        <w:lastRenderedPageBreak/>
        <w:t>in the demand guarantee contract or underlying contract; (iii) the infringement of international obligations and express contractual derogation from the principle of autonomy; and (iv) the total failure of the basis of the contract, i.e. the reason for its existence. </w:t>
      </w:r>
    </w:p>
    <w:p w:rsidR="00115BF7" w:rsidRDefault="00115BF7" w:rsidP="00115BF7">
      <w:pPr>
        <w:spacing w:after="0" w:line="360" w:lineRule="auto"/>
        <w:jc w:val="both"/>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obtain a </w:t>
      </w:r>
      <w:r w:rsidR="00F04F2B">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the applicant will be required to establish that: (i) there is a serious question to be arbitrated as to whether the respondent has a right to call on the guarantee; (ii) that if the application is not granted, the applicant stands to suffer irreparable damage; and (iii) the balance of convenience favours leaving the guarantee intact until the dispute is resolved. This will often be the case where the applicant can demonstrate that the payment of damages in lieu of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would be an inadequate remedy.</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might appear that these requirements could be readily satisfied where there is a bona fide dispute, particularly where the applicant stands to suffer significant reputational damage if a call were to be made, in the context of demand performance guarantees, courts will typically refuse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unless there are special circumstances that suggest they should do otherwise. The rationale behind this is that, by agreeing that the applicant will provide the demand performance guarantee on the terms set out in the contract, the parties have also agreed to allocate the financial risk of any dispute to the applicant until it is finally resolved.</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however at least three instances where courts will deviate from this position: (i) where there is compelling evidence of fraud on the part of the beneficiary; (ii) where there is compelling evidence of unconscionable conduct on the part of the beneficiary; or (iii) to ensure the beneficiary adheres to any contractual promise not to call on the performance guarantee (i.e., a negative stipulation). Unless the above circumstances are present, a court is likely to refuse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for the reasons set out above.</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BA38BA" w:rsidRDefault="00BA38BA" w:rsidP="00115BF7">
      <w:pPr>
        <w:spacing w:after="0" w:line="360" w:lineRule="auto"/>
        <w:jc w:val="both"/>
        <w:rPr>
          <w:rFonts w:ascii="Times New Roman" w:eastAsiaTheme="minorEastAsia" w:hAnsi="Times New Roman" w:cs="Times New Roman"/>
          <w:sz w:val="24"/>
          <w:szCs w:val="24"/>
          <w:lang w:eastAsia="en-GB"/>
        </w:rPr>
      </w:pPr>
    </w:p>
    <w:p w:rsidR="00A37381" w:rsidRDefault="00A37381" w:rsidP="00115BF7">
      <w:pPr>
        <w:spacing w:after="0" w:line="360" w:lineRule="auto"/>
        <w:jc w:val="both"/>
        <w:rPr>
          <w:rFonts w:ascii="Times New Roman" w:eastAsiaTheme="minorEastAsia" w:hAnsi="Times New Roman" w:cs="Times New Roman"/>
          <w:sz w:val="24"/>
          <w:szCs w:val="24"/>
          <w:lang w:eastAsia="en-GB"/>
        </w:rPr>
      </w:pPr>
    </w:p>
    <w:p w:rsidR="00A37381" w:rsidRDefault="00A37381" w:rsidP="00115BF7">
      <w:pPr>
        <w:spacing w:after="0" w:line="360" w:lineRule="auto"/>
        <w:jc w:val="both"/>
        <w:rPr>
          <w:rFonts w:ascii="Times New Roman" w:eastAsiaTheme="minorEastAsia" w:hAnsi="Times New Roman" w:cs="Times New Roman"/>
          <w:sz w:val="24"/>
          <w:szCs w:val="24"/>
          <w:lang w:eastAsia="en-GB"/>
        </w:rPr>
      </w:pPr>
    </w:p>
    <w:p w:rsidR="00BA38BA" w:rsidRDefault="00BA38BA"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pStyle w:val="ListParagraph"/>
        <w:numPr>
          <w:ilvl w:val="0"/>
          <w:numId w:val="32"/>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 xml:space="preserve">Whether the applicant has a </w:t>
      </w:r>
      <w:r>
        <w:rPr>
          <w:rFonts w:ascii="Times New Roman" w:eastAsiaTheme="minorEastAsia" w:hAnsi="Times New Roman" w:cs="Times New Roman"/>
          <w:i/>
          <w:sz w:val="24"/>
          <w:szCs w:val="24"/>
          <w:u w:val="single"/>
          <w:lang w:eastAsia="en-GB"/>
        </w:rPr>
        <w:t>prima facie</w:t>
      </w:r>
      <w:r>
        <w:rPr>
          <w:rFonts w:ascii="Times New Roman" w:eastAsiaTheme="minorEastAsia" w:hAnsi="Times New Roman" w:cs="Times New Roman"/>
          <w:sz w:val="24"/>
          <w:szCs w:val="24"/>
          <w:u w:val="single"/>
          <w:lang w:eastAsia="en-GB"/>
        </w:rPr>
        <w:t xml:space="preserve"> case </w:t>
      </w:r>
      <w:r>
        <w:rPr>
          <w:rFonts w:ascii="Times New Roman" w:eastAsia="Times New Roman" w:hAnsi="Times New Roman" w:cs="Times New Roman"/>
          <w:sz w:val="24"/>
          <w:szCs w:val="24"/>
          <w:u w:val="single"/>
        </w:rPr>
        <w:t>or a serious question to be arbitrated, with a probability of success</w:t>
      </w:r>
      <w:r>
        <w:rPr>
          <w:rFonts w:ascii="Times New Roman" w:eastAsiaTheme="minorEastAsia" w:hAnsi="Times New Roman" w:cs="Times New Roman"/>
          <w:sz w:val="24"/>
          <w:szCs w:val="24"/>
          <w:u w:val="single"/>
          <w:lang w:eastAsia="en-GB"/>
        </w:rPr>
        <w:t xml:space="preserve"> against the 1</w:t>
      </w:r>
      <w:r>
        <w:rPr>
          <w:rFonts w:ascii="Times New Roman" w:eastAsiaTheme="minorEastAsia" w:hAnsi="Times New Roman" w:cs="Times New Roman"/>
          <w:sz w:val="24"/>
          <w:szCs w:val="24"/>
          <w:u w:val="single"/>
          <w:vertAlign w:val="superscript"/>
          <w:lang w:eastAsia="en-GB"/>
        </w:rPr>
        <w:t>st</w:t>
      </w:r>
      <w:r>
        <w:rPr>
          <w:rFonts w:ascii="Times New Roman" w:eastAsiaTheme="minorEastAsia" w:hAnsi="Times New Roman" w:cs="Times New Roman"/>
          <w:sz w:val="24"/>
          <w:szCs w:val="24"/>
          <w:u w:val="single"/>
          <w:lang w:eastAsia="en-GB"/>
        </w:rPr>
        <w:t xml:space="preserve"> respondent</w:t>
      </w:r>
      <w:r>
        <w:rPr>
          <w:rFonts w:ascii="Times New Roman" w:eastAsiaTheme="minorEastAsia" w:hAnsi="Times New Roman" w:cs="Times New Roman"/>
          <w:sz w:val="24"/>
          <w:szCs w:val="24"/>
          <w:lang w:eastAsia="en-GB"/>
        </w:rPr>
        <w:t>.</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First, a preliminary assessment must be made of the merits of the matter taken to arbitration, to ensure that there is a “serious question to be arbitrated.” </w:t>
      </w:r>
      <w:r>
        <w:rPr>
          <w:rFonts w:ascii="Times New Roman" w:hAnsi="Times New Roman" w:cs="Times New Roman"/>
          <w:sz w:val="24"/>
          <w:szCs w:val="24"/>
        </w:rPr>
        <w:t xml:space="preserve">One of the criteria to be applied when considering whether or not to grant a </w:t>
      </w:r>
      <w:r w:rsidR="00F04F2B">
        <w:rPr>
          <w:rFonts w:ascii="Times New Roman" w:hAnsi="Times New Roman" w:cs="Times New Roman"/>
          <w:sz w:val="24"/>
          <w:szCs w:val="24"/>
        </w:rPr>
        <w:t>restraining order</w:t>
      </w:r>
      <w:r>
        <w:rPr>
          <w:rFonts w:ascii="Times New Roman" w:hAnsi="Times New Roman" w:cs="Times New Roman"/>
          <w:sz w:val="24"/>
          <w:szCs w:val="24"/>
        </w:rPr>
        <w:t xml:space="preserve"> is disclosure by the applicant</w:t>
      </w:r>
      <w:r w:rsidR="00EE77A0">
        <w:rPr>
          <w:rFonts w:ascii="Times New Roman" w:hAnsi="Times New Roman" w:cs="Times New Roman"/>
          <w:sz w:val="24"/>
          <w:szCs w:val="24"/>
        </w:rPr>
        <w:t>’</w:t>
      </w:r>
      <w:r>
        <w:rPr>
          <w:rFonts w:ascii="Times New Roman" w:hAnsi="Times New Roman" w:cs="Times New Roman"/>
          <w:sz w:val="24"/>
          <w:szCs w:val="24"/>
        </w:rPr>
        <w:t xml:space="preserve">s pleadings, of a “serious arbitrable issue,” with a possibility of success, not necessarily one that has a probability of success (see </w:t>
      </w:r>
      <w:r>
        <w:rPr>
          <w:rFonts w:ascii="Times New Roman" w:hAnsi="Times New Roman" w:cs="Times New Roman"/>
          <w:i/>
          <w:sz w:val="24"/>
          <w:szCs w:val="24"/>
        </w:rPr>
        <w:t xml:space="preserve">American Cyanamid v. Ethicon [1975] AC 396; [1975] ALL ER 504; </w:t>
      </w:r>
      <w:r>
        <w:rPr>
          <w:rFonts w:ascii="Times New Roman" w:hAnsi="Times New Roman" w:cs="Times New Roman"/>
          <w:i/>
          <w:iCs/>
          <w:sz w:val="24"/>
          <w:szCs w:val="24"/>
        </w:rPr>
        <w:t>Godfrey</w:t>
      </w:r>
      <w:r>
        <w:rPr>
          <w:rFonts w:ascii="Times New Roman" w:hAnsi="Times New Roman" w:cs="Times New Roman"/>
          <w:i/>
          <w:sz w:val="24"/>
          <w:szCs w:val="24"/>
        </w:rPr>
        <w:t xml:space="preserve"> Sekitoleko and four others v. Seezi Peter Mutabazi and two others, [2001 –2005] HCB 80</w:t>
      </w:r>
      <w:r>
        <w:rPr>
          <w:rFonts w:ascii="Times New Roman" w:hAnsi="Times New Roman" w:cs="Times New Roman"/>
          <w:sz w:val="24"/>
          <w:szCs w:val="24"/>
        </w:rPr>
        <w:t xml:space="preserve"> and </w:t>
      </w:r>
      <w:r>
        <w:rPr>
          <w:rFonts w:ascii="Times New Roman" w:hAnsi="Times New Roman" w:cs="Times New Roman"/>
          <w:i/>
          <w:sz w:val="24"/>
          <w:szCs w:val="24"/>
        </w:rPr>
        <w:t>Nsubuga and another v. Mutawe [1974] E.A 487</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There is no need to be satisfied that a permanent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is probable at arbitration;</w:t>
      </w:r>
      <w:r>
        <w:t xml:space="preserve"> </w:t>
      </w:r>
      <w:r>
        <w:rPr>
          <w:rFonts w:ascii="Times New Roman" w:eastAsia="Times New Roman" w:hAnsi="Times New Roman" w:cs="Times New Roman"/>
          <w:sz w:val="24"/>
          <w:szCs w:val="24"/>
        </w:rPr>
        <w:t xml:space="preserve">the court only needs be satisfied that the claim is not frivolous or vexatious; in other words, that there is a serious question to be arbitrated. </w:t>
      </w:r>
      <w:r>
        <w:rPr>
          <w:rFonts w:ascii="Times New Roman" w:hAnsi="Times New Roman" w:cs="Times New Roman"/>
          <w:sz w:val="24"/>
          <w:szCs w:val="24"/>
        </w:rPr>
        <w:t xml:space="preserve">A serious question is thus any question that is not frivolous or vexatious. As long as the claim is not frivolous or vexatious, the requirement of a </w:t>
      </w:r>
      <w:r>
        <w:rPr>
          <w:rFonts w:ascii="Times New Roman" w:hAnsi="Times New Roman" w:cs="Times New Roman"/>
          <w:i/>
          <w:sz w:val="24"/>
          <w:szCs w:val="24"/>
        </w:rPr>
        <w:t>prima facie</w:t>
      </w:r>
      <w:r>
        <w:rPr>
          <w:rFonts w:ascii="Times New Roman" w:hAnsi="Times New Roman" w:cs="Times New Roman"/>
          <w:sz w:val="24"/>
          <w:szCs w:val="24"/>
        </w:rPr>
        <w:t xml:space="preserve"> case is met. The Court must be satisfied that </w:t>
      </w:r>
      <w:r>
        <w:rPr>
          <w:rFonts w:ascii="Times New Roman" w:eastAsia="Times New Roman" w:hAnsi="Times New Roman" w:cs="Times New Roman"/>
          <w:sz w:val="24"/>
          <w:szCs w:val="24"/>
        </w:rPr>
        <w:t>there is a serious question to be arbitrated as to whether the respondent has a right to call on the guarantee</w:t>
      </w:r>
      <w:r>
        <w:rPr>
          <w:rFonts w:ascii="Times New Roman" w:hAnsi="Times New Roman" w:cs="Times New Roman"/>
          <w:sz w:val="24"/>
          <w:szCs w:val="24"/>
        </w:rPr>
        <w:t xml:space="preserve"> (see </w:t>
      </w:r>
      <w:r>
        <w:rPr>
          <w:rFonts w:ascii="Times New Roman" w:hAnsi="Times New Roman" w:cs="Times New Roman"/>
          <w:i/>
          <w:sz w:val="24"/>
          <w:szCs w:val="24"/>
        </w:rPr>
        <w:t>G&amp;S Engineering Services v. MACH Energy Australia Pty Ltd [2019] NSWSC 407</w:t>
      </w:r>
      <w:r>
        <w:rPr>
          <w:rFonts w:ascii="Times New Roman" w:hAnsi="Times New Roman" w:cs="Times New Roman"/>
          <w:sz w:val="24"/>
          <w:szCs w:val="24"/>
        </w:rPr>
        <w:t xml:space="preserve">). </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court no doubt must be satisfied that the claim is not frivolous or vexatious; in other words, that there is a serious question to be arbitrated, and that there is at least a reasonable chance that the applicant will succeed at the arbitration. The applicant needs to show only a reasonable likelihood of success on the merits;</w:t>
      </w:r>
      <w:r>
        <w:t xml:space="preserve"> </w:t>
      </w:r>
      <w:r>
        <w:rPr>
          <w:rFonts w:ascii="Times New Roman" w:eastAsiaTheme="minorEastAsia" w:hAnsi="Times New Roman" w:cs="Times New Roman"/>
          <w:sz w:val="24"/>
          <w:szCs w:val="24"/>
          <w:lang w:eastAsia="en-GB"/>
        </w:rPr>
        <w:t>a better than negligible chance of success</w:t>
      </w:r>
      <w:r>
        <w:t xml:space="preserve"> </w:t>
      </w:r>
      <w:r>
        <w:rPr>
          <w:rFonts w:ascii="Times New Roman" w:eastAsiaTheme="minorEastAsia" w:hAnsi="Times New Roman" w:cs="Times New Roman"/>
          <w:sz w:val="24"/>
          <w:szCs w:val="24"/>
          <w:lang w:eastAsia="en-GB"/>
        </w:rPr>
        <w:t>otherwise, parties with weak cases will be encouraged to seek interim injunctive relief in cases where permanent relief may not be possible. The applicant</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burden on this part of the test is relatively low, and in most cases an applicant will be able to show that there is a serious question to be arbitrated. The court must not decide issues that the parties have left to arbitrators. The applicant is required to provide reasonably available evidence to satisfy the court with a sufficient degree of certainty that the applicant is the rights-holder and that his or her rights are being infringed, or that such infringement is imminent.</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The applicant must show a strong probability that the feared conduct and resulting damage will occur.</w:t>
      </w:r>
      <w:r>
        <w:rPr>
          <w:rFonts w:ascii="Times New Roman" w:hAnsi="Times New Roman" w:cs="Times New Roman"/>
          <w:sz w:val="24"/>
          <w:szCs w:val="24"/>
        </w:rPr>
        <w:t xml:space="preserve">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On basis of the facts pleaded by the parties, the controversy between them seems to rotate around the question whether </w:t>
      </w:r>
      <w:r>
        <w:rPr>
          <w:rFonts w:ascii="Times New Roman" w:eastAsia="Times New Roman" w:hAnsi="Times New Roman" w:cs="Times New Roman"/>
          <w:sz w:val="24"/>
          <w:szCs w:val="24"/>
        </w:rPr>
        <w:t xml:space="preserve">the respondent has a right to call on the guarantee. While the applicant contends </w:t>
      </w:r>
      <w:r>
        <w:rPr>
          <w:rFonts w:ascii="Times New Roman" w:eastAsiaTheme="minorEastAsia" w:hAnsi="Times New Roman" w:cs="Times New Roman"/>
          <w:sz w:val="24"/>
          <w:szCs w:val="24"/>
          <w:lang w:eastAsia="en-GB"/>
        </w:rPr>
        <w:t xml:space="preserve">that </w:t>
      </w:r>
      <w:r w:rsidR="00BA38BA">
        <w:rPr>
          <w:rFonts w:ascii="Times New Roman" w:eastAsiaTheme="minorEastAsia" w:hAnsi="Times New Roman" w:cs="Times New Roman"/>
          <w:sz w:val="24"/>
          <w:szCs w:val="24"/>
          <w:lang w:eastAsia="en-GB"/>
        </w:rPr>
        <w:t>it fully mobilised equipment required for execution of the contract and thus fully satisfied the requirements of the advance performance guarantee despite the delay occasioned by the Covid19 pandemic</w:t>
      </w:r>
      <w:r>
        <w:rPr>
          <w:rFonts w:ascii="Times New Roman" w:eastAsiaTheme="minorEastAsia" w:hAnsi="Times New Roman" w:cs="Times New Roman"/>
          <w:sz w:val="24"/>
          <w:szCs w:val="24"/>
          <w:lang w:eastAsia="en-GB"/>
        </w:rPr>
        <w:t>, the respondent argues that</w:t>
      </w:r>
      <w:r>
        <w:rPr>
          <w:rFonts w:ascii="Times New Roman" w:hAnsi="Times New Roman" w:cs="Times New Roman"/>
          <w:sz w:val="24"/>
          <w:szCs w:val="24"/>
        </w:rPr>
        <w:t xml:space="preserve"> </w:t>
      </w:r>
      <w:r w:rsidR="00BA38BA">
        <w:rPr>
          <w:rFonts w:ascii="Times New Roman" w:hAnsi="Times New Roman" w:cs="Times New Roman"/>
          <w:sz w:val="24"/>
          <w:szCs w:val="24"/>
        </w:rPr>
        <w:t>it has the contractual right to terminate the contract on account of delayed commencement of the works</w:t>
      </w:r>
      <w:r>
        <w:rPr>
          <w:rFonts w:ascii="Times New Roman" w:eastAsiaTheme="minorEastAsia" w:hAnsi="Times New Roman" w:cs="Times New Roman"/>
          <w:sz w:val="24"/>
          <w:szCs w:val="24"/>
          <w:lang w:eastAsia="en-GB"/>
        </w:rPr>
        <w:t>.</w:t>
      </w:r>
      <w:r>
        <w:rPr>
          <w:rFonts w:ascii="Times New Roman" w:hAnsi="Times New Roman" w:cs="Times New Roman"/>
          <w:sz w:val="24"/>
          <w:szCs w:val="24"/>
        </w:rPr>
        <w:t xml:space="preserve"> These are sufficiently serious questions going to the merits to make them a fair ground for arbitration. To obtain an interlocutory </w:t>
      </w:r>
      <w:r w:rsidR="009C6CA5">
        <w:rPr>
          <w:rFonts w:ascii="Times New Roman" w:hAnsi="Times New Roman" w:cs="Times New Roman"/>
          <w:sz w:val="24"/>
          <w:szCs w:val="24"/>
        </w:rPr>
        <w:t>restraining order</w:t>
      </w:r>
      <w:r>
        <w:rPr>
          <w:rFonts w:ascii="Times New Roman" w:hAnsi="Times New Roman" w:cs="Times New Roman"/>
          <w:sz w:val="24"/>
          <w:szCs w:val="24"/>
        </w:rPr>
        <w:t xml:space="preserve"> an applicant must show only that its claim is not frivolous or vexatious, that is to say, it has a serious issue to be arbitrated.</w:t>
      </w:r>
      <w:r>
        <w:rPr>
          <w:rFonts w:ascii="Times New Roman" w:eastAsia="Times New Roman" w:hAnsi="Times New Roman" w:cs="Times New Roman"/>
          <w:sz w:val="24"/>
          <w:szCs w:val="24"/>
        </w:rPr>
        <w:t xml:space="preserve"> The applicant has satisfied this requirement.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pStyle w:val="ListParagraph"/>
        <w:numPr>
          <w:ilvl w:val="0"/>
          <w:numId w:val="32"/>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Whether the applicant will have an adequate remedy at law or will be irreparably harmed if the </w:t>
      </w:r>
      <w:r w:rsidR="0059358D">
        <w:rPr>
          <w:rFonts w:ascii="Times New Roman" w:eastAsiaTheme="minorEastAsia" w:hAnsi="Times New Roman" w:cs="Times New Roman"/>
          <w:sz w:val="24"/>
          <w:szCs w:val="24"/>
          <w:u w:val="single"/>
          <w:lang w:eastAsia="en-GB"/>
        </w:rPr>
        <w:t>restraining order</w:t>
      </w:r>
      <w:r>
        <w:rPr>
          <w:rFonts w:ascii="Times New Roman" w:eastAsiaTheme="minorEastAsia" w:hAnsi="Times New Roman" w:cs="Times New Roman"/>
          <w:sz w:val="24"/>
          <w:szCs w:val="24"/>
          <w:u w:val="single"/>
          <w:lang w:eastAsia="en-GB"/>
        </w:rPr>
        <w:t xml:space="preserve"> does not issue</w:t>
      </w:r>
      <w:r>
        <w:rPr>
          <w:rFonts w:ascii="Times New Roman" w:eastAsiaTheme="minorEastAsia" w:hAnsi="Times New Roman" w:cs="Times New Roman"/>
          <w:sz w:val="24"/>
          <w:szCs w:val="24"/>
          <w:lang w:eastAsia="en-GB"/>
        </w:rPr>
        <w:t>.</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Second, the applicant must show that it will suffer irreparable harm if the court refused to grant the </w:t>
      </w:r>
      <w:r w:rsidR="0059358D">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and the respondents were allowed to continue in their course of conduct. “Irreparable” in this context refers not to the size of the harm that would be suffered, but its nature. If the harm could not be quantified by payment of money, or if the harm is not readily calculated or estimated, this part of the test will usually be satisfied. In some cases, the availability of damages often precludes such a finding.</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Irreparable damage has been defined by </w:t>
      </w:r>
      <w:r>
        <w:rPr>
          <w:rFonts w:ascii="Times New Roman" w:eastAsia="Times New Roman" w:hAnsi="Times New Roman" w:cs="Times New Roman"/>
          <w:i/>
          <w:iCs/>
          <w:sz w:val="24"/>
          <w:szCs w:val="24"/>
        </w:rPr>
        <w:t>Black</w:t>
      </w:r>
      <w:r w:rsidR="00EE77A0">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 Law Dictionary</w:t>
      </w:r>
      <w:r>
        <w:rPr>
          <w:rFonts w:ascii="Times New Roman" w:eastAsia="Times New Roman" w:hAnsi="Times New Roman" w:cs="Times New Roman"/>
          <w:sz w:val="24"/>
          <w:szCs w:val="24"/>
        </w:rPr>
        <w:t>,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page 447 to mean; “damages that cannot be easily ascertained because there is no fixed pecuniary standard of measurement</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It has also been defined as “loss that cannot be compensated for with money” (see </w:t>
      </w:r>
      <w:r>
        <w:rPr>
          <w:rFonts w:ascii="Times New Roman" w:eastAsia="Times New Roman" w:hAnsi="Times New Roman" w:cs="Times New Roman"/>
          <w:i/>
          <w:iCs/>
          <w:sz w:val="24"/>
          <w:szCs w:val="24"/>
        </w:rPr>
        <w:t>City Council of Kampala v. Donozio Musisi Sekyaya C.A. Civil Application No. 3 of 2000</w:t>
      </w:r>
      <w:r>
        <w:rPr>
          <w:rFonts w:ascii="Times New Roman" w:eastAsia="Times New Roman" w:hAnsi="Times New Roman" w:cs="Times New Roman"/>
          <w:sz w:val="24"/>
          <w:szCs w:val="24"/>
        </w:rPr>
        <w:t xml:space="preserve">). The purpose of granting a </w:t>
      </w:r>
      <w:r w:rsidR="00F04F2B">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is for preservation of the parties</w:t>
      </w:r>
      <w:r w:rsidR="00A373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legal rights pending </w:t>
      </w:r>
      <w:r w:rsidR="00A37381">
        <w:rPr>
          <w:rFonts w:ascii="Times New Roman" w:eastAsia="Times New Roman" w:hAnsi="Times New Roman" w:cs="Times New Roman"/>
          <w:sz w:val="24"/>
          <w:szCs w:val="24"/>
        </w:rPr>
        <w:t>arbitration</w:t>
      </w:r>
      <w:r>
        <w:rPr>
          <w:rFonts w:ascii="Times New Roman" w:eastAsia="Times New Roman" w:hAnsi="Times New Roman" w:cs="Times New Roman"/>
          <w:sz w:val="24"/>
          <w:szCs w:val="24"/>
        </w:rPr>
        <w:t>.  The court doesn</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determine the legal rights to the property but merely preserves it in its current condition until the legal title or ownership can be established or declared. If failure to grant the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might compromise the applicants</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ability to assert their claimed rights, for example when intervening adverse claims by third parties are created, there is a very high likelihood of occasioning a loss that cannot be compensated for with money. </w:t>
      </w:r>
    </w:p>
    <w:p w:rsidR="00115BF7" w:rsidRDefault="00115BF7" w:rsidP="00115BF7">
      <w:pPr>
        <w:spacing w:after="0" w:line="360" w:lineRule="auto"/>
        <w:jc w:val="both"/>
        <w:rPr>
          <w:rFonts w:ascii="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Court may grant a </w:t>
      </w:r>
      <w:r w:rsidR="00F04F2B">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if it is apparent that the respondent is about to embark on a course of action that would infringe an applicant</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rights. The court will particularly be inclined to grant the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where there appears to be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breach of property rights, or where the potential harm that could flow should a court order not be granted is difficult or impossible to calculate and quantify at a later stage in the arbitration, or where the damages when awarded may be irrecoverable</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eastAsia="Times New Roman" w:hAnsi="Times New Roman" w:cs="Times New Roman"/>
          <w:i/>
          <w:sz w:val="24"/>
          <w:szCs w:val="24"/>
        </w:rPr>
        <w:t>Itek Corp. v. First Nat. Bank of Boston, 566 F. Supp. 1210 (D. Mass. 1983</w:t>
      </w:r>
      <w:r>
        <w:rPr>
          <w:rFonts w:ascii="Times New Roman" w:eastAsia="Times New Roman" w:hAnsi="Times New Roman" w:cs="Times New Roman"/>
          <w:sz w:val="24"/>
          <w:szCs w:val="24"/>
        </w:rPr>
        <w:t xml:space="preserve">). The fact that damages may be reasonably calculable will provide an applicant with little consolation in the event those damages ultimately prove uncollectable.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is an equitable and discretionary remedy, it is a general rule that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will not be granted where damages are an adequate remedy. Before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is ordered, it must be established that an award of damages is not an adequate remedy.</w:t>
      </w:r>
      <w:r>
        <w:t xml:space="preserve"> </w:t>
      </w:r>
      <w:r>
        <w:rPr>
          <w:rFonts w:ascii="Times New Roman" w:eastAsia="Times New Roman" w:hAnsi="Times New Roman" w:cs="Times New Roman"/>
          <w:sz w:val="24"/>
          <w:szCs w:val="24"/>
        </w:rPr>
        <w:t>That type of claim can be made in exceptional cases involving breach of contract, akin to a breach of fiduciary duty, where the normal remedies are inadequate and where deterrence of others is an important factor. Courts often will step in to preserve the status quo where the withholding of injunctive relief would render the process of arbitration meaningless or a hollow formality because an arbitral award, at the time it was rendered, could not return the parties substantially to the status quo ante</w:t>
      </w:r>
      <w:r>
        <w:t xml:space="preserve"> </w:t>
      </w:r>
      <w:r>
        <w:rPr>
          <w:rFonts w:ascii="Times New Roman" w:eastAsia="Times New Roman" w:hAnsi="Times New Roman" w:cs="Times New Roman"/>
          <w:sz w:val="24"/>
          <w:szCs w:val="24"/>
        </w:rPr>
        <w:t xml:space="preserve">i.e., conditions would be so changed that no arbitral award could substantially remedy the grievances.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ought not to be granted where the respondent would be restored to the financial position it would have been in had the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not been granted.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establish that damages are not adequate, the innocent party will generally have to evidence either that a) the subject matter of the contract is rare or unique or b) damages would be financially ineffective.</w:t>
      </w:r>
      <w:r>
        <w:t xml:space="preserve"> </w:t>
      </w:r>
      <w:r>
        <w:rPr>
          <w:rFonts w:ascii="Times New Roman" w:eastAsia="Times New Roman" w:hAnsi="Times New Roman" w:cs="Times New Roman"/>
          <w:sz w:val="24"/>
          <w:szCs w:val="24"/>
        </w:rPr>
        <w:t>Damages may be found to be an inadequate remedy in the following circumstances, among others: (a) the damage is impossible to repair; (b) the damage is not easily susceptible to be measured in economic terms; (c) the harm caused is not a financial one; (d) monetary damages are unlikely to be recovered; (e) an award of damages is inappropriate in light of the importance of the interest in issue; and (f) the harm has not yet occurred or the wrong is continuing.</w:t>
      </w:r>
      <w:r>
        <w:t xml:space="preserve"> </w:t>
      </w:r>
      <w:r>
        <w:rPr>
          <w:rFonts w:ascii="Times New Roman" w:eastAsia="Times New Roman" w:hAnsi="Times New Roman" w:cs="Times New Roman"/>
          <w:sz w:val="24"/>
          <w:szCs w:val="24"/>
        </w:rPr>
        <w:t>If there is an adequate alternative remedy, the claimant should pursue such remedy.</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Examples of rare or unique subject matters might be the sale of an interest in land (as no two pieces of land are the same) or a one-off antique vase. In both scenarios, damages may not be an adequate remedy because no market substitute exists, and the innocent party would therefore be unable to secure equivalent performance (no matter what the price). Examples of circumstances where damages may be financially ineffective might be where the defaulting party is insolvent and unable to pay; if damages would be difficult to quantify (e.g., a contract to indemnify); if an order for the payment of damages would be difficult to enforce (e.g., because any enforcement would need to be in a foreign country); or if an express term of the contract restricts or limits the damages recoverable for that particular breach.</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pPr>
      <w:r>
        <w:rPr>
          <w:rFonts w:ascii="Times New Roman" w:eastAsia="Times New Roman" w:hAnsi="Times New Roman" w:cs="Times New Roman"/>
          <w:sz w:val="24"/>
          <w:szCs w:val="24"/>
        </w:rPr>
        <w:t>The calling up of a demand guarantee, especially if it is an unfair or fraudulent calling, often has the following severe consequences for the principal: irreparable damage to his commercial reputation; cash liquidity problems; and the risk that the cash will be misappropriated by the beneficiary and no longer recoverable.</w:t>
      </w:r>
      <w:r>
        <w:rPr>
          <w:rFonts w:ascii="Times New Roman" w:hAnsi="Times New Roman" w:cs="Times New Roman"/>
          <w:sz w:val="24"/>
          <w:szCs w:val="24"/>
        </w:rPr>
        <w:t xml:space="preserve"> </w:t>
      </w:r>
      <w:r>
        <w:rPr>
          <w:rFonts w:ascii="Times New Roman" w:eastAsia="Times New Roman" w:hAnsi="Times New Roman" w:cs="Times New Roman"/>
          <w:sz w:val="24"/>
          <w:szCs w:val="24"/>
        </w:rPr>
        <w:t>Courts have recognised on a number of occasions that calls upon performance guarantees may cause significant damage to a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reputation and financial standing that is not readily curable by an award of damages (see for example </w:t>
      </w:r>
      <w:r>
        <w:rPr>
          <w:rFonts w:ascii="Times New Roman" w:eastAsia="Times New Roman" w:hAnsi="Times New Roman" w:cs="Times New Roman"/>
          <w:i/>
          <w:sz w:val="24"/>
          <w:szCs w:val="24"/>
        </w:rPr>
        <w:t>Barclay Mowlem Construction Ltd v. Simon Engineering (Aust) Pty Ltd (1991) 23 NSWLR 451 at 461 – 462;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Reed Construction Services Pty Ltd v. Kheng Seng (Australia) Pty Ltd (1999) 15 BCL 158 at 167</w:t>
      </w:r>
      <w:r>
        <w:rPr>
          <w:rFonts w:ascii="Times New Roman" w:hAnsi="Times New Roman" w:cs="Times New Roman"/>
          <w:sz w:val="24"/>
          <w:szCs w:val="24"/>
        </w:rPr>
        <w:t xml:space="preserve">; </w:t>
      </w:r>
      <w:r>
        <w:rPr>
          <w:rFonts w:ascii="Times New Roman" w:eastAsia="Times New Roman" w:hAnsi="Times New Roman" w:cs="Times New Roman"/>
          <w:i/>
          <w:sz w:val="24"/>
          <w:szCs w:val="24"/>
        </w:rPr>
        <w:t>Lucas Stuart Pty Ltd v. Hemmes Hermitage Pty Ltd [2010] NSWCA 283 at [45];</w:t>
      </w:r>
      <w:r>
        <w:rPr>
          <w:rFonts w:ascii="Times New Roman" w:hAnsi="Times New Roman" w:cs="Times New Roman"/>
          <w:sz w:val="24"/>
          <w:szCs w:val="24"/>
        </w:rPr>
        <w:t xml:space="preserve"> </w:t>
      </w:r>
      <w:r>
        <w:rPr>
          <w:rFonts w:ascii="Times New Roman" w:hAnsi="Times New Roman" w:cs="Times New Roman"/>
          <w:i/>
          <w:sz w:val="24"/>
          <w:szCs w:val="24"/>
        </w:rPr>
        <w:t>A</w:t>
      </w:r>
      <w:r>
        <w:rPr>
          <w:rFonts w:ascii="Times New Roman" w:eastAsia="Times New Roman" w:hAnsi="Times New Roman" w:cs="Times New Roman"/>
          <w:i/>
          <w:sz w:val="24"/>
          <w:szCs w:val="24"/>
        </w:rPr>
        <w:t xml:space="preserve">ustrak Pty Ltd v. John Holland Pty Ltd [2006] QSC 103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Structural Systems (Constructions) v. Hansen Yuncken Pty Ltd [2010] FCA 1358.</w:t>
      </w:r>
      <w:r>
        <w:rPr>
          <w:rFonts w:ascii="Times New Roman" w:eastAsia="Times New Roman" w:hAnsi="Times New Roman" w:cs="Times New Roman"/>
          <w:sz w:val="24"/>
          <w:szCs w:val="24"/>
        </w:rPr>
        <w:t>).</w:t>
      </w:r>
      <w:r>
        <w:t xml:space="preserve"> </w:t>
      </w:r>
    </w:p>
    <w:p w:rsidR="00115BF7" w:rsidRDefault="00115BF7" w:rsidP="00115BF7">
      <w:pPr>
        <w:spacing w:after="0" w:line="360" w:lineRule="auto"/>
        <w:jc w:val="both"/>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Calling of a guarantee tends to erode the confidence banks and other financers have in the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s systems and project management. It tarnishes the business image of a contractor, especially where such contractor has built its business on meeting its contractual obligations, meaning completing its obligations without the need for security ever being called upon. Irreparable damage will be done to its reputation as: (a) its clients may question its ability to meet its contractual obligations; (b) its prospects of future successful tenders will be diminished; and competitors will take advantage to the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detriment.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fees payable in respect of the face value of each bank guarantee and the amount of the facility which the bank is prepared to advance to the contractor is directly referable to how the bank assesses the contingent risk that the bank guarantee will be called upon. As a result of a call on a guarantee, the bank will be likely to assess the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s contingent liability risk as being higher. If the bank were to assess that the contingent liability of the contractor in relation to bank guarantees is higher than in previous years as a result of the respondent calling the guarantee, then those fees may increase and the limit of the facility may decrease for the contractor specifically. Furthermore, in the world of commerce, a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s reputation is paramount. A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s “security” history (in the sense of whether any of its bank guarantees have ever been cashed) is an important part of that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s reputation, and is taken into account by prospective clients of the contractor when considering “Expressions of Interest” or tenders. If loss is suffered, for example, through failure to obtain tenders, the assessment of damages would be a difficult and unsatisfactory process.</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calling up of a performance guarantee is a serious matter, with the potential to irreparably damage the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s reputation as a competent service provider, which might be taken advantage of in future projects by the contractor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competitors. It is in that context that Hunter J in </w:t>
      </w:r>
      <w:r>
        <w:rPr>
          <w:rFonts w:ascii="Times New Roman" w:eastAsia="Times New Roman" w:hAnsi="Times New Roman" w:cs="Times New Roman"/>
          <w:i/>
          <w:sz w:val="24"/>
          <w:szCs w:val="24"/>
        </w:rPr>
        <w:t>Abigroup Contractors Pty Ltd v. Peninsula Balmain Pty Ltd</w:t>
      </w:r>
      <w:r>
        <w:rPr>
          <w:i/>
        </w:rPr>
        <w:t xml:space="preserve"> </w:t>
      </w:r>
      <w:r>
        <w:rPr>
          <w:rFonts w:ascii="Times New Roman" w:eastAsia="Times New Roman" w:hAnsi="Times New Roman" w:cs="Times New Roman"/>
          <w:i/>
          <w:sz w:val="24"/>
          <w:szCs w:val="24"/>
        </w:rPr>
        <w:t xml:space="preserve">2003] HCA Trans 688 </w:t>
      </w:r>
      <w:r>
        <w:rPr>
          <w:rFonts w:ascii="Times New Roman" w:eastAsia="Times New Roman" w:hAnsi="Times New Roman" w:cs="Times New Roman"/>
          <w:sz w:val="24"/>
          <w:szCs w:val="24"/>
        </w:rPr>
        <w:t>opined:</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of commercial reputation and the effect of a demand on a large contractor, with a record to date which has been evidenced in that context, should not be underestimated and there is a strong legitimate entitlement on the part of such a contractor to protect that reputation to the hilt.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Rolfe J in Barclay </w:t>
      </w:r>
      <w:r>
        <w:rPr>
          <w:rFonts w:ascii="Times New Roman" w:eastAsia="Times New Roman" w:hAnsi="Times New Roman" w:cs="Times New Roman"/>
          <w:i/>
          <w:sz w:val="24"/>
          <w:szCs w:val="24"/>
        </w:rPr>
        <w:t>Mowlem v. Simon Engineering (Australia) Pty Ltd</w:t>
      </w:r>
      <w:r>
        <w:rPr>
          <w:i/>
        </w:rPr>
        <w:t xml:space="preserve"> </w:t>
      </w:r>
      <w:r>
        <w:rPr>
          <w:rFonts w:ascii="Times New Roman" w:eastAsia="Times New Roman" w:hAnsi="Times New Roman" w:cs="Times New Roman"/>
          <w:i/>
          <w:sz w:val="24"/>
          <w:szCs w:val="24"/>
        </w:rPr>
        <w:t>(1991) 23. NSWLR 451</w:t>
      </w:r>
      <w:r>
        <w:rPr>
          <w:rFonts w:ascii="Times New Roman" w:eastAsia="Times New Roman" w:hAnsi="Times New Roman" w:cs="Times New Roman"/>
          <w:sz w:val="24"/>
          <w:szCs w:val="24"/>
        </w:rPr>
        <w:t xml:space="preserve"> stated;</w:t>
      </w:r>
    </w:p>
    <w:p w:rsidR="00115BF7" w:rsidRDefault="00115BF7" w:rsidP="00115BF7">
      <w:pPr>
        <w:spacing w:after="0"/>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evidence [of damage to reputation] is admitted….it demonstrates how inadequate a remedy in damages would be. The matter, so far as the plaintiff is concerned, which is detrimentally affected upon a performance bond being called up, is the perceived ability of the plaintiff to properly perform its obligations under a contract. If the plaintiff</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ability in this regard is called in question, even improperly, it is not difficult to infer that there will be damage to its reputation in the industry in which it operates. Nor is it difficult to infer that its competitors would be quick to utilise such information in competing with the plaintiff. Finally, particularly as matters </w:t>
      </w:r>
      <w:r>
        <w:rPr>
          <w:rFonts w:ascii="Times New Roman" w:eastAsia="Times New Roman" w:hAnsi="Times New Roman" w:cs="Times New Roman"/>
          <w:sz w:val="24"/>
          <w:szCs w:val="24"/>
        </w:rPr>
        <w:lastRenderedPageBreak/>
        <w:t>presently stand in the commercial world, questions may be raised as to the financial viability of the plaintiff … This would be underlined if … there has not previously been any call upon a performance bond. In other words, people may be tempted to ask whether the plaintiff</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s business was “going downhill.”</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Irreparable damage may be occasioned to the commercial reputation of the principal by an abusive enforcement of a first demand guarantee. For that reason, a </w:t>
      </w:r>
      <w:r w:rsidR="00F04F2B">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may be issued in order to prevent the abusive and imminent enforcement of a first demand guarantee, pending a decision of the arbitrator. The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will be granted in case of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or manifest abuse or fraud by the beneficiary, or in case of collusion of the latter with the principal.</w:t>
      </w:r>
      <w:r>
        <w:rPr>
          <w:rFonts w:ascii="Times New Roman" w:hAnsi="Times New Roman" w:cs="Times New Roman"/>
          <w:sz w:val="24"/>
          <w:szCs w:val="24"/>
        </w:rPr>
        <w:t xml:space="preserve"> In such cases </w:t>
      </w:r>
      <w:r>
        <w:rPr>
          <w:rFonts w:ascii="Times New Roman" w:eastAsia="Times New Roman" w:hAnsi="Times New Roman" w:cs="Times New Roman"/>
          <w:sz w:val="24"/>
          <w:szCs w:val="24"/>
        </w:rPr>
        <w:t>the fraud or the abuse merges with the bad faith of the beneficiary who seeks to enforce his/her guarantee while he/she/it is fully aware that the enforcement requirements are not met. While the Courts acknowledge that the beneficiary of a first demand guarantee has the right to enforce such guarantee without having to worry immediately of what the principal owes or does not owe, the beneficiary may not, on the other hand, knowingly exercise his/her/its right to enforce the guarantor</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commitment with a view to receiving funds that are not due to him/her/it. As such, a request for enforcement of a guarantee must be held manifestly abusive wherever there is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awareness of the lack of right by the beneficiary and the knowledge of such abuse by the guarantor, are both established.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legal system must of necessity entail mechanisms to prevent the wrongful, fraudulent and/or otherwise unconscionable calling of performance guarantees, even on-demand performance guarantees, without compromising</w:t>
      </w:r>
      <w:r>
        <w:rPr>
          <w:rFonts w:ascii="Times New Roman" w:hAnsi="Times New Roman" w:cs="Times New Roman"/>
          <w:sz w:val="24"/>
          <w:szCs w:val="24"/>
        </w:rPr>
        <w:t xml:space="preserve"> the independence or autonomy principle, the documents principle and the strict compliance principle underpinning their utility in commerce</w:t>
      </w:r>
      <w:r>
        <w:rPr>
          <w:rFonts w:ascii="Times New Roman" w:eastAsia="Times New Roman" w:hAnsi="Times New Roman" w:cs="Times New Roman"/>
          <w:sz w:val="24"/>
          <w:szCs w:val="24"/>
        </w:rPr>
        <w:t xml:space="preserve">. The court will thus now proceed to determine whether the applicant has made out a case of an unfair or fraudulent calling of the guarantee, by considering the following sub-issues; (a) whether the applicant has made out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case of fraud in the documents rather than the underlying transaction; (b) whether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Pr>
          <w:rFonts w:ascii="Times New Roman" w:hAnsi="Times New Roman" w:cs="Times New Roman"/>
          <w:sz w:val="24"/>
          <w:szCs w:val="24"/>
          <w:u w:val="single"/>
        </w:rPr>
        <w:t xml:space="preserve"> </w:t>
      </w:r>
      <w:r>
        <w:rPr>
          <w:rFonts w:ascii="Times New Roman" w:hAnsi="Times New Roman" w:cs="Times New Roman"/>
          <w:sz w:val="24"/>
          <w:szCs w:val="24"/>
        </w:rPr>
        <w:t>could not honestly have believed in the validity of its demand under the guarantee; (c) whether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knew of the fraud at the time the </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sought payment under the guarantee.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pStyle w:val="ListParagraph"/>
        <w:numPr>
          <w:ilvl w:val="0"/>
          <w:numId w:val="33"/>
        </w:num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u w:val="single"/>
        </w:rPr>
        <w:lastRenderedPageBreak/>
        <w:t xml:space="preserve">Whether the applicant has made out a </w:t>
      </w:r>
      <w:r>
        <w:rPr>
          <w:rFonts w:ascii="Times New Roman" w:eastAsia="Times New Roman" w:hAnsi="Times New Roman" w:cs="Times New Roman"/>
          <w:i/>
          <w:sz w:val="24"/>
          <w:szCs w:val="24"/>
          <w:u w:val="single"/>
        </w:rPr>
        <w:t>prima facie</w:t>
      </w:r>
      <w:r>
        <w:rPr>
          <w:rFonts w:ascii="Times New Roman" w:eastAsia="Times New Roman" w:hAnsi="Times New Roman" w:cs="Times New Roman"/>
          <w:sz w:val="24"/>
          <w:szCs w:val="24"/>
          <w:u w:val="single"/>
        </w:rPr>
        <w:t xml:space="preserve"> case of fraud in the documents presented, rather than the underlying transaction</w:t>
      </w:r>
      <w:r>
        <w:rPr>
          <w:rFonts w:ascii="Times New Roman" w:hAnsi="Times New Roman" w:cs="Times New Roman"/>
          <w:sz w:val="24"/>
          <w:szCs w:val="24"/>
        </w:rPr>
        <w:t>.</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Three core principles underpin the International Chamber of Commerce (ICC) Uniform Rules for Demand Guarantees (URDG 758): the independence or autonomy principle, the documents principle and the strict compliance principle. By virtue of those principles, d</w:t>
      </w:r>
      <w:r>
        <w:rPr>
          <w:rFonts w:ascii="Times New Roman" w:eastAsiaTheme="minorEastAsia" w:hAnsi="Times New Roman" w:cs="Times New Roman"/>
          <w:sz w:val="24"/>
          <w:szCs w:val="24"/>
          <w:lang w:eastAsia="en-GB"/>
        </w:rPr>
        <w:t xml:space="preserve">emand guarantees, standby letters of credit, and commercial letters of credit are all treated as autonomous contracts whose operation will not be interfered with by courts on grounds irrelevant to the guarantee or credit itself. Guarantors are concerned with documents, rather than with goods, services or performance of the underlying contract (see </w:t>
      </w:r>
      <w:r>
        <w:rPr>
          <w:rFonts w:ascii="Times New Roman" w:eastAsiaTheme="minorEastAsia" w:hAnsi="Times New Roman" w:cs="Times New Roman"/>
          <w:i/>
          <w:sz w:val="24"/>
          <w:szCs w:val="24"/>
          <w:lang w:eastAsia="en-GB"/>
        </w:rPr>
        <w:t>Leonardo S.p.A v. Doha Bank Assurance Company LLC</w:t>
      </w:r>
      <w:r>
        <w:rPr>
          <w:i/>
        </w:rPr>
        <w:t xml:space="preserve"> </w:t>
      </w:r>
      <w:r>
        <w:rPr>
          <w:rFonts w:ascii="Times New Roman" w:eastAsiaTheme="minorEastAsia" w:hAnsi="Times New Roman" w:cs="Times New Roman"/>
          <w:i/>
          <w:sz w:val="24"/>
          <w:szCs w:val="24"/>
          <w:lang w:eastAsia="en-GB"/>
        </w:rPr>
        <w:t>[2019] QIC (F) 6;</w:t>
      </w:r>
      <w:r>
        <w:rPr>
          <w:i/>
        </w:rPr>
        <w:t xml:space="preserve"> </w:t>
      </w:r>
      <w:r>
        <w:rPr>
          <w:rFonts w:ascii="Times New Roman" w:eastAsiaTheme="minorEastAsia" w:hAnsi="Times New Roman" w:cs="Times New Roman"/>
          <w:i/>
          <w:sz w:val="24"/>
          <w:szCs w:val="24"/>
          <w:lang w:eastAsia="en-GB"/>
        </w:rPr>
        <w:t>[2020] QIC (A) 1</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Under the autonomy principle, an issuing bank must make payment under a demand guarantee on receipt of compliant documents irrespective of any dispute which may have occurred in respect of the underlying transaction. </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independence or autonomy principle, insulates the bond or guarantee from the terms in the underlying contract. This is important because the autonomous nature of the bond or guarantee means that conditions giving rise to the obligation to pay are found exclusively in the bond or guarantee. This independence principle is embodied in Article 5 (a) of the URDG 758. </w:t>
      </w:r>
      <w:r>
        <w:rPr>
          <w:rFonts w:ascii="Times New Roman" w:hAnsi="Times New Roman" w:cs="Times New Roman"/>
          <w:sz w:val="24"/>
          <w:szCs w:val="24"/>
        </w:rPr>
        <w:t xml:space="preserve">As discussed, in by the Privy Council in </w:t>
      </w:r>
      <w:r>
        <w:rPr>
          <w:rStyle w:val="Emphasis"/>
          <w:rFonts w:ascii="Times New Roman" w:hAnsi="Times New Roman" w:cs="Times New Roman"/>
          <w:sz w:val="24"/>
          <w:szCs w:val="24"/>
        </w:rPr>
        <w:t>Alternative Power Solution Ltd v. Central Electricity Board</w:t>
      </w:r>
      <w:r>
        <w:t xml:space="preserve"> </w:t>
      </w:r>
      <w:r>
        <w:rPr>
          <w:rStyle w:val="Emphasis"/>
          <w:sz w:val="24"/>
          <w:szCs w:val="24"/>
        </w:rPr>
        <w:t xml:space="preserve">[2014] UKPC 3, </w:t>
      </w:r>
      <w:r>
        <w:rPr>
          <w:rFonts w:ascii="Times New Roman" w:eastAsiaTheme="minorEastAsia" w:hAnsi="Times New Roman" w:cs="Times New Roman"/>
          <w:sz w:val="24"/>
          <w:szCs w:val="24"/>
          <w:lang w:eastAsia="en-GB"/>
        </w:rPr>
        <w:t>there is a bias or presumption in favour of the construction which holds a performance bond to be conditioned upon documents rather than facts, but the presumption is rebuttable (see</w:t>
      </w:r>
      <w:r>
        <w:t xml:space="preserve"> </w:t>
      </w:r>
      <w:r>
        <w:rPr>
          <w:rFonts w:ascii="Times New Roman" w:eastAsiaTheme="minorEastAsia" w:hAnsi="Times New Roman" w:cs="Times New Roman"/>
          <w:i/>
          <w:sz w:val="24"/>
          <w:szCs w:val="24"/>
          <w:lang w:eastAsia="en-GB"/>
        </w:rPr>
        <w:t>IE Contractors v. Lloyd</w:t>
      </w:r>
      <w:r w:rsidR="00EE77A0">
        <w:rPr>
          <w:rFonts w:ascii="Times New Roman" w:eastAsiaTheme="minorEastAsia" w:hAnsi="Times New Roman" w:cs="Times New Roman"/>
          <w:i/>
          <w:sz w:val="24"/>
          <w:szCs w:val="24"/>
          <w:lang w:eastAsia="en-GB"/>
        </w:rPr>
        <w:t>’</w:t>
      </w:r>
      <w:r>
        <w:rPr>
          <w:rFonts w:ascii="Times New Roman" w:eastAsiaTheme="minorEastAsia" w:hAnsi="Times New Roman" w:cs="Times New Roman"/>
          <w:i/>
          <w:sz w:val="24"/>
          <w:szCs w:val="24"/>
          <w:lang w:eastAsia="en-GB"/>
        </w:rPr>
        <w:t>s Bank [1990] 2 Lloyd</w:t>
      </w:r>
      <w:r w:rsidR="00EE77A0">
        <w:rPr>
          <w:rFonts w:ascii="Times New Roman" w:eastAsiaTheme="minorEastAsia" w:hAnsi="Times New Roman" w:cs="Times New Roman"/>
          <w:i/>
          <w:sz w:val="24"/>
          <w:szCs w:val="24"/>
          <w:lang w:eastAsia="en-GB"/>
        </w:rPr>
        <w:t>’</w:t>
      </w:r>
      <w:r>
        <w:rPr>
          <w:rFonts w:ascii="Times New Roman" w:eastAsiaTheme="minorEastAsia" w:hAnsi="Times New Roman" w:cs="Times New Roman"/>
          <w:i/>
          <w:sz w:val="24"/>
          <w:szCs w:val="24"/>
          <w:lang w:eastAsia="en-GB"/>
        </w:rPr>
        <w:t>s Rep. 496</w:t>
      </w:r>
      <w:r>
        <w:rPr>
          <w:rFonts w:ascii="Times New Roman" w:eastAsiaTheme="minorEastAsia" w:hAnsi="Times New Roman" w:cs="Times New Roman"/>
          <w:sz w:val="24"/>
          <w:szCs w:val="24"/>
          <w:lang w:eastAsia="en-GB"/>
        </w:rPr>
        <w:t>).</w:t>
      </w:r>
      <w:r>
        <w:t xml:space="preserve"> </w:t>
      </w:r>
      <w:r>
        <w:rPr>
          <w:rFonts w:ascii="Times New Roman" w:eastAsiaTheme="minorEastAsia" w:hAnsi="Times New Roman" w:cs="Times New Roman"/>
          <w:sz w:val="24"/>
          <w:szCs w:val="24"/>
          <w:lang w:eastAsia="en-GB"/>
        </w:rPr>
        <w:t>However, the appropriateness of the distinction between letters of credit and demand guarantees had been doubted in a more recent English Commercial Court judgment with suggests that the intention of the URDG is that the principle of strict compliance should apply both to letters of credit incorporating UCP 600 and demand guarantees incorporating URDG (</w:t>
      </w:r>
      <w:r>
        <w:rPr>
          <w:rFonts w:ascii="Times New Roman" w:eastAsiaTheme="minorEastAsia" w:hAnsi="Times New Roman" w:cs="Times New Roman"/>
          <w:i/>
          <w:sz w:val="24"/>
          <w:szCs w:val="24"/>
          <w:lang w:eastAsia="en-GB"/>
        </w:rPr>
        <w:t>see Teare J in Sea-Cargo Skips v. State Bank of India [2013] EWHC 177 (Comm</w:t>
      </w:r>
      <w:r>
        <w:rPr>
          <w:rFonts w:ascii="Times New Roman" w:eastAsiaTheme="minorEastAsia" w:hAnsi="Times New Roman" w:cs="Times New Roman"/>
          <w:sz w:val="24"/>
          <w:szCs w:val="24"/>
          <w:lang w:eastAsia="en-GB"/>
        </w:rPr>
        <w:t>).</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Demand guarantee undertakings rest on two legal principles: the principle of documentary or strict compliance, and the independence principle. The first legal principle essentially means that the guarantor is obliged to pay if the documents submitted with the demand for payment comply with </w:t>
      </w:r>
      <w:r>
        <w:rPr>
          <w:rFonts w:ascii="Times New Roman" w:hAnsi="Times New Roman" w:cs="Times New Roman"/>
          <w:sz w:val="24"/>
          <w:szCs w:val="24"/>
        </w:rPr>
        <w:lastRenderedPageBreak/>
        <w:t>the terms of the demand guarantee.</w:t>
      </w:r>
      <w:r>
        <w:t xml:space="preserve"> </w:t>
      </w:r>
      <w:r>
        <w:rPr>
          <w:rFonts w:ascii="Times New Roman" w:hAnsi="Times New Roman" w:cs="Times New Roman"/>
          <w:sz w:val="24"/>
          <w:szCs w:val="24"/>
        </w:rPr>
        <w:t>The second legal principle is that the guarantor</w:t>
      </w:r>
      <w:r w:rsidR="00EE77A0">
        <w:rPr>
          <w:rFonts w:ascii="Times New Roman" w:hAnsi="Times New Roman" w:cs="Times New Roman"/>
          <w:sz w:val="24"/>
          <w:szCs w:val="24"/>
        </w:rPr>
        <w:t>’</w:t>
      </w:r>
      <w:r>
        <w:rPr>
          <w:rFonts w:ascii="Times New Roman" w:hAnsi="Times New Roman" w:cs="Times New Roman"/>
          <w:sz w:val="24"/>
          <w:szCs w:val="24"/>
        </w:rPr>
        <w:t>s obligations against the beneficiary are determined in the instrument itself, and are independent, or abstract, of the underlying contract between the applicant for, and the beneficiary of, the guarantee, as well as the contract of mandate between the applicant and guarantor.</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pPr>
      <w:r>
        <w:rPr>
          <w:rFonts w:ascii="Times New Roman" w:eastAsiaTheme="minorEastAsia" w:hAnsi="Times New Roman" w:cs="Times New Roman"/>
          <w:sz w:val="24"/>
          <w:szCs w:val="24"/>
          <w:lang w:eastAsia="en-GB"/>
        </w:rPr>
        <w:t>The essential characteristic of a demand guarantee is that it is independent of the underlying transaction between the applicant and the beneficiary that prompted the issuance of the guarantee. Further, a demand guarantee is also independent of the instruction relationship pursuant to the applicant having requested the guarantor to issue the guarantee in favour of the beneficiary.</w:t>
      </w:r>
      <w:r>
        <w:t xml:space="preserve"> </w:t>
      </w:r>
      <w:r>
        <w:rPr>
          <w:rFonts w:ascii="Times New Roman" w:eastAsiaTheme="minorEastAsia" w:hAnsi="Times New Roman" w:cs="Times New Roman"/>
          <w:sz w:val="24"/>
          <w:szCs w:val="24"/>
          <w:lang w:eastAsia="en-GB"/>
        </w:rPr>
        <w:t>The conditions giving rise to the obligation to pay are found exclusively in the demand guarantee and the terms of the underlying contract are of no relevance (</w:t>
      </w:r>
      <w:r>
        <w:rPr>
          <w:rFonts w:ascii="Times New Roman" w:eastAsiaTheme="minorEastAsia" w:hAnsi="Times New Roman" w:cs="Times New Roman"/>
          <w:i/>
          <w:sz w:val="24"/>
          <w:szCs w:val="24"/>
          <w:lang w:eastAsia="en-GB"/>
        </w:rPr>
        <w:t>see</w:t>
      </w:r>
      <w:r>
        <w:rPr>
          <w:i/>
        </w:rPr>
        <w:t xml:space="preserve"> </w:t>
      </w:r>
      <w:r>
        <w:rPr>
          <w:rFonts w:ascii="Times New Roman" w:eastAsiaTheme="minorEastAsia" w:hAnsi="Times New Roman" w:cs="Times New Roman"/>
          <w:i/>
          <w:sz w:val="24"/>
          <w:szCs w:val="24"/>
          <w:lang w:eastAsia="en-GB"/>
        </w:rPr>
        <w:t>Edward Owen Engineering Ltd v. Barclays Bank International Ltd</w:t>
      </w:r>
      <w:r>
        <w:rPr>
          <w:i/>
        </w:rPr>
        <w:t xml:space="preserve"> </w:t>
      </w:r>
      <w:r>
        <w:rPr>
          <w:rFonts w:ascii="Times New Roman" w:eastAsiaTheme="minorEastAsia" w:hAnsi="Times New Roman" w:cs="Times New Roman"/>
          <w:i/>
          <w:sz w:val="24"/>
          <w:szCs w:val="24"/>
          <w:lang w:eastAsia="en-GB"/>
        </w:rPr>
        <w:t>[1978] 1 All ER 976, [1978] 1 QB 159, [1977] 3 WLR 764, [1978] 1 Lloyds Rep 166</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A direct consequence brought about by the independence principle is the “pay first, argue later” rule; the beneficiary of a demand guarantee can expect payment under the guarantee as soon as it is able to tender the documents stipulated in the demand guarantee, irrespective of any dispute arising from any of the contracts other than the demand guarantee itself.</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of course exceptions to the strict general rule that the court will not intervene to prevent a guarantor from making payment under a demand bond or guarantee following a compliant presentation of documents; the fraud exception that is more or less universally acknowledged, and illegality exception applied in some jurisdictions. In the United States of America (see </w:t>
      </w:r>
      <w:r>
        <w:rPr>
          <w:rFonts w:ascii="Times New Roman" w:hAnsi="Times New Roman" w:cs="Times New Roman"/>
          <w:i/>
          <w:sz w:val="24"/>
          <w:szCs w:val="24"/>
        </w:rPr>
        <w:t>Intraworld Industries, Inc. v. Girard Trust Bank, 336 A.2d 316 (Pa. S.C. 1975)</w:t>
      </w:r>
      <w:r>
        <w:rPr>
          <w:rFonts w:ascii="Times New Roman" w:hAnsi="Times New Roman" w:cs="Times New Roman"/>
          <w:sz w:val="24"/>
          <w:szCs w:val="24"/>
        </w:rPr>
        <w:t xml:space="preserve">; </w:t>
      </w:r>
      <w:r>
        <w:rPr>
          <w:rFonts w:ascii="Times New Roman" w:hAnsi="Times New Roman" w:cs="Times New Roman"/>
          <w:i/>
          <w:sz w:val="24"/>
          <w:szCs w:val="24"/>
        </w:rPr>
        <w:t>Sztejn v. J. Henry Schroder Banking Corp. - 177 Misc. 719, 31 N.Y.S.2d 631 (Sup. Ct. 1941);</w:t>
      </w:r>
      <w:r>
        <w:rPr>
          <w:rFonts w:ascii="Times New Roman" w:hAnsi="Times New Roman" w:cs="Times New Roman"/>
          <w:sz w:val="24"/>
          <w:szCs w:val="24"/>
        </w:rPr>
        <w:t xml:space="preserve"> </w:t>
      </w:r>
      <w:r>
        <w:rPr>
          <w:rFonts w:ascii="Times New Roman" w:hAnsi="Times New Roman" w:cs="Times New Roman"/>
          <w:i/>
          <w:sz w:val="24"/>
          <w:szCs w:val="24"/>
        </w:rPr>
        <w:t>Asbury Park &amp; Ocean Grove Bank v. National City Bank of New York</w:t>
      </w:r>
      <w:r>
        <w:rPr>
          <w:i/>
        </w:rPr>
        <w:t xml:space="preserve"> </w:t>
      </w:r>
      <w:r>
        <w:rPr>
          <w:rFonts w:ascii="Times New Roman" w:hAnsi="Times New Roman" w:cs="Times New Roman"/>
          <w:i/>
          <w:sz w:val="24"/>
          <w:szCs w:val="24"/>
        </w:rPr>
        <w:t>35 N.Y.S.2d 985 (N.Y. Sup. Ct. 1942)</w:t>
      </w:r>
      <w:r>
        <w:rPr>
          <w:rFonts w:ascii="Times New Roman" w:hAnsi="Times New Roman" w:cs="Times New Roman"/>
          <w:sz w:val="24"/>
          <w:szCs w:val="24"/>
        </w:rPr>
        <w:t xml:space="preserve"> and</w:t>
      </w:r>
      <w:r>
        <w:t xml:space="preserve"> </w:t>
      </w:r>
      <w:r>
        <w:rPr>
          <w:rFonts w:ascii="Times New Roman" w:hAnsi="Times New Roman" w:cs="Times New Roman"/>
          <w:i/>
          <w:sz w:val="24"/>
          <w:szCs w:val="24"/>
        </w:rPr>
        <w:t>New York Life Insurance Co. v. Hartford National Bank &amp; Trust Co., 378 A.2d 562 (Conn. S.C. 1977) at p. 567</w:t>
      </w:r>
      <w:r>
        <w:rPr>
          <w:rFonts w:ascii="Times New Roman" w:hAnsi="Times New Roman" w:cs="Times New Roman"/>
          <w:sz w:val="24"/>
          <w:szCs w:val="24"/>
        </w:rPr>
        <w:t xml:space="preserve">), and South Africa (see </w:t>
      </w:r>
      <w:r>
        <w:rPr>
          <w:rFonts w:ascii="Times New Roman" w:hAnsi="Times New Roman" w:cs="Times New Roman"/>
          <w:i/>
          <w:sz w:val="24"/>
          <w:szCs w:val="24"/>
        </w:rPr>
        <w:t>Joint Venture between Aveng (Africa) (Pty) Ltd and Strabag International GmbH v. South African National Roads Agency Soc Ltd and Another [2020] ZASCA 146</w:t>
      </w:r>
      <w:r>
        <w:rPr>
          <w:rFonts w:ascii="Times New Roman" w:hAnsi="Times New Roman" w:cs="Times New Roman"/>
          <w:sz w:val="24"/>
          <w:szCs w:val="24"/>
        </w:rPr>
        <w:t>), illegality in the underlying contract is also an exception. When the issuer of a demand guarantee knows that a document, although correct in form, is, in point of fact, false or illegal, he cannot be called upon to recognise such a document as complying with the terms of the demand guarantee.</w:t>
      </w:r>
      <w:r>
        <w:t xml:space="preserve"> </w:t>
      </w:r>
      <w:r>
        <w:rPr>
          <w:rFonts w:ascii="Times New Roman" w:hAnsi="Times New Roman" w:cs="Times New Roman"/>
          <w:sz w:val="24"/>
          <w:szCs w:val="24"/>
        </w:rPr>
        <w:t xml:space="preserve">Where the documents or the underlying transaction are tainted with intentional fraud, the guarantee </w:t>
      </w:r>
      <w:r>
        <w:rPr>
          <w:rFonts w:ascii="Times New Roman" w:hAnsi="Times New Roman" w:cs="Times New Roman"/>
          <w:sz w:val="24"/>
          <w:szCs w:val="24"/>
        </w:rPr>
        <w:lastRenderedPageBreak/>
        <w:t>need not be honoured by the bank, even though the documents conform on their face and the court may grant injunctive relief restraining such honour (see</w:t>
      </w:r>
      <w:r>
        <w:t xml:space="preserve"> </w:t>
      </w:r>
      <w:r>
        <w:rPr>
          <w:rFonts w:ascii="Times New Roman" w:hAnsi="Times New Roman" w:cs="Times New Roman"/>
          <w:i/>
          <w:sz w:val="24"/>
          <w:szCs w:val="24"/>
        </w:rPr>
        <w:t>NMC Enterprises v. Columbia Broadcasting System, Inc14 U.C.C. REP. SERV. 1427 (N.Y. Sup. Ct. 1974</w:t>
      </w:r>
      <w:r>
        <w:rPr>
          <w:rFonts w:ascii="Times New Roman" w:hAnsi="Times New Roman" w:cs="Times New Roman"/>
          <w:sz w:val="24"/>
          <w:szCs w:val="24"/>
        </w:rPr>
        <w:t xml:space="preserve">).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Australia, a contractor may restrict the beneficiary from making a call on a performance guarantee if the contractor can show that the call would be a breach of a term in the underlying contract. It is not necessary to allege any fraud on the part of the beneficiary (see </w:t>
      </w:r>
      <w:r>
        <w:rPr>
          <w:rFonts w:ascii="Times New Roman" w:hAnsi="Times New Roman" w:cs="Times New Roman"/>
          <w:i/>
          <w:sz w:val="24"/>
          <w:szCs w:val="24"/>
        </w:rPr>
        <w:t>Uber Builders and Developers Pty Ltd v. MIFA Pty Ltd [2020] VSC 596</w:t>
      </w:r>
      <w:r>
        <w:rPr>
          <w:rFonts w:ascii="Times New Roman" w:hAnsi="Times New Roman" w:cs="Times New Roman"/>
          <w:sz w:val="24"/>
          <w:szCs w:val="24"/>
        </w:rPr>
        <w:t xml:space="preserve">, where Nichols J re-affirmed that “where the contract does impose an obligation on the right to access the security, the party seeking to restrain recourse must establish the existence of a serious question to be tried as to whether the beneficiary has in fact met the contractual requirements”). </w:t>
      </w:r>
    </w:p>
    <w:p w:rsidR="00BA38BA" w:rsidRDefault="00BA38BA"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all the above-mentioned jurisdictions, where the beneficiary</w:t>
      </w:r>
      <w:r w:rsidR="00EE77A0">
        <w:rPr>
          <w:rFonts w:ascii="Times New Roman" w:hAnsi="Times New Roman" w:cs="Times New Roman"/>
          <w:sz w:val="24"/>
          <w:szCs w:val="24"/>
        </w:rPr>
        <w:t>’</w:t>
      </w:r>
      <w:r>
        <w:rPr>
          <w:rFonts w:ascii="Times New Roman" w:hAnsi="Times New Roman" w:cs="Times New Roman"/>
          <w:sz w:val="24"/>
          <w:szCs w:val="24"/>
        </w:rPr>
        <w:t>s fraud had been called to a bank</w:t>
      </w:r>
      <w:r w:rsidR="00EE77A0">
        <w:rPr>
          <w:rFonts w:ascii="Times New Roman" w:hAnsi="Times New Roman" w:cs="Times New Roman"/>
          <w:sz w:val="24"/>
          <w:szCs w:val="24"/>
        </w:rPr>
        <w:t>’</w:t>
      </w:r>
      <w:r>
        <w:rPr>
          <w:rFonts w:ascii="Times New Roman" w:hAnsi="Times New Roman" w:cs="Times New Roman"/>
          <w:sz w:val="24"/>
          <w:szCs w:val="24"/>
        </w:rPr>
        <w:t>s attention, before the documents have been presented for payment, the principle of the independence of the bank</w:t>
      </w:r>
      <w:r w:rsidR="00EE77A0">
        <w:rPr>
          <w:rFonts w:ascii="Times New Roman" w:hAnsi="Times New Roman" w:cs="Times New Roman"/>
          <w:sz w:val="24"/>
          <w:szCs w:val="24"/>
        </w:rPr>
        <w:t>’</w:t>
      </w:r>
      <w:r>
        <w:rPr>
          <w:rFonts w:ascii="Times New Roman" w:hAnsi="Times New Roman" w:cs="Times New Roman"/>
          <w:sz w:val="24"/>
          <w:szCs w:val="24"/>
        </w:rPr>
        <w:t>s obligation under the demand guarantee should not be extended to protect an unscrupulous beneficiary. The courts aver that when the issuer of a guarantee knows that a document, although correct in form, is false or illegal, it cannot be called upon to recognise such a document as complying with the terms of the guarantee. A bank should be vitally interested in assuring itself that there is some exchange of value represented by the documents.</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Courts in England do not consider illegality in the underlying contract to be a valid exception to the autonomy principle of demand guarantees. They however attempted to acknowledge as the second exception in addition to that of fraud, situations where a beneficiary seeks payment in circumstances where the underlying contract clearly and expressly prevents it from doing so. The Courts</w:t>
      </w:r>
      <w:r w:rsidR="00EE77A0">
        <w:rPr>
          <w:rFonts w:ascii="Times New Roman" w:hAnsi="Times New Roman" w:cs="Times New Roman"/>
          <w:sz w:val="24"/>
          <w:szCs w:val="24"/>
        </w:rPr>
        <w:t>’</w:t>
      </w:r>
      <w:r>
        <w:rPr>
          <w:rFonts w:ascii="Times New Roman" w:hAnsi="Times New Roman" w:cs="Times New Roman"/>
          <w:sz w:val="24"/>
          <w:szCs w:val="24"/>
        </w:rPr>
        <w:t xml:space="preserve"> view in principle, was that if the underlying contract (in relation to which the bond has been provided by way of security) clearly and expressly prevents the beneficiary from making a demand under the bond, it can be restrained by the court. </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For example, in </w:t>
      </w:r>
      <w:r>
        <w:rPr>
          <w:rFonts w:ascii="Times New Roman" w:eastAsiaTheme="minorEastAsia" w:hAnsi="Times New Roman" w:cs="Times New Roman"/>
          <w:i/>
          <w:sz w:val="24"/>
          <w:szCs w:val="24"/>
          <w:lang w:eastAsia="en-GB"/>
        </w:rPr>
        <w:t>Simon Carves Ltd v. Ensus UK Ltd [2011] EWHC 657 (TCC), [2011] BLR 340, 135 Con LR 96,</w:t>
      </w:r>
      <w:r>
        <w:rPr>
          <w:rFonts w:ascii="Times New Roman" w:eastAsiaTheme="minorEastAsia" w:hAnsi="Times New Roman" w:cs="Times New Roman"/>
          <w:sz w:val="24"/>
          <w:szCs w:val="24"/>
          <w:lang w:eastAsia="en-GB"/>
        </w:rPr>
        <w:t xml:space="preserve"> the underlying construction contract contained a provision stating that the performance bond shall become null and void, and returned to the contractor, immediately upon </w:t>
      </w:r>
      <w:r>
        <w:rPr>
          <w:rFonts w:ascii="Times New Roman" w:eastAsiaTheme="minorEastAsia" w:hAnsi="Times New Roman" w:cs="Times New Roman"/>
          <w:sz w:val="24"/>
          <w:szCs w:val="24"/>
          <w:lang w:eastAsia="en-GB"/>
        </w:rPr>
        <w:lastRenderedPageBreak/>
        <w:t xml:space="preserve">the issue of an acceptance certificate by the employer. The employer issued an acceptance certificate prior to the expiry date of the bond and subsequently purported to make a call on the bond. The court held that the bond remained valid between the employer and the issuing bank, but as between the employer and the contractor the bond was null and void. The court, however, did not grant </w:t>
      </w:r>
      <w:r w:rsidR="00F04F2B">
        <w:rPr>
          <w:rFonts w:ascii="Times New Roman" w:eastAsiaTheme="minorEastAsia" w:hAnsi="Times New Roman" w:cs="Times New Roman"/>
          <w:sz w:val="24"/>
          <w:szCs w:val="24"/>
          <w:lang w:eastAsia="en-GB"/>
        </w:rPr>
        <w:t>a restraining order</w:t>
      </w:r>
      <w:r>
        <w:rPr>
          <w:rFonts w:ascii="Times New Roman" w:eastAsiaTheme="minorEastAsia" w:hAnsi="Times New Roman" w:cs="Times New Roman"/>
          <w:sz w:val="24"/>
          <w:szCs w:val="24"/>
          <w:lang w:eastAsia="en-GB"/>
        </w:rPr>
        <w:t xml:space="preserve"> preventing a call on the bond </w:t>
      </w:r>
      <w:r w:rsidRPr="00A37381">
        <w:rPr>
          <w:rFonts w:ascii="Times New Roman" w:eastAsiaTheme="minorEastAsia" w:hAnsi="Times New Roman" w:cs="Times New Roman"/>
          <w:i/>
          <w:iCs/>
          <w:sz w:val="24"/>
          <w:szCs w:val="24"/>
          <w:lang w:eastAsia="en-GB"/>
        </w:rPr>
        <w:t>per se</w:t>
      </w:r>
      <w:r>
        <w:rPr>
          <w:rFonts w:ascii="Times New Roman" w:eastAsiaTheme="minorEastAsia" w:hAnsi="Times New Roman" w:cs="Times New Roman"/>
          <w:sz w:val="24"/>
          <w:szCs w:val="24"/>
          <w:lang w:eastAsia="en-GB"/>
        </w:rPr>
        <w:t xml:space="preserve"> but instead granted </w:t>
      </w:r>
      <w:r w:rsidR="00F04F2B">
        <w:rPr>
          <w:rFonts w:ascii="Times New Roman" w:eastAsiaTheme="minorEastAsia" w:hAnsi="Times New Roman" w:cs="Times New Roman"/>
          <w:sz w:val="24"/>
          <w:szCs w:val="24"/>
          <w:lang w:eastAsia="en-GB"/>
        </w:rPr>
        <w:t>a restraining order</w:t>
      </w:r>
      <w:r>
        <w:rPr>
          <w:rFonts w:ascii="Times New Roman" w:eastAsiaTheme="minorEastAsia" w:hAnsi="Times New Roman" w:cs="Times New Roman"/>
          <w:sz w:val="24"/>
          <w:szCs w:val="24"/>
          <w:lang w:eastAsia="en-GB"/>
        </w:rPr>
        <w:t xml:space="preserve"> preventing a breach of an express term of the underlying contract which regulated the ability of the employer to call on the bond. In its passing comments the court contemplated the existence of an alternate possible ground on which a contractor might resist a call on a bond straight breach of contract.</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Similarly in </w:t>
      </w:r>
      <w:r>
        <w:rPr>
          <w:rFonts w:ascii="Times New Roman" w:eastAsiaTheme="minorEastAsia" w:hAnsi="Times New Roman" w:cs="Times New Roman"/>
          <w:i/>
          <w:sz w:val="24"/>
          <w:szCs w:val="24"/>
          <w:lang w:eastAsia="en-GB"/>
        </w:rPr>
        <w:t>Doosan Babcock Ltd v. Commercializadora de Equipos y Materiales Mabe Limitada [2013] EWHC 3010 (TCC)</w:t>
      </w:r>
      <w:r>
        <w:t xml:space="preserve"> </w:t>
      </w:r>
      <w:r>
        <w:rPr>
          <w:rFonts w:ascii="Times New Roman" w:eastAsiaTheme="minorEastAsia" w:hAnsi="Times New Roman" w:cs="Times New Roman"/>
          <w:sz w:val="24"/>
          <w:szCs w:val="24"/>
          <w:lang w:eastAsia="en-GB"/>
        </w:rPr>
        <w:t xml:space="preserve">the underlying construction contract contained similar provisions to those in </w:t>
      </w:r>
      <w:r>
        <w:rPr>
          <w:rFonts w:ascii="Times New Roman" w:eastAsiaTheme="minorEastAsia" w:hAnsi="Times New Roman" w:cs="Times New Roman"/>
          <w:i/>
          <w:sz w:val="24"/>
          <w:szCs w:val="24"/>
          <w:lang w:eastAsia="en-GB"/>
        </w:rPr>
        <w:t>Simon Carves</w:t>
      </w:r>
      <w:r>
        <w:rPr>
          <w:rFonts w:ascii="Times New Roman" w:eastAsiaTheme="minorEastAsia" w:hAnsi="Times New Roman" w:cs="Times New Roman"/>
          <w:sz w:val="24"/>
          <w:szCs w:val="24"/>
          <w:lang w:eastAsia="en-GB"/>
        </w:rPr>
        <w:t xml:space="preserve"> in that the contract stated the bond was to expire on the earlier issue of a taking-over certificate by the employer or a fixed expiry date. The employer did not actually issue the taking over certificate prior to making a call on the bond. The contractor, however, sought </w:t>
      </w:r>
      <w:r w:rsidR="00F04F2B">
        <w:rPr>
          <w:rFonts w:ascii="Times New Roman" w:eastAsiaTheme="minorEastAsia" w:hAnsi="Times New Roman" w:cs="Times New Roman"/>
          <w:sz w:val="24"/>
          <w:szCs w:val="24"/>
          <w:lang w:eastAsia="en-GB"/>
        </w:rPr>
        <w:t>a restraining order</w:t>
      </w:r>
      <w:r>
        <w:rPr>
          <w:rFonts w:ascii="Times New Roman" w:eastAsiaTheme="minorEastAsia" w:hAnsi="Times New Roman" w:cs="Times New Roman"/>
          <w:sz w:val="24"/>
          <w:szCs w:val="24"/>
          <w:lang w:eastAsia="en-GB"/>
        </w:rPr>
        <w:t xml:space="preserve"> against the employer</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subsequent call on the basis that the employer ought to have issued a taking-over certificate but had not done so in breach of the underlying contract, and had it done so it would have no entitlement to call on the bond. The court granted </w:t>
      </w:r>
      <w:r w:rsidR="00F04F2B">
        <w:rPr>
          <w:rFonts w:ascii="Times New Roman" w:eastAsiaTheme="minorEastAsia" w:hAnsi="Times New Roman" w:cs="Times New Roman"/>
          <w:sz w:val="24"/>
          <w:szCs w:val="24"/>
          <w:lang w:eastAsia="en-GB"/>
        </w:rPr>
        <w:t>a restraining order</w:t>
      </w:r>
      <w:r>
        <w:rPr>
          <w:rFonts w:ascii="Times New Roman" w:eastAsiaTheme="minorEastAsia" w:hAnsi="Times New Roman" w:cs="Times New Roman"/>
          <w:sz w:val="24"/>
          <w:szCs w:val="24"/>
          <w:lang w:eastAsia="en-GB"/>
        </w:rPr>
        <w:t xml:space="preserve"> preventing the call on the bond, relying on the common law principle that a party should not profit from its own breach of contract.</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decisions in </w:t>
      </w:r>
      <w:r>
        <w:rPr>
          <w:rFonts w:ascii="Times New Roman" w:eastAsiaTheme="minorEastAsia" w:hAnsi="Times New Roman" w:cs="Times New Roman"/>
          <w:i/>
          <w:sz w:val="24"/>
          <w:szCs w:val="24"/>
          <w:lang w:eastAsia="en-GB"/>
        </w:rPr>
        <w:t>Simon Carves</w:t>
      </w:r>
      <w:r>
        <w:rPr>
          <w:rFonts w:ascii="Times New Roman" w:eastAsiaTheme="minorEastAsia" w:hAnsi="Times New Roman" w:cs="Times New Roman"/>
          <w:sz w:val="24"/>
          <w:szCs w:val="24"/>
          <w:lang w:eastAsia="en-GB"/>
        </w:rPr>
        <w:t xml:space="preserve"> and </w:t>
      </w:r>
      <w:r>
        <w:rPr>
          <w:rFonts w:ascii="Times New Roman" w:eastAsiaTheme="minorEastAsia" w:hAnsi="Times New Roman" w:cs="Times New Roman"/>
          <w:i/>
          <w:sz w:val="24"/>
          <w:szCs w:val="24"/>
          <w:lang w:eastAsia="en-GB"/>
        </w:rPr>
        <w:t>Doosan</w:t>
      </w:r>
      <w:r>
        <w:rPr>
          <w:rFonts w:ascii="Times New Roman" w:eastAsiaTheme="minorEastAsia" w:hAnsi="Times New Roman" w:cs="Times New Roman"/>
          <w:sz w:val="24"/>
          <w:szCs w:val="24"/>
          <w:lang w:eastAsia="en-GB"/>
        </w:rPr>
        <w:t>, however, indicate a departure from the traditional exceptions of fraud and illegality. Commentators have much-maligned the two decisions for their perceived broadening of the circumstances in which a court may enjoin a call on a bond beyond fraud and illegality. Nevertheless, these decisions suggest that the courts may look to provisions in an underlying contract, which regulate calls on a bond related to such contract, in a way that pierces the autonomy between the parties</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obligations under the contract and the issuing banks obligation under the associated bond. </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distinction between </w:t>
      </w:r>
      <w:r>
        <w:rPr>
          <w:rFonts w:ascii="Times New Roman" w:eastAsiaTheme="minorEastAsia" w:hAnsi="Times New Roman" w:cs="Times New Roman"/>
          <w:i/>
          <w:sz w:val="24"/>
          <w:szCs w:val="24"/>
          <w:lang w:eastAsia="en-GB"/>
        </w:rPr>
        <w:t>Alternative Power Solution</w:t>
      </w:r>
      <w:r>
        <w:rPr>
          <w:rFonts w:ascii="Times New Roman" w:eastAsiaTheme="minorEastAsia" w:hAnsi="Times New Roman" w:cs="Times New Roman"/>
          <w:sz w:val="24"/>
          <w:szCs w:val="24"/>
          <w:lang w:eastAsia="en-GB"/>
        </w:rPr>
        <w:t xml:space="preserve">, on the one hand, and </w:t>
      </w:r>
      <w:r>
        <w:rPr>
          <w:rFonts w:ascii="Times New Roman" w:eastAsiaTheme="minorEastAsia" w:hAnsi="Times New Roman" w:cs="Times New Roman"/>
          <w:i/>
          <w:sz w:val="24"/>
          <w:szCs w:val="24"/>
          <w:lang w:eastAsia="en-GB"/>
        </w:rPr>
        <w:t>Simon Carves</w:t>
      </w:r>
      <w:r>
        <w:rPr>
          <w:rFonts w:ascii="Times New Roman" w:eastAsiaTheme="minorEastAsia" w:hAnsi="Times New Roman" w:cs="Times New Roman"/>
          <w:sz w:val="24"/>
          <w:szCs w:val="24"/>
          <w:lang w:eastAsia="en-GB"/>
        </w:rPr>
        <w:t xml:space="preserve"> and </w:t>
      </w:r>
      <w:r>
        <w:rPr>
          <w:rFonts w:ascii="Times New Roman" w:eastAsiaTheme="minorEastAsia" w:hAnsi="Times New Roman" w:cs="Times New Roman"/>
          <w:i/>
          <w:sz w:val="24"/>
          <w:szCs w:val="24"/>
          <w:lang w:eastAsia="en-GB"/>
        </w:rPr>
        <w:t>Doosan</w:t>
      </w:r>
      <w:r>
        <w:rPr>
          <w:rFonts w:ascii="Times New Roman" w:eastAsiaTheme="minorEastAsia" w:hAnsi="Times New Roman" w:cs="Times New Roman"/>
          <w:sz w:val="24"/>
          <w:szCs w:val="24"/>
          <w:lang w:eastAsia="en-GB"/>
        </w:rPr>
        <w:t xml:space="preserve">, on the other seems not that the former concerns a letter of credit and the latter a </w:t>
      </w:r>
      <w:r>
        <w:rPr>
          <w:rFonts w:ascii="Times New Roman" w:eastAsiaTheme="minorEastAsia" w:hAnsi="Times New Roman" w:cs="Times New Roman"/>
          <w:sz w:val="24"/>
          <w:szCs w:val="24"/>
          <w:lang w:eastAsia="en-GB"/>
        </w:rPr>
        <w:lastRenderedPageBreak/>
        <w:t>performance bond, but that the latter concerned a contract which contained provisions regulating the beneficiaries call on the bonds, whereas the former did not.</w:t>
      </w:r>
      <w:r>
        <w:rPr>
          <w:rFonts w:ascii="Times New Roman" w:hAnsi="Times New Roman" w:cs="Times New Roman"/>
          <w:sz w:val="24"/>
          <w:szCs w:val="24"/>
        </w:rPr>
        <w:t xml:space="preserve"> Moreover, t</w:t>
      </w:r>
      <w:r>
        <w:rPr>
          <w:rFonts w:ascii="Times New Roman" w:eastAsiaTheme="minorEastAsia" w:hAnsi="Times New Roman" w:cs="Times New Roman"/>
          <w:sz w:val="24"/>
          <w:szCs w:val="24"/>
          <w:lang w:eastAsia="en-GB"/>
        </w:rPr>
        <w:t xml:space="preserve">he contractual provisions which the courts looked to in </w:t>
      </w:r>
      <w:r>
        <w:rPr>
          <w:rFonts w:ascii="Times New Roman" w:eastAsiaTheme="minorEastAsia" w:hAnsi="Times New Roman" w:cs="Times New Roman"/>
          <w:i/>
          <w:sz w:val="24"/>
          <w:szCs w:val="24"/>
          <w:lang w:eastAsia="en-GB"/>
        </w:rPr>
        <w:t>Simon Carves</w:t>
      </w:r>
      <w:r>
        <w:rPr>
          <w:rFonts w:ascii="Times New Roman" w:eastAsiaTheme="minorEastAsia" w:hAnsi="Times New Roman" w:cs="Times New Roman"/>
          <w:sz w:val="24"/>
          <w:szCs w:val="24"/>
          <w:lang w:eastAsia="en-GB"/>
        </w:rPr>
        <w:t xml:space="preserve"> and </w:t>
      </w:r>
      <w:r>
        <w:rPr>
          <w:rFonts w:ascii="Times New Roman" w:eastAsiaTheme="minorEastAsia" w:hAnsi="Times New Roman" w:cs="Times New Roman"/>
          <w:i/>
          <w:sz w:val="24"/>
          <w:szCs w:val="24"/>
          <w:lang w:eastAsia="en-GB"/>
        </w:rPr>
        <w:t xml:space="preserve">Doosan </w:t>
      </w:r>
      <w:r>
        <w:rPr>
          <w:rFonts w:ascii="Times New Roman" w:eastAsiaTheme="minorEastAsia" w:hAnsi="Times New Roman" w:cs="Times New Roman"/>
          <w:sz w:val="24"/>
          <w:szCs w:val="24"/>
          <w:lang w:eastAsia="en-GB"/>
        </w:rPr>
        <w:t>were technical in nature, essentially preventing a call on the bond where the discharge of obligations under the contract meant the security afforded to the beneficiary through the bond had, or ought to have, effectively expired.</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w:t>
      </w:r>
      <w:r>
        <w:rPr>
          <w:rFonts w:ascii="Times New Roman" w:eastAsiaTheme="minorEastAsia" w:hAnsi="Times New Roman" w:cs="Times New Roman"/>
          <w:i/>
          <w:sz w:val="24"/>
          <w:szCs w:val="24"/>
          <w:lang w:eastAsia="en-GB"/>
        </w:rPr>
        <w:t>Alternative Power Solution Ltd v. Central Electricity Board &amp; Anor (Mauritius) [2014] UKPC 31</w:t>
      </w:r>
      <w:r>
        <w:rPr>
          <w:rFonts w:ascii="Times New Roman" w:eastAsiaTheme="minorEastAsia" w:hAnsi="Times New Roman" w:cs="Times New Roman"/>
          <w:sz w:val="24"/>
          <w:szCs w:val="24"/>
          <w:lang w:eastAsia="en-GB"/>
        </w:rPr>
        <w:t xml:space="preserve">, the Privy Council found that the Mauritian Central Electricity Board was not entitled to an interlocutory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to prevent payment under a letter of credit, notwithstanding its allegations of fraud and the fraud exemption. In that case, Alternative Power Solutions Ltd (“APS”) entered into an agreement (the “Agreement”) following a bid process to supply 660,000 compact fluorescent lamps (“CFLs”) to the Mauritanian Central Electricity Board (“CEB”). The means of payment was by letter of credit (“LOC”) which was issued by Standard Bank (“SB”) in favour of APS. Inspection at the place of manufacture was required under the Agreement but there was no requirement for certificates of inspection or similar documentation to be presented to SB under the LOC. APS and CEB failed to come to any arrangement relating to delivery and inspection of the CFLs. With the expiry date of the LOC approaching, the Chinese manufacturers shipped the CFLs. APS tried to claim payment under the LOC. Whilst SB considered the documentation discrepant, SB made it clear that it would be prepared to pay against compliant documents. CEB sought </w:t>
      </w:r>
      <w:r w:rsidR="00F04F2B">
        <w:rPr>
          <w:rFonts w:ascii="Times New Roman" w:eastAsiaTheme="minorEastAsia" w:hAnsi="Times New Roman" w:cs="Times New Roman"/>
          <w:sz w:val="24"/>
          <w:szCs w:val="24"/>
          <w:lang w:eastAsia="en-GB"/>
        </w:rPr>
        <w:t>a restraining order</w:t>
      </w:r>
      <w:r>
        <w:rPr>
          <w:rFonts w:ascii="Times New Roman" w:eastAsiaTheme="minorEastAsia" w:hAnsi="Times New Roman" w:cs="Times New Roman"/>
          <w:sz w:val="24"/>
          <w:szCs w:val="24"/>
          <w:lang w:eastAsia="en-GB"/>
        </w:rPr>
        <w:t xml:space="preserve"> to prevent SB releasing the payment. CEB alleged that APS</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bid mentioned that the CFLs would be manufactured by Philips or under licence by Philips in China. It further alleged that APS was throughout in breach of the tender documents because it had not allowed CEB to inspect and verify the 660,000 CFLs at the place of manufacture in China. It was also alleged that at an initial hearing one of APS</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representatives had stated that the goods would not be shipped until the inspection took place, when the goods were, in fact, in transit. The court at first instance and the Mauritian Court of Appeal both ruled in favour of CEB as they felt that there was enough evidence to engage the fraud exemption.</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On appeal to the Privy Council, it held that the test for the fraud exemption cannot be quite the same as at a trial and that the test at the interlocutory stage can properly be described as whether </w:t>
      </w:r>
      <w:r>
        <w:rPr>
          <w:rFonts w:ascii="Times New Roman" w:eastAsiaTheme="minorEastAsia" w:hAnsi="Times New Roman" w:cs="Times New Roman"/>
          <w:sz w:val="24"/>
          <w:szCs w:val="24"/>
          <w:lang w:eastAsia="en-GB"/>
        </w:rPr>
        <w:lastRenderedPageBreak/>
        <w:t>it is seriously arguable that, on the material available, the only realistic inference is that the beneficiary could not honestly have believed in the validity of its demands on the letter of credit and that the bank was aware of that fact. The difficulty with CEB</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allegations was that they were allegations of breach of contract and thus matters for arbitration and irrelevant to the liability of SB under the LOC. In so far as the judges in the lower court relied upon them they erred in principle. In all these circumstances, the Privy Council concluded that, whatever test is applied, neither the judge nor the Court of Appeal was entitled to reach the conclusion that the fraud exception was satisfied, in the case of either APS or SB.</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Singapore, the position of the courts is similar to the position of the courts in England. Calls on on-demand Bank Guarantees can be restrained, either on the account of “fraud” or “unconscionability,” which are treated as two distinct and independent grounds of restraint (see </w:t>
      </w:r>
      <w:r>
        <w:rPr>
          <w:rFonts w:ascii="Times New Roman" w:hAnsi="Times New Roman" w:cs="Times New Roman"/>
          <w:i/>
          <w:sz w:val="24"/>
          <w:szCs w:val="24"/>
        </w:rPr>
        <w:t>Bocotra Construction Pte Ltd v. Attorney General (No. 2) [1995] 2 SLR 523</w:t>
      </w:r>
      <w:r>
        <w:rPr>
          <w:rFonts w:ascii="Times New Roman" w:hAnsi="Times New Roman" w:cs="Times New Roman"/>
          <w:sz w:val="24"/>
          <w:szCs w:val="24"/>
        </w:rPr>
        <w:t xml:space="preserve">; </w:t>
      </w:r>
      <w:r>
        <w:rPr>
          <w:rFonts w:ascii="Times New Roman" w:hAnsi="Times New Roman" w:cs="Times New Roman"/>
          <w:i/>
          <w:sz w:val="24"/>
          <w:szCs w:val="24"/>
        </w:rPr>
        <w:t>GHL Pte Ltd v. Unitrack Building Construction Pte Ltd [1999] 4 SLR 604</w:t>
      </w:r>
      <w:r>
        <w:rPr>
          <w:rFonts w:ascii="Times New Roman" w:hAnsi="Times New Roman" w:cs="Times New Roman"/>
          <w:sz w:val="24"/>
          <w:szCs w:val="24"/>
        </w:rPr>
        <w:t xml:space="preserve">; </w:t>
      </w:r>
      <w:r>
        <w:rPr>
          <w:rFonts w:ascii="Times New Roman" w:hAnsi="Times New Roman" w:cs="Times New Roman"/>
          <w:i/>
          <w:sz w:val="24"/>
          <w:szCs w:val="24"/>
        </w:rPr>
        <w:t>Dauphin Offshore Engineering &amp; Trading Pte Ltd v. HRH Sheikh Sultan bin Khalifa bin Zayed Al Nahyan [2000] SGCA 4</w:t>
      </w:r>
      <w:r>
        <w:rPr>
          <w:rFonts w:ascii="Times New Roman" w:hAnsi="Times New Roman" w:cs="Times New Roman"/>
          <w:sz w:val="24"/>
          <w:szCs w:val="24"/>
        </w:rPr>
        <w:t xml:space="preserve"> and </w:t>
      </w:r>
      <w:r>
        <w:rPr>
          <w:rFonts w:ascii="Times New Roman" w:hAnsi="Times New Roman" w:cs="Times New Roman"/>
          <w:i/>
          <w:sz w:val="24"/>
          <w:szCs w:val="24"/>
        </w:rPr>
        <w:t>Shanghai Electric Group Co Ltd v. PT Merak Energi Indonesia [2010] SGHC 2</w:t>
      </w:r>
      <w:r>
        <w:rPr>
          <w:rFonts w:ascii="Times New Roman" w:hAnsi="Times New Roman" w:cs="Times New Roman"/>
          <w:sz w:val="24"/>
          <w:szCs w:val="24"/>
        </w:rPr>
        <w:t>). In Malaysia, “unconscionability” is recognised as a separate and independent ground to issue a restraining order, which stems from the “general underlying notion…. of equity</w:t>
      </w:r>
      <w:r w:rsidR="00EE77A0">
        <w:rPr>
          <w:rFonts w:ascii="Times New Roman" w:hAnsi="Times New Roman" w:cs="Times New Roman"/>
          <w:sz w:val="24"/>
          <w:szCs w:val="24"/>
        </w:rPr>
        <w:t>’</w:t>
      </w:r>
      <w:r>
        <w:rPr>
          <w:rFonts w:ascii="Times New Roman" w:hAnsi="Times New Roman" w:cs="Times New Roman"/>
          <w:sz w:val="24"/>
          <w:szCs w:val="24"/>
        </w:rPr>
        <w:t>s traditional jurisdiction to grant relief against unconscientious conduct namely, that a person should not be permitted to use or insist upon his legal rights to take advantage of another</w:t>
      </w:r>
      <w:r w:rsidR="00EE77A0">
        <w:rPr>
          <w:rFonts w:ascii="Times New Roman" w:hAnsi="Times New Roman" w:cs="Times New Roman"/>
          <w:sz w:val="24"/>
          <w:szCs w:val="24"/>
        </w:rPr>
        <w:t>’</w:t>
      </w:r>
      <w:r>
        <w:rPr>
          <w:rFonts w:ascii="Times New Roman" w:hAnsi="Times New Roman" w:cs="Times New Roman"/>
          <w:sz w:val="24"/>
          <w:szCs w:val="24"/>
        </w:rPr>
        <w:t xml:space="preserve">s special vulnerability or misadventure for the unjust enrichment of himself….” (see </w:t>
      </w:r>
      <w:r>
        <w:rPr>
          <w:rFonts w:ascii="Times New Roman" w:hAnsi="Times New Roman" w:cs="Times New Roman"/>
          <w:i/>
          <w:sz w:val="24"/>
          <w:szCs w:val="24"/>
        </w:rPr>
        <w:t>Sumatec Engineering &amp; Construction Sdn Bhd v. Malaysian Refining Company Sdn Bhd [2012] 3 CLJ 401</w:t>
      </w:r>
      <w:r>
        <w:rPr>
          <w:rFonts w:ascii="Times New Roman" w:hAnsi="Times New Roman" w:cs="Times New Roman"/>
          <w:sz w:val="24"/>
          <w:szCs w:val="24"/>
        </w:rPr>
        <w:t xml:space="preserve">).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Courts in Singapore have defined “unconscionability” as “…unfairness, as distinct from dishonesty or fraud, or conduct of a kind so reprehensible or lacking in good faith that a court of conscience would either restrain the party or refuse to assist the party. Mere breaches of contract by the party in question … would not by themselves be unconscionable” (see </w:t>
      </w:r>
      <w:r>
        <w:rPr>
          <w:rFonts w:ascii="Times New Roman" w:hAnsi="Times New Roman" w:cs="Times New Roman"/>
          <w:i/>
          <w:sz w:val="24"/>
          <w:szCs w:val="24"/>
        </w:rPr>
        <w:t>Kiso (S) Pte Ltd v. Lum Chang Building Contractors Pte Ltd [2013] SGHC 86</w:t>
      </w:r>
      <w:r>
        <w:rPr>
          <w:rFonts w:ascii="Times New Roman" w:hAnsi="Times New Roman" w:cs="Times New Roman"/>
          <w:sz w:val="24"/>
          <w:szCs w:val="24"/>
        </w:rPr>
        <w:t xml:space="preserve">). A contractor applying for </w:t>
      </w:r>
      <w:r w:rsidR="00F04F2B">
        <w:rPr>
          <w:rFonts w:ascii="Times New Roman" w:hAnsi="Times New Roman" w:cs="Times New Roman"/>
          <w:sz w:val="24"/>
          <w:szCs w:val="24"/>
        </w:rPr>
        <w:t>a restraining order</w:t>
      </w:r>
      <w:r>
        <w:rPr>
          <w:rFonts w:ascii="Times New Roman" w:hAnsi="Times New Roman" w:cs="Times New Roman"/>
          <w:sz w:val="24"/>
          <w:szCs w:val="24"/>
        </w:rPr>
        <w:t xml:space="preserve"> on the basis of “unconscionability” has to establish a “strong </w:t>
      </w:r>
      <w:r>
        <w:rPr>
          <w:rFonts w:ascii="Times New Roman" w:hAnsi="Times New Roman" w:cs="Times New Roman"/>
          <w:i/>
          <w:sz w:val="24"/>
          <w:szCs w:val="24"/>
        </w:rPr>
        <w:t>prima facie</w:t>
      </w:r>
      <w:r>
        <w:rPr>
          <w:rFonts w:ascii="Times New Roman" w:hAnsi="Times New Roman" w:cs="Times New Roman"/>
          <w:sz w:val="24"/>
          <w:szCs w:val="24"/>
        </w:rPr>
        <w:t xml:space="preserve"> case of unconscionability,” in which case the parties</w:t>
      </w:r>
      <w:r w:rsidR="00EE77A0">
        <w:rPr>
          <w:rFonts w:ascii="Times New Roman" w:hAnsi="Times New Roman" w:cs="Times New Roman"/>
          <w:sz w:val="24"/>
          <w:szCs w:val="24"/>
        </w:rPr>
        <w:t>’</w:t>
      </w:r>
      <w:r>
        <w:rPr>
          <w:rFonts w:ascii="Times New Roman" w:hAnsi="Times New Roman" w:cs="Times New Roman"/>
          <w:sz w:val="24"/>
          <w:szCs w:val="24"/>
        </w:rPr>
        <w:t xml:space="preserve"> conduct leading up to a call on a bond and the presence of notice are all relevant considerations (see </w:t>
      </w:r>
      <w:r>
        <w:rPr>
          <w:rFonts w:ascii="Times New Roman" w:hAnsi="Times New Roman" w:cs="Times New Roman"/>
          <w:i/>
          <w:sz w:val="24"/>
          <w:szCs w:val="24"/>
        </w:rPr>
        <w:t xml:space="preserve">Tactic Engineering Pte Ltd (in liq) v. Sato </w:t>
      </w:r>
      <w:r>
        <w:rPr>
          <w:rFonts w:ascii="Times New Roman" w:hAnsi="Times New Roman" w:cs="Times New Roman"/>
          <w:i/>
          <w:sz w:val="24"/>
          <w:szCs w:val="24"/>
        </w:rPr>
        <w:lastRenderedPageBreak/>
        <w:t>Kogyo (S) Pte Ltd [2017] SGHC 103</w:t>
      </w:r>
      <w:r>
        <w:rPr>
          <w:rFonts w:ascii="Times New Roman" w:hAnsi="Times New Roman" w:cs="Times New Roman"/>
          <w:sz w:val="24"/>
          <w:szCs w:val="24"/>
        </w:rPr>
        <w:t>). The Singapore courts have allowed the exception of unconscionability to cater for situations where the conduct of the beneficiary was sufficiently reprehensible to justify an interdict in circumstances where the facts do not amount to fraud.</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case law canvassed here demonstrates that the principle of independence continues to be a dominant theory in demand-guarantee practice. With varying outcomes, Courts in the different jurisdictions have considered whether the application of the fraud rule should be confined to cases of forged or fraudulent documents or extend to fraud in the underlying transaction. As a general proposition, </w:t>
      </w:r>
      <w:r w:rsidR="009C6CA5">
        <w:rPr>
          <w:rFonts w:ascii="Times New Roman" w:hAnsi="Times New Roman" w:cs="Times New Roman"/>
          <w:sz w:val="24"/>
          <w:szCs w:val="24"/>
        </w:rPr>
        <w:t>restraining order</w:t>
      </w:r>
      <w:r>
        <w:rPr>
          <w:rFonts w:ascii="Times New Roman" w:hAnsi="Times New Roman" w:cs="Times New Roman"/>
          <w:sz w:val="24"/>
          <w:szCs w:val="24"/>
        </w:rPr>
        <w:t>s will not be granted to prevent a party from calling upon a demand bank guarantee, except in cases of fraud, unconscionability, or breach of a negative stipulation in the underlying contract. It is this court</w:t>
      </w:r>
      <w:r w:rsidR="00EE77A0">
        <w:rPr>
          <w:rFonts w:ascii="Times New Roman" w:hAnsi="Times New Roman" w:cs="Times New Roman"/>
          <w:sz w:val="24"/>
          <w:szCs w:val="24"/>
        </w:rPr>
        <w:t>’</w:t>
      </w:r>
      <w:r>
        <w:rPr>
          <w:rFonts w:ascii="Times New Roman" w:hAnsi="Times New Roman" w:cs="Times New Roman"/>
          <w:sz w:val="24"/>
          <w:szCs w:val="24"/>
        </w:rPr>
        <w:t xml:space="preserve">s considered view that </w:t>
      </w:r>
      <w:r>
        <w:rPr>
          <w:rFonts w:ascii="Times New Roman" w:eastAsiaTheme="minorEastAsia" w:hAnsi="Times New Roman" w:cs="Times New Roman"/>
          <w:sz w:val="24"/>
          <w:szCs w:val="24"/>
          <w:lang w:eastAsia="en-GB"/>
        </w:rPr>
        <w:t>provisions in an underlying contract, which regulate calls on a bond,</w:t>
      </w:r>
      <w:r>
        <w:rPr>
          <w:rFonts w:ascii="Times New Roman" w:hAnsi="Times New Roman" w:cs="Times New Roman"/>
          <w:sz w:val="24"/>
          <w:szCs w:val="24"/>
        </w:rPr>
        <w:t xml:space="preserve"> should only be considered with circumspection where events or conduct are of such degree such as to prick the conscience of a reasonable and sensible man. Resort to the</w:t>
      </w:r>
      <w:r>
        <w:rPr>
          <w:rFonts w:ascii="Times New Roman" w:eastAsiaTheme="minorEastAsia" w:hAnsi="Times New Roman" w:cs="Times New Roman"/>
          <w:sz w:val="24"/>
          <w:szCs w:val="24"/>
          <w:lang w:eastAsia="en-GB"/>
        </w:rPr>
        <w:t xml:space="preserve"> underlying contract</w:t>
      </w:r>
      <w:r>
        <w:rPr>
          <w:rFonts w:ascii="Times New Roman" w:hAnsi="Times New Roman" w:cs="Times New Roman"/>
          <w:sz w:val="24"/>
          <w:szCs w:val="24"/>
        </w:rPr>
        <w:t xml:space="preserve"> requires a certain and compelling case to be established; cases where the demand on the guarantee can be said to be “clearly untrue or false,” or “utterly without justification,” or where it is apparent there is “no right to payment.” Cases in which proof is furnished of the absence of any colourable or plausible basis under the underlying contract for the beneficiary to call the guarantee.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While the notion of fraud may elude precise definition, it is a concept well known to the law, connoting some aspect of impropriety, dishonesty or deceit. Fraud is not mistake, error in interpreting a contract; fraud is something dishonest and morally wrong, resulting in mischief or unnecessary pain. Fraud is defined as the unlawful and intentional making of a misrepresentation that causes actual prejudice or is potentially prejudicial to another. The traditional approach of English courts to the calling of Bank Guarantees is to limit </w:t>
      </w:r>
      <w:r w:rsidR="009C6CA5">
        <w:rPr>
          <w:rFonts w:ascii="Times New Roman" w:hAnsi="Times New Roman" w:cs="Times New Roman"/>
          <w:sz w:val="24"/>
          <w:szCs w:val="24"/>
        </w:rPr>
        <w:t>restraining order</w:t>
      </w:r>
      <w:r>
        <w:rPr>
          <w:rFonts w:ascii="Times New Roman" w:hAnsi="Times New Roman" w:cs="Times New Roman"/>
          <w:sz w:val="24"/>
          <w:szCs w:val="24"/>
        </w:rPr>
        <w:t xml:space="preserve">s to situations where there is clear evidence of “fraud,” which under English law can only be proven if it is demonstrated that a false representation has been made (i) knowingly; or (ii) without belief in its truth; or (iii) recklessly without caring as to whether it be true or false (see </w:t>
      </w:r>
      <w:r>
        <w:rPr>
          <w:rFonts w:ascii="Times New Roman" w:hAnsi="Times New Roman" w:cs="Times New Roman"/>
          <w:i/>
          <w:sz w:val="24"/>
          <w:szCs w:val="24"/>
        </w:rPr>
        <w:t>Derry v. Peek [1889] 14 App Cas 337</w:t>
      </w:r>
      <w:r>
        <w:rPr>
          <w:rFonts w:ascii="Times New Roman" w:hAnsi="Times New Roman" w:cs="Times New Roman"/>
          <w:sz w:val="24"/>
          <w:szCs w:val="24"/>
        </w:rPr>
        <w:t xml:space="preserve">). Fraud in relation to the calling of Performance Bonds has been extensively discussed in cases such as </w:t>
      </w:r>
      <w:r>
        <w:rPr>
          <w:rFonts w:ascii="Times New Roman" w:hAnsi="Times New Roman" w:cs="Times New Roman"/>
          <w:i/>
          <w:sz w:val="24"/>
          <w:szCs w:val="24"/>
        </w:rPr>
        <w:t>Enka Insaat Ve Sanayi v. Banca Popolare Dell</w:t>
      </w:r>
      <w:r w:rsidR="00EE77A0">
        <w:rPr>
          <w:rFonts w:ascii="Times New Roman" w:hAnsi="Times New Roman" w:cs="Times New Roman"/>
          <w:i/>
          <w:sz w:val="24"/>
          <w:szCs w:val="24"/>
        </w:rPr>
        <w:t>’</w:t>
      </w:r>
      <w:r>
        <w:rPr>
          <w:rFonts w:ascii="Times New Roman" w:hAnsi="Times New Roman" w:cs="Times New Roman"/>
          <w:i/>
          <w:sz w:val="24"/>
          <w:szCs w:val="24"/>
        </w:rPr>
        <w:t>Alto Adige [2009] EWHC 2410</w:t>
      </w:r>
      <w:r>
        <w:rPr>
          <w:rFonts w:ascii="Times New Roman" w:hAnsi="Times New Roman" w:cs="Times New Roman"/>
          <w:sz w:val="24"/>
          <w:szCs w:val="24"/>
        </w:rPr>
        <w:t>, which further confirms the high threshold for proving fraud under English law.</w:t>
      </w: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In light of the foregoing comparative analysis, given that the purpose of the fraud rule is to stop dishonest beneficiaries from abusing the demand guarantee system, this court is inclined to state that the test for fraud is met, not by showing breach or other non-compliance with the terms of the underlying contract, but when strong or compelling evidence is led to show that the documents presented to the Bank are forgeries or contain any express material misrepresentations. As in any other case, where fraud is alleged, it will not be inferred lightly and mere error, misunderstanding, non-compliance with the terms of a guarantee or oversight does not translate into fraud and will not amount to fraud. It should rise to the level of egregious conduct; meaning conspicuously, glaringly, or staggeringly or flagrantly bad,</w:t>
      </w:r>
      <w:r>
        <w:t xml:space="preserve"> </w:t>
      </w:r>
      <w:r>
        <w:rPr>
          <w:rFonts w:ascii="Times New Roman" w:hAnsi="Times New Roman" w:cs="Times New Roman"/>
          <w:sz w:val="24"/>
          <w:szCs w:val="24"/>
        </w:rPr>
        <w:t>of a nature that would vitiate the very foundation of the bank guarantee. A kind of outrageous conduct which shocks the conscience of the court, such as or where the guarantee is called upon with absolutely no basis in fact.</w:t>
      </w:r>
      <w:r>
        <w:t xml:space="preserve"> </w:t>
      </w:r>
      <w:r>
        <w:rPr>
          <w:rFonts w:ascii="Times New Roman" w:hAnsi="Times New Roman" w:cs="Times New Roman"/>
          <w:sz w:val="24"/>
          <w:szCs w:val="24"/>
        </w:rPr>
        <w:t>Courts will not permit a guarantee to be used for a purpose for which it was never generated. The facts of the case should depict that fraud committed by the beneficiary is of such nature that it destroys the entire underlying transaction.</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colourable claim is a plausible legal claim, one that may reasonably be asserted on the basis of facts presented and current law. This means that the claim is “strong enough” to have a reasonable chance of being valid if the legal basis is generally correct and the facts can be proven in court. The insolvency of the contractor and/or the automatic determination of the employment of the contractor usually constitutes an event of default for the purposes of calling the bond. That the underlying contract was terminated before completion, in the absence of any fraud, bad faith or other special circumstances, usually presents a justifiable basis for a beneficiary of a performance guarantee, to make a call thereon. To overcome that seemingly valid or genuine basis for the plausible call, the applicant must present a case of manifest fraud to justify an injunctive interim relief. A manifest fraud is one that is obvious or easily demonstrable without extensive investigation. The alleged fraud should be so obvious as to admit of no difference of opinion. It is one that can be demonstrated immediately and almost conclusively. This relatively high standard is intended to avoid applications introduced only as a subterfuge or means of evading a call.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the instant case, it is not in dispute that the applicant had not executed the contract fully at the time of its termination whereafter a call was made on the guarantee. </w:t>
      </w:r>
      <w:r>
        <w:rPr>
          <w:rFonts w:ascii="Times New Roman" w:eastAsiaTheme="minorEastAsia" w:hAnsi="Times New Roman" w:cs="Times New Roman"/>
          <w:sz w:val="24"/>
          <w:szCs w:val="24"/>
          <w:lang w:eastAsia="en-GB"/>
        </w:rPr>
        <w:t xml:space="preserve">That a call thereon </w:t>
      </w:r>
      <w:r w:rsidR="00BA38BA">
        <w:rPr>
          <w:rFonts w:ascii="Times New Roman" w:eastAsiaTheme="minorEastAsia" w:hAnsi="Times New Roman" w:cs="Times New Roman"/>
          <w:sz w:val="24"/>
          <w:szCs w:val="24"/>
          <w:lang w:eastAsia="en-GB"/>
        </w:rPr>
        <w:t xml:space="preserve">was made </w:t>
      </w:r>
      <w:r w:rsidR="00BA38BA">
        <w:rPr>
          <w:rFonts w:ascii="Times New Roman" w:eastAsiaTheme="minorEastAsia" w:hAnsi="Times New Roman" w:cs="Times New Roman"/>
          <w:sz w:val="24"/>
          <w:szCs w:val="24"/>
          <w:lang w:eastAsia="en-GB"/>
        </w:rPr>
        <w:lastRenderedPageBreak/>
        <w:t>after full mobilisation of equipment required to execution of the contract, albeit belatedly,</w:t>
      </w:r>
      <w:r>
        <w:rPr>
          <w:rFonts w:ascii="Times New Roman" w:hAnsi="Times New Roman" w:cs="Times New Roman"/>
          <w:sz w:val="24"/>
          <w:szCs w:val="24"/>
        </w:rPr>
        <w:t xml:space="preserve"> as claimed by the applicant, but disputed by </w:t>
      </w:r>
      <w:r w:rsidR="00BA38BA">
        <w:rPr>
          <w:rFonts w:ascii="Times New Roman" w:hAnsi="Times New Roman" w:cs="Times New Roman"/>
          <w:sz w:val="24"/>
          <w:szCs w:val="24"/>
        </w:rPr>
        <w:t>the respondent</w:t>
      </w:r>
      <w:r>
        <w:rPr>
          <w:rFonts w:ascii="Times New Roman" w:hAnsi="Times New Roman" w:cs="Times New Roman"/>
          <w:sz w:val="24"/>
          <w:szCs w:val="24"/>
        </w:rPr>
        <w:t xml:space="preserve">, is not a fact of a nature that is easily demonstrable without extensive investigation. On basis of the evidence availed to court at this stage, the applicant has not furnished proof of the absence of any colourable or plausible basis under the contract for the respondent to call on the guarantee. It is not seriously arguable that on the material available the only realistic inference is that the respondent, as beneficiary, could not honestly have believed in the validity of its demand. </w:t>
      </w:r>
      <w:r w:rsidR="00EE77A0">
        <w:rPr>
          <w:rFonts w:ascii="Times New Roman" w:hAnsi="Times New Roman" w:cs="Times New Roman"/>
          <w:sz w:val="24"/>
          <w:szCs w:val="24"/>
        </w:rPr>
        <w:t>In light of the delay, t</w:t>
      </w:r>
      <w:r>
        <w:rPr>
          <w:rFonts w:ascii="Times New Roman" w:hAnsi="Times New Roman" w:cs="Times New Roman"/>
          <w:sz w:val="24"/>
          <w:szCs w:val="24"/>
        </w:rPr>
        <w:t>h</w:t>
      </w:r>
      <w:r w:rsidR="00EE77A0">
        <w:rPr>
          <w:rFonts w:ascii="Times New Roman" w:hAnsi="Times New Roman" w:cs="Times New Roman"/>
          <w:sz w:val="24"/>
          <w:szCs w:val="24"/>
        </w:rPr>
        <w:t>at</w:t>
      </w:r>
      <w:r>
        <w:rPr>
          <w:rFonts w:ascii="Times New Roman" w:hAnsi="Times New Roman" w:cs="Times New Roman"/>
          <w:sz w:val="24"/>
          <w:szCs w:val="24"/>
        </w:rPr>
        <w:t xml:space="preserve"> </w:t>
      </w:r>
      <w:r w:rsidR="00EE77A0">
        <w:rPr>
          <w:rFonts w:ascii="Times New Roman" w:hAnsi="Times New Roman" w:cs="Times New Roman"/>
          <w:sz w:val="24"/>
          <w:szCs w:val="24"/>
        </w:rPr>
        <w:t xml:space="preserve">the respondent was notified of that mobilisation the very day the notice to terminate and call on the guarantee were issued </w:t>
      </w:r>
      <w:r>
        <w:rPr>
          <w:rFonts w:ascii="Times New Roman" w:hAnsi="Times New Roman" w:cs="Times New Roman"/>
          <w:sz w:val="24"/>
          <w:szCs w:val="24"/>
        </w:rPr>
        <w:t>does not constitute a denial of the legitimacy of the beneficiary</w:t>
      </w:r>
      <w:r w:rsidR="00EE77A0">
        <w:rPr>
          <w:rFonts w:ascii="Times New Roman" w:hAnsi="Times New Roman" w:cs="Times New Roman"/>
          <w:sz w:val="24"/>
          <w:szCs w:val="24"/>
        </w:rPr>
        <w:t>’</w:t>
      </w:r>
      <w:r>
        <w:rPr>
          <w:rFonts w:ascii="Times New Roman" w:hAnsi="Times New Roman" w:cs="Times New Roman"/>
          <w:sz w:val="24"/>
          <w:szCs w:val="24"/>
        </w:rPr>
        <w:t xml:space="preserve">s demand or constitute a manifest fraud.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Although the merits of the parties</w:t>
      </w:r>
      <w:r w:rsidR="00EE77A0">
        <w:rPr>
          <w:rFonts w:ascii="Times New Roman" w:hAnsi="Times New Roman" w:cs="Times New Roman"/>
          <w:sz w:val="24"/>
          <w:szCs w:val="24"/>
        </w:rPr>
        <w:t>’</w:t>
      </w:r>
      <w:r>
        <w:rPr>
          <w:rFonts w:ascii="Times New Roman" w:hAnsi="Times New Roman" w:cs="Times New Roman"/>
          <w:sz w:val="24"/>
          <w:szCs w:val="24"/>
        </w:rPr>
        <w:t xml:space="preserve"> respective cases and their relative strengths are not to be considered at this stage,</w:t>
      </w:r>
      <w:r>
        <w:rPr>
          <w:rFonts w:ascii="Times New Roman" w:eastAsiaTheme="minorEastAsia" w:hAnsi="Times New Roman" w:cs="Times New Roman"/>
          <w:sz w:val="24"/>
          <w:szCs w:val="24"/>
          <w:lang w:eastAsia="en-GB"/>
        </w:rPr>
        <w:t xml:space="preserve"> the court is of the view that the applicant has not established a strong </w:t>
      </w:r>
      <w:r>
        <w:rPr>
          <w:rFonts w:ascii="Times New Roman" w:eastAsiaTheme="minorEastAsia" w:hAnsi="Times New Roman" w:cs="Times New Roman"/>
          <w:i/>
          <w:sz w:val="24"/>
          <w:szCs w:val="24"/>
          <w:lang w:eastAsia="en-GB"/>
        </w:rPr>
        <w:t>prima facie</w:t>
      </w:r>
      <w:r>
        <w:rPr>
          <w:rFonts w:ascii="Times New Roman" w:eastAsiaTheme="minorEastAsia" w:hAnsi="Times New Roman" w:cs="Times New Roman"/>
          <w:sz w:val="24"/>
          <w:szCs w:val="24"/>
          <w:lang w:eastAsia="en-GB"/>
        </w:rPr>
        <w:t xml:space="preserve"> case of manifest fraud, or that </w:t>
      </w:r>
      <w:r>
        <w:rPr>
          <w:rFonts w:ascii="Times New Roman" w:hAnsi="Times New Roman" w:cs="Times New Roman"/>
          <w:sz w:val="24"/>
          <w:szCs w:val="24"/>
        </w:rPr>
        <w:t xml:space="preserve">the guarantee was called upon with absolutely no basis in fact. </w:t>
      </w:r>
      <w:r>
        <w:rPr>
          <w:rFonts w:ascii="Times New Roman" w:eastAsia="Times New Roman" w:hAnsi="Times New Roman" w:cs="Times New Roman"/>
          <w:sz w:val="24"/>
          <w:szCs w:val="24"/>
        </w:rPr>
        <w:t>The applicant has not satisfied this requirement.</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pStyle w:val="ListParagraph"/>
        <w:numPr>
          <w:ilvl w:val="0"/>
          <w:numId w:val="33"/>
        </w:num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u w:val="single"/>
        </w:rPr>
        <w:t>Whether the 1</w:t>
      </w:r>
      <w:r>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 xml:space="preserve"> respondent </w:t>
      </w:r>
      <w:r>
        <w:rPr>
          <w:rFonts w:ascii="Times New Roman" w:hAnsi="Times New Roman" w:cs="Times New Roman"/>
          <w:sz w:val="24"/>
          <w:szCs w:val="24"/>
          <w:u w:val="single"/>
        </w:rPr>
        <w:t>could not honestly have believed in the validity of its demand under the guarantee</w:t>
      </w:r>
      <w:r>
        <w:rPr>
          <w:rFonts w:ascii="Times New Roman" w:hAnsi="Times New Roman" w:cs="Times New Roman"/>
          <w:sz w:val="24"/>
          <w:szCs w:val="24"/>
        </w:rPr>
        <w:t>.</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Other than in cases of illegality, a court may only step-in to enjoin a call on a guarantee in the case of fraud on the part of the beneficiary. </w:t>
      </w:r>
      <w:r w:rsidR="00F04F2B">
        <w:rPr>
          <w:rFonts w:ascii="Times New Roman" w:hAnsi="Times New Roman" w:cs="Times New Roman"/>
          <w:sz w:val="24"/>
          <w:szCs w:val="24"/>
        </w:rPr>
        <w:t>A restraining order</w:t>
      </w:r>
      <w:r>
        <w:rPr>
          <w:rFonts w:ascii="Times New Roman" w:hAnsi="Times New Roman" w:cs="Times New Roman"/>
          <w:sz w:val="24"/>
          <w:szCs w:val="24"/>
        </w:rPr>
        <w:t xml:space="preserve"> will only be granted against a bank if there is a seriously arguable case that the person calling on it, did not honestly believe the validity of the cause (see </w:t>
      </w:r>
      <w:r>
        <w:rPr>
          <w:rFonts w:ascii="Times New Roman" w:hAnsi="Times New Roman" w:cs="Times New Roman"/>
          <w:i/>
          <w:sz w:val="24"/>
          <w:szCs w:val="24"/>
        </w:rPr>
        <w:t>United Trading v. Allied Arab Bank [1981] 2 Lloyds 256, at para 257</w:t>
      </w:r>
      <w:r>
        <w:rPr>
          <w:rFonts w:ascii="Times New Roman" w:hAnsi="Times New Roman" w:cs="Times New Roman"/>
          <w:sz w:val="24"/>
          <w:szCs w:val="24"/>
        </w:rPr>
        <w:t>). When determining this in interlocutory proceedings, the Courts apply a two-stage test: (a) that the beneficiary could not honestly have believed in the validity of its demand under the guarantee and (b) that the bank knew of the fraud at the time the beneficiary made the demand. It must be seriously arguable on the material available that the only realistic inference is that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could not honestly have believed in the validity of its demand under the guarantee.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correct test is stated in </w:t>
      </w:r>
      <w:r>
        <w:rPr>
          <w:rStyle w:val="Emphasis"/>
          <w:rFonts w:ascii="Times New Roman" w:hAnsi="Times New Roman" w:cs="Times New Roman"/>
          <w:sz w:val="24"/>
          <w:szCs w:val="24"/>
        </w:rPr>
        <w:t>United Trading Corporation S.A. v. Allied Arab Bank Ltd</w:t>
      </w:r>
      <w:r>
        <w:rPr>
          <w:rFonts w:ascii="Times New Roman" w:hAnsi="Times New Roman" w:cs="Times New Roman"/>
          <w:sz w:val="24"/>
          <w:szCs w:val="24"/>
        </w:rPr>
        <w:t> </w:t>
      </w:r>
      <w:r>
        <w:rPr>
          <w:rFonts w:ascii="Times New Roman" w:hAnsi="Times New Roman" w:cs="Times New Roman"/>
          <w:i/>
          <w:sz w:val="24"/>
          <w:szCs w:val="24"/>
        </w:rPr>
        <w:t>[1985] 2 Lloyd</w:t>
      </w:r>
      <w:r w:rsidR="00EE77A0">
        <w:rPr>
          <w:rFonts w:ascii="Times New Roman" w:hAnsi="Times New Roman" w:cs="Times New Roman"/>
          <w:i/>
          <w:sz w:val="24"/>
          <w:szCs w:val="24"/>
        </w:rPr>
        <w:t>’</w:t>
      </w:r>
      <w:r>
        <w:rPr>
          <w:rFonts w:ascii="Times New Roman" w:hAnsi="Times New Roman" w:cs="Times New Roman"/>
          <w:i/>
          <w:sz w:val="24"/>
          <w:szCs w:val="24"/>
        </w:rPr>
        <w:t>s Rep 554</w:t>
      </w:r>
      <w:r>
        <w:rPr>
          <w:rFonts w:ascii="Times New Roman" w:hAnsi="Times New Roman" w:cs="Times New Roman"/>
          <w:sz w:val="24"/>
          <w:szCs w:val="24"/>
        </w:rPr>
        <w:t xml:space="preserve">, namely; whether it is seriously arguable that, on the material available, the only </w:t>
      </w:r>
      <w:r>
        <w:rPr>
          <w:rFonts w:ascii="Times New Roman" w:hAnsi="Times New Roman" w:cs="Times New Roman"/>
          <w:sz w:val="24"/>
          <w:szCs w:val="24"/>
        </w:rPr>
        <w:lastRenderedPageBreak/>
        <w:t>realistic inference is that the beneficiary could not honestly have believed in the validity of its demands and that the bank was aware of that fact. To successfully rely on fraud, a party has to go further and show that the beneficiary made the call, in bad faith, knowing it to be incorrect. If a beneficiary makes a false representation without actual knowledge that it is false, but with no honest belief in its truth, this too could constitute a fraud in terms of the fraud exception. This is because fraud connotes the absence of an honest belief in either the entitlement to claim under the guarantee or in the amount claimed.</w:t>
      </w:r>
    </w:p>
    <w:p w:rsidR="00115BF7" w:rsidRDefault="00115BF7" w:rsidP="00115BF7">
      <w:pPr>
        <w:spacing w:line="360" w:lineRule="auto"/>
        <w:contextualSpacing/>
        <w:jc w:val="both"/>
        <w:rPr>
          <w:rFonts w:ascii="Times New Roman" w:hAnsi="Times New Roman" w:cs="Times New Roman"/>
          <w:sz w:val="24"/>
          <w:szCs w:val="24"/>
        </w:rPr>
      </w:pPr>
    </w:p>
    <w:p w:rsidR="00115BF7" w:rsidRDefault="00F04F2B"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restraining order</w:t>
      </w:r>
      <w:r w:rsidR="00115BF7">
        <w:rPr>
          <w:rFonts w:ascii="Times New Roman" w:hAnsi="Times New Roman" w:cs="Times New Roman"/>
          <w:sz w:val="24"/>
          <w:szCs w:val="24"/>
        </w:rPr>
        <w:t xml:space="preserve"> will be granted where, for the purpose of drawing on the guarantee, the beneficiary fraudulently presents to the bank documents that contain, expressly or by implication, material representations of fact that to his knowledge are untrue (see </w:t>
      </w:r>
      <w:r w:rsidR="00115BF7">
        <w:rPr>
          <w:rFonts w:ascii="Times New Roman" w:hAnsi="Times New Roman" w:cs="Times New Roman"/>
          <w:i/>
          <w:sz w:val="24"/>
          <w:szCs w:val="24"/>
        </w:rPr>
        <w:t>United City Merchants (Investments) Ltd. v. Royal Bank of Canada, [1983] 1 A.C. 168 at 183</w:t>
      </w:r>
      <w:r w:rsidR="00115BF7">
        <w:rPr>
          <w:rFonts w:ascii="Times New Roman" w:hAnsi="Times New Roman" w:cs="Times New Roman"/>
          <w:sz w:val="24"/>
          <w:szCs w:val="24"/>
        </w:rPr>
        <w:t>). A material fraudulent misrepresentation occurs where the beneficiary makes a false statement or representation, knowing the representation to be false, or without belief in its truth; or recklessly, careless whether it be true or false.</w:t>
      </w:r>
      <w:r w:rsidR="00115BF7">
        <w:t xml:space="preserve"> </w:t>
      </w:r>
      <w:r w:rsidR="00115BF7">
        <w:rPr>
          <w:rFonts w:ascii="Times New Roman" w:hAnsi="Times New Roman" w:cs="Times New Roman"/>
          <w:sz w:val="24"/>
          <w:szCs w:val="24"/>
        </w:rPr>
        <w:t>The word “material” means “material to the bank</w:t>
      </w:r>
      <w:r w:rsidR="00EE77A0">
        <w:rPr>
          <w:rFonts w:ascii="Times New Roman" w:hAnsi="Times New Roman" w:cs="Times New Roman"/>
          <w:sz w:val="24"/>
          <w:szCs w:val="24"/>
        </w:rPr>
        <w:t>’</w:t>
      </w:r>
      <w:r w:rsidR="00115BF7">
        <w:rPr>
          <w:rFonts w:ascii="Times New Roman" w:hAnsi="Times New Roman" w:cs="Times New Roman"/>
          <w:sz w:val="24"/>
          <w:szCs w:val="24"/>
        </w:rPr>
        <w:t xml:space="preserve">s duty to pay, so that if the document stated the truth the bank would be obliged to reject the document.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Demanding payment in the knowledge of the absence of material entitlement, constitutes fraud. There must be no honest belief in the validity of a demand for the fraud exception to apply (see </w:t>
      </w:r>
      <w:r>
        <w:rPr>
          <w:rFonts w:ascii="Times New Roman" w:hAnsi="Times New Roman" w:cs="Times New Roman"/>
          <w:i/>
          <w:sz w:val="24"/>
          <w:szCs w:val="24"/>
        </w:rPr>
        <w:t>Uzinterimpex JSC v. Standard Bank plc [2007] 2 Lloyd</w:t>
      </w:r>
      <w:r w:rsidR="00EE77A0">
        <w:rPr>
          <w:rFonts w:ascii="Times New Roman" w:hAnsi="Times New Roman" w:cs="Times New Roman"/>
          <w:i/>
          <w:sz w:val="24"/>
          <w:szCs w:val="24"/>
        </w:rPr>
        <w:t>’</w:t>
      </w:r>
      <w:r>
        <w:rPr>
          <w:rFonts w:ascii="Times New Roman" w:hAnsi="Times New Roman" w:cs="Times New Roman"/>
          <w:i/>
          <w:sz w:val="24"/>
          <w:szCs w:val="24"/>
        </w:rPr>
        <w:t>s Rep 187 para 107;</w:t>
      </w:r>
      <w:r>
        <w:rPr>
          <w:rFonts w:ascii="Times New Roman" w:hAnsi="Times New Roman" w:cs="Times New Roman"/>
          <w:sz w:val="24"/>
          <w:szCs w:val="24"/>
        </w:rPr>
        <w:t xml:space="preserve"> </w:t>
      </w:r>
      <w:r>
        <w:rPr>
          <w:rFonts w:ascii="Times New Roman" w:hAnsi="Times New Roman" w:cs="Times New Roman"/>
          <w:i/>
          <w:sz w:val="24"/>
          <w:szCs w:val="24"/>
        </w:rPr>
        <w:t>Intraco Ltd v. Notis Shipping Corporation (The Bhoja Trader) [1981] 2 Lloyd</w:t>
      </w:r>
      <w:r w:rsidR="00EE77A0">
        <w:rPr>
          <w:rFonts w:ascii="Times New Roman" w:hAnsi="Times New Roman" w:cs="Times New Roman"/>
          <w:i/>
          <w:sz w:val="24"/>
          <w:szCs w:val="24"/>
        </w:rPr>
        <w:t>’</w:t>
      </w:r>
      <w:r>
        <w:rPr>
          <w:rFonts w:ascii="Times New Roman" w:hAnsi="Times New Roman" w:cs="Times New Roman"/>
          <w:i/>
          <w:sz w:val="24"/>
          <w:szCs w:val="24"/>
        </w:rPr>
        <w:t xml:space="preserve">s Rep 256 </w:t>
      </w:r>
      <w:r>
        <w:rPr>
          <w:rFonts w:ascii="Times New Roman" w:hAnsi="Times New Roman" w:cs="Times New Roman"/>
          <w:sz w:val="24"/>
          <w:szCs w:val="24"/>
        </w:rPr>
        <w:t xml:space="preserve">and </w:t>
      </w:r>
      <w:r>
        <w:rPr>
          <w:rFonts w:ascii="Times New Roman" w:hAnsi="Times New Roman" w:cs="Times New Roman"/>
          <w:i/>
          <w:sz w:val="24"/>
          <w:szCs w:val="24"/>
        </w:rPr>
        <w:t>National Infrastructure Development Co Ltd v. Banco Santander SA [2016] EWHC 2990 Comm para 11</w:t>
      </w:r>
      <w:r>
        <w:rPr>
          <w:rFonts w:ascii="Times New Roman" w:hAnsi="Times New Roman" w:cs="Times New Roman"/>
          <w:sz w:val="24"/>
          <w:szCs w:val="24"/>
        </w:rPr>
        <w:t>). The fraud must be clearly illustrated, or it must be the only realistic inference that may be drawn from the available circumstantial evidence. Conduct whereby the beneficiary</w:t>
      </w:r>
      <w:r w:rsidR="00EE77A0">
        <w:rPr>
          <w:rFonts w:ascii="Times New Roman" w:hAnsi="Times New Roman" w:cs="Times New Roman"/>
          <w:sz w:val="24"/>
          <w:szCs w:val="24"/>
        </w:rPr>
        <w:t>’</w:t>
      </w:r>
      <w:r>
        <w:rPr>
          <w:rFonts w:ascii="Times New Roman" w:hAnsi="Times New Roman" w:cs="Times New Roman"/>
          <w:sz w:val="24"/>
          <w:szCs w:val="24"/>
        </w:rPr>
        <w:t xml:space="preserve">s submission of the demand rests on statements of fact which, to its own positive knowledge, are incorrect or contain misrepresentations, may translate into fraud. </w:t>
      </w:r>
    </w:p>
    <w:p w:rsidR="00115BF7" w:rsidRDefault="00115BF7"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Advance payment guarantees manage the risk of the contractor</w:t>
      </w:r>
      <w:r w:rsidR="00EE77A0">
        <w:rPr>
          <w:rFonts w:ascii="Times New Roman" w:hAnsi="Times New Roman" w:cs="Times New Roman"/>
          <w:sz w:val="24"/>
          <w:szCs w:val="24"/>
        </w:rPr>
        <w:t>’</w:t>
      </w:r>
      <w:r>
        <w:rPr>
          <w:rFonts w:ascii="Times New Roman" w:hAnsi="Times New Roman" w:cs="Times New Roman"/>
          <w:sz w:val="24"/>
          <w:szCs w:val="24"/>
        </w:rPr>
        <w:t>s failure to earn the whole of any advance payment from the employer by failing to provide services to an equivalent value. The failure may result from the contractor</w:t>
      </w:r>
      <w:r w:rsidR="00EE77A0">
        <w:rPr>
          <w:rFonts w:ascii="Times New Roman" w:hAnsi="Times New Roman" w:cs="Times New Roman"/>
          <w:sz w:val="24"/>
          <w:szCs w:val="24"/>
        </w:rPr>
        <w:t>’</w:t>
      </w:r>
      <w:r>
        <w:rPr>
          <w:rFonts w:ascii="Times New Roman" w:hAnsi="Times New Roman" w:cs="Times New Roman"/>
          <w:sz w:val="24"/>
          <w:szCs w:val="24"/>
        </w:rPr>
        <w:t>s insolvency, fraud or default through using the advance payment for another purpose. Such guarantees</w:t>
      </w:r>
      <w:r w:rsidR="00EE77A0">
        <w:rPr>
          <w:rFonts w:ascii="Times New Roman" w:hAnsi="Times New Roman" w:cs="Times New Roman"/>
          <w:sz w:val="24"/>
          <w:szCs w:val="24"/>
        </w:rPr>
        <w:t xml:space="preserve"> </w:t>
      </w:r>
      <w:r>
        <w:rPr>
          <w:rFonts w:ascii="Times New Roman" w:hAnsi="Times New Roman" w:cs="Times New Roman"/>
          <w:sz w:val="24"/>
          <w:szCs w:val="24"/>
        </w:rPr>
        <w:t xml:space="preserve">usually contain a reduction clause, </w:t>
      </w:r>
      <w:r w:rsidR="00DE06C0">
        <w:rPr>
          <w:rFonts w:ascii="Times New Roman" w:hAnsi="Times New Roman" w:cs="Times New Roman"/>
          <w:sz w:val="24"/>
          <w:szCs w:val="24"/>
        </w:rPr>
        <w:t xml:space="preserve">just as the one </w:t>
      </w:r>
      <w:r w:rsidR="00DE06C0">
        <w:rPr>
          <w:rFonts w:ascii="Times New Roman" w:hAnsi="Times New Roman" w:cs="Times New Roman"/>
          <w:sz w:val="24"/>
          <w:szCs w:val="24"/>
        </w:rPr>
        <w:lastRenderedPageBreak/>
        <w:t xml:space="preserve">now in issue does, </w:t>
      </w:r>
      <w:r>
        <w:rPr>
          <w:rFonts w:ascii="Times New Roman" w:hAnsi="Times New Roman" w:cs="Times New Roman"/>
          <w:sz w:val="24"/>
          <w:szCs w:val="24"/>
        </w:rPr>
        <w:t xml:space="preserve">whereby the amount of the guaranteed reduces in accordance with monthly certificates until the certified value of work done exceeds the advance payment. It appears that in this case by the time the contract was terminated, the applicant had </w:t>
      </w:r>
      <w:r w:rsidR="00EE77A0">
        <w:rPr>
          <w:rFonts w:ascii="Times New Roman" w:hAnsi="Times New Roman" w:cs="Times New Roman"/>
          <w:sz w:val="24"/>
          <w:szCs w:val="24"/>
        </w:rPr>
        <w:t xml:space="preserve">not </w:t>
      </w:r>
      <w:r w:rsidR="00DE06C0">
        <w:rPr>
          <w:rFonts w:ascii="Times New Roman" w:hAnsi="Times New Roman" w:cs="Times New Roman"/>
          <w:sz w:val="24"/>
          <w:szCs w:val="24"/>
        </w:rPr>
        <w:t>mobilised equipment</w:t>
      </w:r>
      <w:r>
        <w:rPr>
          <w:rFonts w:ascii="Times New Roman" w:hAnsi="Times New Roman" w:cs="Times New Roman"/>
          <w:sz w:val="24"/>
          <w:szCs w:val="24"/>
        </w:rPr>
        <w:t xml:space="preserve"> of a value </w:t>
      </w:r>
      <w:r w:rsidR="00EE77A0">
        <w:rPr>
          <w:rFonts w:ascii="Times New Roman" w:hAnsi="Times New Roman" w:cs="Times New Roman"/>
          <w:sz w:val="24"/>
          <w:szCs w:val="24"/>
        </w:rPr>
        <w:t>that</w:t>
      </w:r>
      <w:r>
        <w:rPr>
          <w:rFonts w:ascii="Times New Roman" w:hAnsi="Times New Roman" w:cs="Times New Roman"/>
          <w:sz w:val="24"/>
          <w:szCs w:val="24"/>
        </w:rPr>
        <w:t xml:space="preserve"> </w:t>
      </w:r>
      <w:r w:rsidR="00EE77A0">
        <w:rPr>
          <w:rFonts w:ascii="Times New Roman" w:hAnsi="Times New Roman" w:cs="Times New Roman"/>
          <w:sz w:val="24"/>
          <w:szCs w:val="24"/>
        </w:rPr>
        <w:t xml:space="preserve">equalled or </w:t>
      </w:r>
      <w:r>
        <w:rPr>
          <w:rFonts w:ascii="Times New Roman" w:hAnsi="Times New Roman" w:cs="Times New Roman"/>
          <w:sz w:val="24"/>
          <w:szCs w:val="24"/>
        </w:rPr>
        <w:t xml:space="preserve">exceeded that </w:t>
      </w:r>
      <w:r w:rsidR="00EE77A0">
        <w:rPr>
          <w:rFonts w:ascii="Times New Roman" w:hAnsi="Times New Roman" w:cs="Times New Roman"/>
          <w:sz w:val="24"/>
          <w:szCs w:val="24"/>
        </w:rPr>
        <w:t>of</w:t>
      </w:r>
      <w:r>
        <w:rPr>
          <w:rFonts w:ascii="Times New Roman" w:hAnsi="Times New Roman" w:cs="Times New Roman"/>
          <w:sz w:val="24"/>
          <w:szCs w:val="24"/>
        </w:rPr>
        <w:t xml:space="preserve"> the advance payment guarantee, so as to effectively discharge it.   </w:t>
      </w:r>
    </w:p>
    <w:p w:rsidR="00115BF7" w:rsidRDefault="00115BF7" w:rsidP="00115BF7">
      <w:pPr>
        <w:spacing w:line="360" w:lineRule="auto"/>
        <w:contextualSpacing/>
        <w:jc w:val="both"/>
        <w:rPr>
          <w:rFonts w:ascii="Times New Roman" w:hAnsi="Times New Roman" w:cs="Times New Roman"/>
          <w:sz w:val="24"/>
          <w:szCs w:val="24"/>
        </w:rPr>
      </w:pPr>
    </w:p>
    <w:p w:rsidR="00EE77A0"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aside, a demand guarantee will always have an expiration date, which the beneficiary must respect. The right to invoke the guarantee is only for a default of the contractor which occurs during the validity period of the bank guarantee (see </w:t>
      </w:r>
      <w:r>
        <w:rPr>
          <w:rFonts w:ascii="Times New Roman" w:hAnsi="Times New Roman" w:cs="Times New Roman"/>
          <w:i/>
          <w:iCs/>
          <w:sz w:val="24"/>
          <w:szCs w:val="24"/>
        </w:rPr>
        <w:t>Yuanda (UK) Co Ltd v. Multiplex Construction Europe Ltd (formerly known as Brookfield Multiplex Construction Europe Ltd) &amp; Anor [2020] EWHC 468 (TCC</w:t>
      </w:r>
      <w:r>
        <w:rPr>
          <w:rFonts w:ascii="Times New Roman" w:hAnsi="Times New Roman" w:cs="Times New Roman"/>
          <w:sz w:val="24"/>
          <w:szCs w:val="24"/>
        </w:rPr>
        <w:t>). The claim period is a contractually agreed period of time between the beneficiary and the contractor which provides a grace period beyond the validity period to make a demand on the guarantor for a default which has occurred during the validity period. A claim period may or may not exist in the guarantee. Unless a call under the guarantee is filed before the date of expiry, all the beneficiary</w:t>
      </w:r>
      <w:r w:rsidR="00EE77A0">
        <w:rPr>
          <w:rFonts w:ascii="Times New Roman" w:hAnsi="Times New Roman" w:cs="Times New Roman"/>
          <w:sz w:val="24"/>
          <w:szCs w:val="24"/>
        </w:rPr>
        <w:t>’</w:t>
      </w:r>
      <w:r>
        <w:rPr>
          <w:rFonts w:ascii="Times New Roman" w:hAnsi="Times New Roman" w:cs="Times New Roman"/>
          <w:sz w:val="24"/>
          <w:szCs w:val="24"/>
        </w:rPr>
        <w:t xml:space="preserve">s rights under the said guarantee are forfeited and the guarantor is relieved and discharged from all liability thereunder. </w:t>
      </w:r>
    </w:p>
    <w:p w:rsidR="00EE77A0" w:rsidRDefault="00EE77A0" w:rsidP="00115BF7">
      <w:pPr>
        <w:spacing w:line="360" w:lineRule="auto"/>
        <w:contextualSpacing/>
        <w:jc w:val="both"/>
        <w:rPr>
          <w:rFonts w:ascii="Times New Roman" w:hAnsi="Times New Roman" w:cs="Times New Roman"/>
          <w:sz w:val="24"/>
          <w:szCs w:val="24"/>
        </w:rPr>
      </w:pPr>
    </w:p>
    <w:p w:rsidR="00115BF7" w:rsidRDefault="00115BF7" w:rsidP="00115B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Considering that the advance payment guarantee expired on </w:t>
      </w:r>
      <w:r w:rsidR="003D5C04">
        <w:rPr>
          <w:rFonts w:ascii="Times New Roman" w:hAnsi="Times New Roman" w:cs="Times New Roman"/>
          <w:sz w:val="24"/>
          <w:szCs w:val="24"/>
        </w:rPr>
        <w:t>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December, 202</w:t>
      </w:r>
      <w:r w:rsidR="003D5C04">
        <w:rPr>
          <w:rFonts w:ascii="Times New Roman" w:hAnsi="Times New Roman" w:cs="Times New Roman"/>
          <w:sz w:val="24"/>
          <w:szCs w:val="24"/>
        </w:rPr>
        <w:t>2</w:t>
      </w:r>
      <w:r>
        <w:rPr>
          <w:rFonts w:ascii="Times New Roman" w:hAnsi="Times New Roman" w:cs="Times New Roman"/>
          <w:sz w:val="24"/>
          <w:szCs w:val="24"/>
        </w:rPr>
        <w:t>, the</w:t>
      </w:r>
      <w:r w:rsidR="003D5C04">
        <w:rPr>
          <w:rFonts w:ascii="Times New Roman" w:hAnsi="Times New Roman" w:cs="Times New Roman"/>
          <w:sz w:val="24"/>
          <w:szCs w:val="24"/>
        </w:rPr>
        <w:t>re is no evidence to show that the</w:t>
      </w:r>
      <w:r>
        <w:rPr>
          <w:rFonts w:ascii="Times New Roman" w:hAnsi="Times New Roman" w:cs="Times New Roman"/>
          <w:sz w:val="24"/>
          <w:szCs w:val="24"/>
        </w:rPr>
        <w:t xml:space="preserve"> respondent could not honestly have believed in the validity of its demand when it made a call based on that guarantee</w:t>
      </w:r>
      <w:r w:rsidR="003D5C04">
        <w:rPr>
          <w:rFonts w:ascii="Times New Roman" w:hAnsi="Times New Roman" w:cs="Times New Roman"/>
          <w:sz w:val="24"/>
          <w:szCs w:val="24"/>
        </w:rPr>
        <w:t xml:space="preserve"> on 18</w:t>
      </w:r>
      <w:r w:rsidR="003D5C04" w:rsidRPr="003D5C04">
        <w:rPr>
          <w:rFonts w:ascii="Times New Roman" w:hAnsi="Times New Roman" w:cs="Times New Roman"/>
          <w:sz w:val="24"/>
          <w:szCs w:val="24"/>
          <w:vertAlign w:val="superscript"/>
        </w:rPr>
        <w:t>th</w:t>
      </w:r>
      <w:r w:rsidR="003D5C04">
        <w:rPr>
          <w:rFonts w:ascii="Times New Roman" w:hAnsi="Times New Roman" w:cs="Times New Roman"/>
          <w:sz w:val="24"/>
          <w:szCs w:val="24"/>
        </w:rPr>
        <w:t xml:space="preserve"> January, 2022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applicant has not satisfied this requirement as well. </w:t>
      </w:r>
    </w:p>
    <w:p w:rsidR="00115BF7" w:rsidRDefault="00115BF7" w:rsidP="00115BF7">
      <w:pPr>
        <w:spacing w:line="360" w:lineRule="auto"/>
        <w:contextualSpacing/>
        <w:jc w:val="both"/>
        <w:rPr>
          <w:rFonts w:ascii="Times New Roman" w:eastAsia="Times New Roman" w:hAnsi="Times New Roman" w:cs="Times New Roman"/>
          <w:sz w:val="24"/>
          <w:szCs w:val="24"/>
        </w:rPr>
      </w:pPr>
    </w:p>
    <w:p w:rsidR="00115BF7" w:rsidRDefault="00115BF7" w:rsidP="00115BF7">
      <w:pPr>
        <w:pStyle w:val="ListParagraph"/>
        <w:numPr>
          <w:ilvl w:val="0"/>
          <w:numId w:val="33"/>
        </w:num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u w:val="single"/>
        </w:rPr>
        <w:t>Whether the 2</w:t>
      </w:r>
      <w:r>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respond knew of the fraud at the time the </w:t>
      </w: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 xml:space="preserve"> respondent</w:t>
      </w:r>
      <w:r>
        <w:rPr>
          <w:rFonts w:ascii="Times New Roman" w:hAnsi="Times New Roman" w:cs="Times New Roman"/>
          <w:sz w:val="24"/>
          <w:szCs w:val="24"/>
          <w:u w:val="single"/>
        </w:rPr>
        <w:t xml:space="preserve"> sought payment under the guarantee</w:t>
      </w:r>
      <w:r>
        <w:rPr>
          <w:rFonts w:ascii="Times New Roman" w:hAnsi="Times New Roman" w:cs="Times New Roman"/>
          <w:sz w:val="24"/>
          <w:szCs w:val="24"/>
        </w:rPr>
        <w:t xml:space="preserve">. </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It is necessary that at the time of the calling of the guarantee, the guarantor should have notice of the fraud. Moreover, such fact of notice along with its evidence has to be averred in the application.</w:t>
      </w:r>
      <w:r>
        <w:t xml:space="preserve"> </w:t>
      </w:r>
      <w:r>
        <w:rPr>
          <w:rFonts w:ascii="Times New Roman" w:eastAsiaTheme="minorEastAsia" w:hAnsi="Times New Roman" w:cs="Times New Roman"/>
          <w:sz w:val="24"/>
          <w:szCs w:val="24"/>
          <w:lang w:eastAsia="en-GB"/>
        </w:rPr>
        <w:t xml:space="preserve">A guarantor should not pay where a fraud by the beneficiary of the guarantee has been sufficiently brought to its knowledge before payment or demonstrated to a court called on by the beneficiary to issue an interlocutory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to restrain the guarantor from honouring the draft (see </w:t>
      </w:r>
      <w:r>
        <w:rPr>
          <w:rFonts w:ascii="Times New Roman" w:eastAsiaTheme="minorEastAsia" w:hAnsi="Times New Roman" w:cs="Times New Roman"/>
          <w:i/>
          <w:sz w:val="24"/>
          <w:szCs w:val="24"/>
          <w:lang w:eastAsia="en-GB"/>
        </w:rPr>
        <w:t>Bank of Nova Scotia v. Angelica-Whitewear Ltd [1987] 1 SCR 59</w:t>
      </w:r>
      <w:r>
        <w:rPr>
          <w:rFonts w:ascii="Times New Roman" w:eastAsiaTheme="minorEastAsia" w:hAnsi="Times New Roman" w:cs="Times New Roman"/>
          <w:sz w:val="24"/>
          <w:szCs w:val="24"/>
          <w:lang w:eastAsia="en-GB"/>
        </w:rPr>
        <w:t xml:space="preserve">). In the instant case, having </w:t>
      </w:r>
      <w:r>
        <w:rPr>
          <w:rFonts w:ascii="Times New Roman" w:eastAsiaTheme="minorEastAsia" w:hAnsi="Times New Roman" w:cs="Times New Roman"/>
          <w:sz w:val="24"/>
          <w:szCs w:val="24"/>
          <w:lang w:eastAsia="en-GB"/>
        </w:rPr>
        <w:lastRenderedPageBreak/>
        <w:t xml:space="preserve">found that the applicant has not established a strong </w:t>
      </w:r>
      <w:r>
        <w:rPr>
          <w:rFonts w:ascii="Times New Roman" w:eastAsiaTheme="minorEastAsia" w:hAnsi="Times New Roman" w:cs="Times New Roman"/>
          <w:i/>
          <w:sz w:val="24"/>
          <w:szCs w:val="24"/>
          <w:lang w:eastAsia="en-GB"/>
        </w:rPr>
        <w:t>prima facie</w:t>
      </w:r>
      <w:r>
        <w:rPr>
          <w:rFonts w:ascii="Times New Roman" w:eastAsiaTheme="minorEastAsia" w:hAnsi="Times New Roman" w:cs="Times New Roman"/>
          <w:sz w:val="24"/>
          <w:szCs w:val="24"/>
          <w:lang w:eastAsia="en-GB"/>
        </w:rPr>
        <w:t xml:space="preserve"> case of manifest fraud, or that </w:t>
      </w:r>
      <w:r>
        <w:rPr>
          <w:rFonts w:ascii="Times New Roman" w:hAnsi="Times New Roman" w:cs="Times New Roman"/>
          <w:sz w:val="24"/>
          <w:szCs w:val="24"/>
        </w:rPr>
        <w:t>the guarantee was called upon with absolutely no basis in fact</w:t>
      </w:r>
      <w:r>
        <w:rPr>
          <w:rFonts w:ascii="Times New Roman" w:eastAsiaTheme="minorEastAsia" w:hAnsi="Times New Roman" w:cs="Times New Roman"/>
          <w:sz w:val="24"/>
          <w:szCs w:val="24"/>
          <w:lang w:eastAsia="en-GB"/>
        </w:rPr>
        <w:t xml:space="preserve">, this element does not arise at all. </w:t>
      </w:r>
    </w:p>
    <w:p w:rsidR="00A37381" w:rsidRDefault="00A37381"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pStyle w:val="ListParagraph"/>
        <w:numPr>
          <w:ilvl w:val="0"/>
          <w:numId w:val="32"/>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Balance of convenience (whether the threatened injury to the applicant outweighs the threatened harm the </w:t>
      </w:r>
      <w:r w:rsidR="00732083">
        <w:rPr>
          <w:rFonts w:ascii="Times New Roman" w:eastAsiaTheme="minorEastAsia" w:hAnsi="Times New Roman" w:cs="Times New Roman"/>
          <w:sz w:val="24"/>
          <w:szCs w:val="24"/>
          <w:u w:val="single"/>
          <w:lang w:eastAsia="en-GB"/>
        </w:rPr>
        <w:t>restraining order</w:t>
      </w:r>
      <w:r>
        <w:rPr>
          <w:rFonts w:ascii="Times New Roman" w:eastAsiaTheme="minorEastAsia" w:hAnsi="Times New Roman" w:cs="Times New Roman"/>
          <w:sz w:val="24"/>
          <w:szCs w:val="24"/>
          <w:u w:val="single"/>
          <w:lang w:eastAsia="en-GB"/>
        </w:rPr>
        <w:t xml:space="preserve"> might inflict on the respondents)</w:t>
      </w:r>
      <w:r>
        <w:rPr>
          <w:rFonts w:ascii="Times New Roman" w:eastAsiaTheme="minorEastAsia" w:hAnsi="Times New Roman" w:cs="Times New Roman"/>
          <w:sz w:val="24"/>
          <w:szCs w:val="24"/>
          <w:lang w:eastAsia="en-GB"/>
        </w:rPr>
        <w:t>.</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When the court is in doubt considering the outcome of its consideration of the first two factors, the third part of the test involves the court assessing which of the parties would suffer greater harm from the granting or refusal of the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pending arbitration. Unless the material available to the court at the hearing of the application for an interlocutory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fails to disclose that the applicant has any real prospect of succeeding in his or her claim at the arbitration, the court should go on to consider whether the balance of convenience lies in favour of granting or refusing the interlocutory relief that is sought. </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This part of the test is referred to as the “balance of convenience.” Balance of convenience means comparative mischief or inconvenience that may be caused to the either party in the event of refusal or grant of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It is necessary to assess the harm to the applicant if there is no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and the prejudice or harm to the respondent if </w:t>
      </w:r>
      <w:r w:rsidR="00F04F2B">
        <w:rPr>
          <w:rFonts w:ascii="Times New Roman" w:eastAsiaTheme="minorEastAsia" w:hAnsi="Times New Roman" w:cs="Times New Roman"/>
          <w:sz w:val="24"/>
          <w:szCs w:val="24"/>
          <w:lang w:eastAsia="en-GB"/>
        </w:rPr>
        <w:t>a restraining order</w:t>
      </w:r>
      <w:r>
        <w:rPr>
          <w:rFonts w:ascii="Times New Roman" w:eastAsiaTheme="minorEastAsia" w:hAnsi="Times New Roman" w:cs="Times New Roman"/>
          <w:sz w:val="24"/>
          <w:szCs w:val="24"/>
          <w:lang w:eastAsia="en-GB"/>
        </w:rPr>
        <w:t xml:space="preserve"> is imposed. The courts examine a variety of factors, including the harm likely to be suffered by both parties from the granting or refusal of the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xml:space="preserve">, and the current </w:t>
      </w:r>
      <w:r>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as at the time of the </w:t>
      </w:r>
      <w:r w:rsidR="009C6CA5">
        <w:rPr>
          <w:rFonts w:ascii="Times New Roman" w:eastAsiaTheme="minorEastAsia" w:hAnsi="Times New Roman" w:cs="Times New Roman"/>
          <w:sz w:val="24"/>
          <w:szCs w:val="24"/>
          <w:lang w:eastAsia="en-GB"/>
        </w:rPr>
        <w:t>restraining order</w:t>
      </w:r>
      <w:r>
        <w:rPr>
          <w:rFonts w:ascii="Times New Roman" w:eastAsiaTheme="minorEastAsia" w:hAnsi="Times New Roman" w:cs="Times New Roman"/>
          <w:sz w:val="24"/>
          <w:szCs w:val="24"/>
          <w:lang w:eastAsia="en-GB"/>
        </w:rPr>
        <w:t>. The court should then take whichever course appears to carry the lower risk of injustice if it should turn out to have been “wrong.”</w:t>
      </w:r>
      <w:r>
        <w:t xml:space="preserve"> </w:t>
      </w:r>
      <w:r>
        <w:rPr>
          <w:rFonts w:ascii="Times New Roman" w:eastAsiaTheme="minorEastAsia" w:hAnsi="Times New Roman" w:cs="Times New Roman"/>
          <w:sz w:val="24"/>
          <w:szCs w:val="24"/>
          <w:lang w:eastAsia="en-GB"/>
        </w:rPr>
        <w:t>It is thus necessary to weigh in the balance of convenience the public interest as well as the interest of the parties.</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r>
        <w:rPr>
          <w:rStyle w:val="field-content"/>
          <w:rFonts w:ascii="Times New Roman" w:hAnsi="Times New Roman" w:cs="Times New Roman"/>
          <w:sz w:val="24"/>
          <w:szCs w:val="24"/>
        </w:rPr>
        <w:t xml:space="preserve">The Court has the duty to balance or weigh the scales of justice by ensuring that the arbitration is not rendered nugatory while at the same time ensuring that a respondent is not impeded from the pursuit of his or her contractual rights. No doubt it would be wrong to grant a an injunctive interim protective measure pending disposal of the arbitration where the claim is frivolous or where such order would inflict greater hardship than it would avoid. </w:t>
      </w:r>
      <w:r>
        <w:rPr>
          <w:rFonts w:ascii="Times New Roman" w:eastAsiaTheme="minorEastAsia" w:hAnsi="Times New Roman" w:cs="Times New Roman"/>
          <w:sz w:val="24"/>
          <w:szCs w:val="24"/>
          <w:lang w:eastAsia="en-GB"/>
        </w:rPr>
        <w:t xml:space="preserve"> Save in the simplest cases, the decision to grant or to refuse an </w:t>
      </w:r>
      <w:r>
        <w:rPr>
          <w:rStyle w:val="field-content"/>
          <w:rFonts w:ascii="Times New Roman" w:hAnsi="Times New Roman" w:cs="Times New Roman"/>
          <w:sz w:val="24"/>
          <w:szCs w:val="24"/>
        </w:rPr>
        <w:t>injunctive interim protective measure</w:t>
      </w:r>
      <w:r>
        <w:rPr>
          <w:rFonts w:ascii="Times New Roman" w:eastAsiaTheme="minorEastAsia" w:hAnsi="Times New Roman" w:cs="Times New Roman"/>
          <w:sz w:val="24"/>
          <w:szCs w:val="24"/>
          <w:lang w:eastAsia="en-GB"/>
        </w:rPr>
        <w:t xml:space="preserve"> will cause to whichever party is unsuccessful on the application, some disadvantages which his or her ultimate success at the </w:t>
      </w:r>
      <w:r>
        <w:rPr>
          <w:rFonts w:ascii="Times New Roman" w:eastAsiaTheme="minorEastAsia" w:hAnsi="Times New Roman" w:cs="Times New Roman"/>
          <w:sz w:val="24"/>
          <w:szCs w:val="24"/>
          <w:lang w:eastAsia="en-GB"/>
        </w:rPr>
        <w:lastRenderedPageBreak/>
        <w:t>arbitration may show he or she ought to have been spared and the disadvantages may be such that the recovery of damages to which he or she would then be entitled would not be sufficient to compensate him or her fully for all of them.</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extent to which the disadvantages to each party would be incapable of being compensated in damages in the event of his or her succeeding at the arbitration is always a significant factor in assessing where the balance of convenience lies. The governing principle is that the court should first consider whether if the applicant were to succeed at the arbitration in establishing his or her right to a permanent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he or she would be adequately compensated by an award of damages for the loss he or she would have sustained as a result of the respondent</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continuing to do what was sought to be enjoined between the time of the application and the time of the arbitration. If damages in the measure recoverable at common law would be adequate remedy and the respondent would be in a financial position to pay them, no interlocutory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should normally be granted, however strong the applicant</w:t>
      </w:r>
      <w:r w:rsidR="00EE7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claim appears to be at this stage.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 the other hand, damages would not provide an adequate remedy for the applicant in the event of his succeeding at the arbitration, the court should then consider whether, on the contrary hypothesis that the respondent were to succeed at the arbitration in establishing his right to do that which was sought to be enjoined, he would be adequately compensated by the applicant for the loss he or she would have sustained by being prevented from doing so between the time of the application and the time of the arbitration. If damages would be an adequate remedy and the applicant would be in a financial position to pay them, there would be no reason upon this ground to refuse an interlocutory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w:t>
      </w:r>
    </w:p>
    <w:p w:rsidR="00115BF7" w:rsidRDefault="00115BF7" w:rsidP="00115BF7">
      <w:pPr>
        <w:spacing w:line="360" w:lineRule="auto"/>
        <w:contextualSpacing/>
        <w:jc w:val="both"/>
        <w:rPr>
          <w:rFonts w:ascii="Times New Roman" w:eastAsiaTheme="minorEastAsia" w:hAnsi="Times New Roman" w:cs="Times New Roman"/>
          <w:sz w:val="24"/>
          <w:szCs w:val="24"/>
          <w:lang w:eastAsia="en-GB"/>
        </w:rPr>
      </w:pPr>
    </w:p>
    <w:p w:rsidR="00115BF7" w:rsidRDefault="00115BF7" w:rsidP="00115B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a party is able to establish the fraud exception, it still faces an insuperable difficulty, in that it will have an adequate remedy against the bank in damages if it pays despite being on notice of fraud. By contrast,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might cause greater damage to the bank than the party seeking the </w:t>
      </w:r>
      <w:r w:rsidR="009C6CA5">
        <w:rPr>
          <w:rFonts w:ascii="Times New Roman" w:eastAsia="Times New Roman" w:hAnsi="Times New Roman" w:cs="Times New Roman"/>
          <w:sz w:val="24"/>
          <w:szCs w:val="24"/>
        </w:rPr>
        <w:t>restraining order</w:t>
      </w:r>
      <w:r>
        <w:rPr>
          <w:rFonts w:ascii="Times New Roman" w:eastAsia="Times New Roman" w:hAnsi="Times New Roman" w:cs="Times New Roman"/>
          <w:sz w:val="24"/>
          <w:szCs w:val="24"/>
        </w:rPr>
        <w:t xml:space="preserve"> could pay on their undertaking as to damages. In these circumstances, the balance of convenience will almost always be in favour of allowing the bank to pay. The balance of convenience will almost always militate against the grant of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The reasons for this disinclination become readily understandable when one contrasts the uncertainty </w:t>
      </w:r>
      <w:r>
        <w:rPr>
          <w:rFonts w:ascii="Times New Roman" w:eastAsia="Times New Roman" w:hAnsi="Times New Roman" w:cs="Times New Roman"/>
          <w:sz w:val="24"/>
          <w:szCs w:val="24"/>
        </w:rPr>
        <w:lastRenderedPageBreak/>
        <w:t>in which a court finds itself with respect to the merits at the interlocutory stage, with the sometimes far</w:t>
      </w:r>
      <w:r>
        <w:rPr>
          <w:rFonts w:ascii="Times New Roman" w:eastAsia="Times New Roman" w:hAnsi="Times New Roman" w:cs="Times New Roman"/>
          <w:sz w:val="24"/>
          <w:szCs w:val="24"/>
        </w:rPr>
        <w:noBreakHyphen/>
        <w:t xml:space="preserve">reaching albeit temporary practical consequences of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not only for the parties to the arbitration but also for the public at large. </w:t>
      </w:r>
    </w:p>
    <w:p w:rsidR="00115BF7" w:rsidRDefault="00115BF7" w:rsidP="00115BF7">
      <w:pPr>
        <w:spacing w:after="0" w:line="360" w:lineRule="auto"/>
        <w:jc w:val="both"/>
        <w:rPr>
          <w:rFonts w:ascii="Times New Roman" w:eastAsia="Times New Roman" w:hAnsi="Times New Roman" w:cs="Times New Roman"/>
          <w:sz w:val="24"/>
          <w:szCs w:val="24"/>
        </w:rPr>
      </w:pPr>
    </w:p>
    <w:p w:rsidR="00115BF7" w:rsidRDefault="00115BF7" w:rsidP="00115BF7">
      <w:p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 xml:space="preserve">In the instant case </w:t>
      </w:r>
      <w:r w:rsidR="00F04F2B">
        <w:rPr>
          <w:rFonts w:ascii="Times New Roman" w:eastAsia="Times New Roman" w:hAnsi="Times New Roman" w:cs="Times New Roman"/>
          <w:sz w:val="24"/>
          <w:szCs w:val="24"/>
        </w:rPr>
        <w:t>a restraining order</w:t>
      </w:r>
      <w:r>
        <w:rPr>
          <w:rFonts w:ascii="Times New Roman" w:eastAsia="Times New Roman" w:hAnsi="Times New Roman" w:cs="Times New Roman"/>
          <w:sz w:val="24"/>
          <w:szCs w:val="24"/>
        </w:rPr>
        <w:t xml:space="preserve"> would have the effect of providing the applicant with the entire relief that is sought in the arbitration itself, which may not be undone by an award favourable to respondent on the merits.</w:t>
      </w:r>
      <w:r>
        <w:rPr>
          <w:rFonts w:ascii="Times New Roman" w:eastAsiaTheme="minorEastAsia" w:hAnsi="Times New Roman" w:cs="Times New Roman"/>
          <w:sz w:val="24"/>
          <w:szCs w:val="24"/>
          <w:lang w:eastAsia="en-GB"/>
        </w:rPr>
        <w:t xml:space="preserve"> On the other hand, the guarantee was issued on the understanding that if the applicant </w:t>
      </w:r>
      <w:r w:rsidR="003533EB">
        <w:rPr>
          <w:rFonts w:ascii="Times New Roman" w:eastAsiaTheme="minorEastAsia" w:hAnsi="Times New Roman" w:cs="Times New Roman"/>
          <w:sz w:val="24"/>
          <w:szCs w:val="24"/>
          <w:lang w:eastAsia="en-GB"/>
        </w:rPr>
        <w:t xml:space="preserve">used </w:t>
      </w:r>
      <w:r w:rsidR="00C15885">
        <w:rPr>
          <w:rFonts w:ascii="Times New Roman" w:eastAsiaTheme="minorEastAsia" w:hAnsi="Times New Roman" w:cs="Times New Roman"/>
          <w:sz w:val="24"/>
          <w:szCs w:val="24"/>
          <w:lang w:eastAsia="en-GB"/>
        </w:rPr>
        <w:t xml:space="preserve">the advance payment for purposes other than the costs of mobilisation in respect of the works or failed to repay the advance payment in accordance with the contract conditions, </w:t>
      </w:r>
      <w:r>
        <w:rPr>
          <w:rFonts w:ascii="Times New Roman" w:eastAsiaTheme="minorEastAsia" w:hAnsi="Times New Roman" w:cs="Times New Roman"/>
          <w:sz w:val="24"/>
          <w:szCs w:val="24"/>
          <w:lang w:eastAsia="en-GB"/>
        </w:rPr>
        <w:t xml:space="preserve">then it would be </w:t>
      </w:r>
      <w:r w:rsidR="00C15885">
        <w:rPr>
          <w:rFonts w:ascii="Times New Roman" w:eastAsiaTheme="minorEastAsia" w:hAnsi="Times New Roman" w:cs="Times New Roman"/>
          <w:sz w:val="24"/>
          <w:szCs w:val="24"/>
          <w:lang w:eastAsia="en-GB"/>
        </w:rPr>
        <w:t>the applicant</w:t>
      </w:r>
      <w:r>
        <w:rPr>
          <w:rFonts w:ascii="Times New Roman" w:eastAsiaTheme="minorEastAsia" w:hAnsi="Times New Roman" w:cs="Times New Roman"/>
          <w:sz w:val="24"/>
          <w:szCs w:val="24"/>
          <w:lang w:eastAsia="en-GB"/>
        </w:rPr>
        <w:t xml:space="preserve"> as guarantor</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obligation to perform the principal</w:t>
      </w:r>
      <w:r w:rsidR="00EE77A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task. The performance guarantee serves as a risk management tool for the beneficiary, as the guarantor assumes liability for financing the completion of the contract to the limit of the guarantee, should the contractor default on its contractual obligations.</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115BF7" w:rsidRDefault="00115BF7" w:rsidP="00115BF7">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Secondly, a</w:t>
      </w:r>
      <w:r w:rsidR="00C15885">
        <w:rPr>
          <w:rFonts w:ascii="Times New Roman" w:eastAsiaTheme="minorEastAsia" w:hAnsi="Times New Roman" w:cs="Times New Roman"/>
          <w:sz w:val="24"/>
          <w:szCs w:val="24"/>
          <w:lang w:eastAsia="en-GB"/>
        </w:rPr>
        <w:t xml:space="preserve">n advance </w:t>
      </w:r>
      <w:r>
        <w:rPr>
          <w:rFonts w:ascii="Times New Roman" w:eastAsiaTheme="minorEastAsia" w:hAnsi="Times New Roman" w:cs="Times New Roman"/>
          <w:sz w:val="24"/>
          <w:szCs w:val="24"/>
          <w:lang w:eastAsia="en-GB"/>
        </w:rPr>
        <w:t>guarantee serves as an agreed allocation of risk as to which of the parties is to be out of pocket pending resolution of the dispute about breach of the underlying contract (see</w:t>
      </w:r>
      <w:r>
        <w:rPr>
          <w:rFonts w:ascii="Times New Roman" w:hAnsi="Times New Roman" w:cs="Times New Roman"/>
          <w:sz w:val="24"/>
          <w:szCs w:val="24"/>
        </w:rPr>
        <w:t xml:space="preserve"> </w:t>
      </w:r>
      <w:r>
        <w:rPr>
          <w:rFonts w:ascii="Times New Roman" w:eastAsiaTheme="minorEastAsia" w:hAnsi="Times New Roman" w:cs="Times New Roman"/>
          <w:i/>
          <w:iCs/>
          <w:sz w:val="24"/>
          <w:szCs w:val="24"/>
          <w:lang w:eastAsia="en-GB"/>
        </w:rPr>
        <w:t>Clough Engineering Ltd v. Oil &amp; Natural Gas Corp Ltd (2008) 249 ALR 458</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i/>
          <w:iCs/>
          <w:sz w:val="24"/>
          <w:szCs w:val="24"/>
          <w:lang w:eastAsia="en-GB"/>
        </w:rPr>
        <w:t>Fletcher Construction Australia Ltd v. Varnsdorf Pty Ltd [1998] 3 VR 812, 826</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i/>
          <w:iCs/>
          <w:sz w:val="24"/>
          <w:szCs w:val="24"/>
          <w:lang w:eastAsia="en-GB"/>
        </w:rPr>
        <w:t>Marcon Pty Ltd v. Kerman Contracting Pty Ltd [2015] WASCA 7</w:t>
      </w:r>
      <w:r>
        <w:rPr>
          <w:rFonts w:ascii="Times New Roman" w:eastAsiaTheme="minorEastAsia" w:hAnsi="Times New Roman" w:cs="Times New Roman"/>
          <w:sz w:val="24"/>
          <w:szCs w:val="24"/>
          <w:lang w:eastAsia="en-GB"/>
        </w:rPr>
        <w:t xml:space="preserve"> and </w:t>
      </w:r>
      <w:r>
        <w:rPr>
          <w:rFonts w:ascii="Times New Roman" w:eastAsiaTheme="minorEastAsia" w:hAnsi="Times New Roman" w:cs="Times New Roman"/>
          <w:i/>
          <w:iCs/>
          <w:sz w:val="24"/>
          <w:szCs w:val="24"/>
          <w:lang w:eastAsia="en-GB"/>
        </w:rPr>
        <w:t>Sugar Australia Pty Ltd v. Lend Lease Services Pty Ltd [2015] VSCA 98</w:t>
      </w:r>
      <w:r>
        <w:rPr>
          <w:rFonts w:ascii="Times New Roman" w:eastAsiaTheme="minorEastAsia" w:hAnsi="Times New Roman" w:cs="Times New Roman"/>
          <w:sz w:val="24"/>
          <w:szCs w:val="24"/>
          <w:lang w:eastAsia="en-GB"/>
        </w:rPr>
        <w:t>).</w:t>
      </w:r>
      <w:r>
        <w:rPr>
          <w:rFonts w:ascii="Times New Roman" w:hAnsi="Times New Roman" w:cs="Times New Roman"/>
          <w:sz w:val="24"/>
          <w:szCs w:val="24"/>
        </w:rPr>
        <w:t xml:space="preserve"> It </w:t>
      </w:r>
      <w:r>
        <w:rPr>
          <w:rFonts w:ascii="Times New Roman" w:eastAsiaTheme="minorEastAsia" w:hAnsi="Times New Roman" w:cs="Times New Roman"/>
          <w:sz w:val="24"/>
          <w:szCs w:val="24"/>
          <w:lang w:eastAsia="en-GB"/>
        </w:rPr>
        <w:t xml:space="preserve">is a promise by the guarantor that it will pay to the beneficiary named in the guarantee an amount up to the limit set out there in unconditionally or on specified conditions, without reference to the terms of the contract between the parties. </w:t>
      </w:r>
    </w:p>
    <w:p w:rsidR="009B6169" w:rsidRDefault="009B6169" w:rsidP="00115BF7">
      <w:pPr>
        <w:spacing w:after="0" w:line="360" w:lineRule="auto"/>
        <w:jc w:val="both"/>
        <w:rPr>
          <w:rFonts w:ascii="Times New Roman" w:eastAsiaTheme="minorEastAsia" w:hAnsi="Times New Roman" w:cs="Times New Roman"/>
          <w:sz w:val="24"/>
          <w:szCs w:val="24"/>
          <w:lang w:eastAsia="en-GB"/>
        </w:rPr>
      </w:pPr>
    </w:p>
    <w:p w:rsidR="009B6169" w:rsidRDefault="009B6169" w:rsidP="00115BF7">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Thirdly, </w:t>
      </w:r>
      <w:r w:rsidR="00EA336B" w:rsidRPr="00EA336B">
        <w:rPr>
          <w:rFonts w:ascii="Times New Roman" w:eastAsiaTheme="minorEastAsia" w:hAnsi="Times New Roman" w:cs="Times New Roman"/>
          <w:sz w:val="24"/>
          <w:szCs w:val="24"/>
          <w:lang w:eastAsia="en-GB"/>
        </w:rPr>
        <w:t xml:space="preserve">in considering whether or not to grant an interlocutory </w:t>
      </w:r>
      <w:r w:rsidR="009C6CA5">
        <w:rPr>
          <w:rFonts w:ascii="Times New Roman" w:eastAsiaTheme="minorEastAsia" w:hAnsi="Times New Roman" w:cs="Times New Roman"/>
          <w:sz w:val="24"/>
          <w:szCs w:val="24"/>
          <w:lang w:eastAsia="en-GB"/>
        </w:rPr>
        <w:t>restraining order</w:t>
      </w:r>
      <w:r w:rsidR="00EA336B" w:rsidRPr="00EA336B">
        <w:rPr>
          <w:rFonts w:ascii="Times New Roman" w:eastAsiaTheme="minorEastAsia" w:hAnsi="Times New Roman" w:cs="Times New Roman"/>
          <w:sz w:val="24"/>
          <w:szCs w:val="24"/>
          <w:lang w:eastAsia="en-GB"/>
        </w:rPr>
        <w:t xml:space="preserve"> the judge ought not to give full weight to all the practical realities of the situation to which the </w:t>
      </w:r>
      <w:r w:rsidR="009C6CA5">
        <w:rPr>
          <w:rFonts w:ascii="Times New Roman" w:eastAsiaTheme="minorEastAsia" w:hAnsi="Times New Roman" w:cs="Times New Roman"/>
          <w:sz w:val="24"/>
          <w:szCs w:val="24"/>
          <w:lang w:eastAsia="en-GB"/>
        </w:rPr>
        <w:t>restraining order</w:t>
      </w:r>
      <w:r w:rsidR="00EA336B" w:rsidRPr="00EA336B">
        <w:rPr>
          <w:rFonts w:ascii="Times New Roman" w:eastAsiaTheme="minorEastAsia" w:hAnsi="Times New Roman" w:cs="Times New Roman"/>
          <w:sz w:val="24"/>
          <w:szCs w:val="24"/>
          <w:lang w:eastAsia="en-GB"/>
        </w:rPr>
        <w:t xml:space="preserve"> will apply</w:t>
      </w:r>
      <w:r w:rsidR="00EA336B">
        <w:rPr>
          <w:rFonts w:ascii="Times New Roman" w:eastAsiaTheme="minorEastAsia" w:hAnsi="Times New Roman" w:cs="Times New Roman"/>
          <w:sz w:val="24"/>
          <w:szCs w:val="24"/>
          <w:lang w:eastAsia="en-GB"/>
        </w:rPr>
        <w:t xml:space="preserve"> (see </w:t>
      </w:r>
      <w:r w:rsidR="00EA336B" w:rsidRPr="00EA336B">
        <w:rPr>
          <w:rFonts w:ascii="Times New Roman" w:eastAsiaTheme="minorEastAsia" w:hAnsi="Times New Roman" w:cs="Times New Roman"/>
          <w:i/>
          <w:iCs/>
          <w:sz w:val="24"/>
          <w:szCs w:val="24"/>
          <w:lang w:eastAsia="en-GB"/>
        </w:rPr>
        <w:t>NWL Ltd v. Woods [1979] 1 WLR 1294; [1979] 3 All ER 614</w:t>
      </w:r>
      <w:r w:rsidR="00EA336B">
        <w:rPr>
          <w:rFonts w:ascii="Times New Roman" w:eastAsiaTheme="minorEastAsia" w:hAnsi="Times New Roman" w:cs="Times New Roman"/>
          <w:sz w:val="24"/>
          <w:szCs w:val="24"/>
          <w:lang w:eastAsia="en-GB"/>
        </w:rPr>
        <w:t>)</w:t>
      </w:r>
      <w:r w:rsidR="00EA336B" w:rsidRPr="00EA336B">
        <w:rPr>
          <w:rFonts w:ascii="Times New Roman" w:eastAsiaTheme="minorEastAsia" w:hAnsi="Times New Roman" w:cs="Times New Roman"/>
          <w:sz w:val="24"/>
          <w:szCs w:val="24"/>
          <w:lang w:eastAsia="en-GB"/>
        </w:rPr>
        <w:t xml:space="preserve">. </w:t>
      </w:r>
      <w:r w:rsidR="00EA336B">
        <w:rPr>
          <w:rFonts w:ascii="Times New Roman" w:eastAsiaTheme="minorEastAsia" w:hAnsi="Times New Roman" w:cs="Times New Roman"/>
          <w:sz w:val="24"/>
          <w:szCs w:val="24"/>
          <w:lang w:eastAsia="en-GB"/>
        </w:rPr>
        <w:t>Consequently, C</w:t>
      </w:r>
      <w:r w:rsidR="00913A40">
        <w:rPr>
          <w:rFonts w:ascii="Times New Roman" w:eastAsiaTheme="minorEastAsia" w:hAnsi="Times New Roman" w:cs="Times New Roman"/>
          <w:sz w:val="24"/>
          <w:szCs w:val="24"/>
          <w:lang w:eastAsia="en-GB"/>
        </w:rPr>
        <w:t xml:space="preserve">ourts will grant restraining orders against termination of contracts in very exceptional cases. This is because </w:t>
      </w:r>
      <w:r w:rsidR="00243364">
        <w:rPr>
          <w:rFonts w:ascii="Times New Roman" w:eastAsiaTheme="minorEastAsia" w:hAnsi="Times New Roman" w:cs="Times New Roman"/>
          <w:sz w:val="24"/>
          <w:szCs w:val="24"/>
          <w:lang w:eastAsia="en-GB"/>
        </w:rPr>
        <w:t>a</w:t>
      </w:r>
      <w:r w:rsidR="00243364" w:rsidRPr="00243364">
        <w:rPr>
          <w:rFonts w:ascii="Times New Roman" w:eastAsiaTheme="minorEastAsia" w:hAnsi="Times New Roman" w:cs="Times New Roman"/>
          <w:sz w:val="24"/>
          <w:szCs w:val="24"/>
          <w:lang w:eastAsia="en-GB"/>
        </w:rPr>
        <w:t xml:space="preserve">n order preventing a termination is effectively an order requiring the </w:t>
      </w:r>
      <w:r w:rsidR="00243364">
        <w:rPr>
          <w:rFonts w:ascii="Times New Roman" w:eastAsiaTheme="minorEastAsia" w:hAnsi="Times New Roman" w:cs="Times New Roman"/>
          <w:sz w:val="24"/>
          <w:szCs w:val="24"/>
          <w:lang w:eastAsia="en-GB"/>
        </w:rPr>
        <w:t>party terminating</w:t>
      </w:r>
      <w:r w:rsidR="00243364" w:rsidRPr="00243364">
        <w:rPr>
          <w:rFonts w:ascii="Times New Roman" w:eastAsiaTheme="minorEastAsia" w:hAnsi="Times New Roman" w:cs="Times New Roman"/>
          <w:sz w:val="24"/>
          <w:szCs w:val="24"/>
          <w:lang w:eastAsia="en-GB"/>
        </w:rPr>
        <w:t xml:space="preserve"> to continue with performance of the contract</w:t>
      </w:r>
      <w:r w:rsidR="00243364">
        <w:rPr>
          <w:rFonts w:ascii="Times New Roman" w:eastAsiaTheme="minorEastAsia" w:hAnsi="Times New Roman" w:cs="Times New Roman"/>
          <w:sz w:val="24"/>
          <w:szCs w:val="24"/>
          <w:lang w:eastAsia="en-GB"/>
        </w:rPr>
        <w:t>.</w:t>
      </w:r>
      <w:r w:rsidR="00243364" w:rsidRPr="00243364">
        <w:rPr>
          <w:rFonts w:ascii="Times New Roman" w:eastAsiaTheme="minorEastAsia" w:hAnsi="Times New Roman" w:cs="Times New Roman"/>
          <w:sz w:val="24"/>
          <w:szCs w:val="24"/>
          <w:lang w:eastAsia="en-GB"/>
        </w:rPr>
        <w:t xml:space="preserve"> </w:t>
      </w:r>
      <w:r w:rsidR="00243364">
        <w:rPr>
          <w:rFonts w:ascii="Times New Roman" w:eastAsiaTheme="minorEastAsia" w:hAnsi="Times New Roman" w:cs="Times New Roman"/>
          <w:sz w:val="24"/>
          <w:szCs w:val="24"/>
          <w:lang w:eastAsia="en-GB"/>
        </w:rPr>
        <w:t>T</w:t>
      </w:r>
      <w:r w:rsidR="00913A40" w:rsidRPr="00913A40">
        <w:rPr>
          <w:rFonts w:ascii="Times New Roman" w:eastAsiaTheme="minorEastAsia" w:hAnsi="Times New Roman" w:cs="Times New Roman"/>
          <w:sz w:val="24"/>
          <w:szCs w:val="24"/>
          <w:lang w:eastAsia="en-GB"/>
        </w:rPr>
        <w:t xml:space="preserve">he effect of </w:t>
      </w:r>
      <w:r w:rsidR="00FA62F2" w:rsidRPr="00913A40">
        <w:rPr>
          <w:rFonts w:ascii="Times New Roman" w:eastAsiaTheme="minorEastAsia" w:hAnsi="Times New Roman" w:cs="Times New Roman"/>
          <w:sz w:val="24"/>
          <w:szCs w:val="24"/>
          <w:lang w:eastAsia="en-GB"/>
        </w:rPr>
        <w:t>a</w:t>
      </w:r>
      <w:r w:rsidR="00913A40" w:rsidRPr="00913A40">
        <w:rPr>
          <w:rFonts w:ascii="Times New Roman" w:eastAsiaTheme="minorEastAsia" w:hAnsi="Times New Roman" w:cs="Times New Roman"/>
          <w:sz w:val="24"/>
          <w:szCs w:val="24"/>
          <w:lang w:eastAsia="en-GB"/>
        </w:rPr>
        <w:t xml:space="preserve"> </w:t>
      </w:r>
      <w:r w:rsidR="009C6CA5">
        <w:rPr>
          <w:rFonts w:ascii="Times New Roman" w:eastAsiaTheme="minorEastAsia" w:hAnsi="Times New Roman" w:cs="Times New Roman"/>
          <w:sz w:val="24"/>
          <w:szCs w:val="24"/>
          <w:lang w:eastAsia="en-GB"/>
        </w:rPr>
        <w:t>restraining order</w:t>
      </w:r>
      <w:r w:rsidR="00913A40" w:rsidRPr="00913A40">
        <w:rPr>
          <w:rFonts w:ascii="Times New Roman" w:eastAsiaTheme="minorEastAsia" w:hAnsi="Times New Roman" w:cs="Times New Roman"/>
          <w:sz w:val="24"/>
          <w:szCs w:val="24"/>
          <w:lang w:eastAsia="en-GB"/>
        </w:rPr>
        <w:t xml:space="preserve"> to </w:t>
      </w:r>
      <w:r w:rsidR="00FA62F2">
        <w:rPr>
          <w:rFonts w:ascii="Times New Roman" w:eastAsiaTheme="minorEastAsia" w:hAnsi="Times New Roman" w:cs="Times New Roman"/>
          <w:sz w:val="24"/>
          <w:szCs w:val="24"/>
          <w:lang w:eastAsia="en-GB"/>
        </w:rPr>
        <w:t>prevent</w:t>
      </w:r>
      <w:r w:rsidR="00913A40" w:rsidRPr="00913A40">
        <w:rPr>
          <w:rFonts w:ascii="Times New Roman" w:eastAsiaTheme="minorEastAsia" w:hAnsi="Times New Roman" w:cs="Times New Roman"/>
          <w:sz w:val="24"/>
          <w:szCs w:val="24"/>
          <w:lang w:eastAsia="en-GB"/>
        </w:rPr>
        <w:t xml:space="preserve"> termination would be in effect to require two parties who have fallen out with each other and one of whom has lost confidence in the other to continue to work together in circumstances where they </w:t>
      </w:r>
      <w:r w:rsidR="00913A40" w:rsidRPr="00913A40">
        <w:rPr>
          <w:rFonts w:ascii="Times New Roman" w:eastAsiaTheme="minorEastAsia" w:hAnsi="Times New Roman" w:cs="Times New Roman"/>
          <w:sz w:val="24"/>
          <w:szCs w:val="24"/>
          <w:lang w:eastAsia="en-GB"/>
        </w:rPr>
        <w:lastRenderedPageBreak/>
        <w:t>have a sophisticated contract which purports to provide commercial solutions and remedies when a lawful or unlawful termination occurs.</w:t>
      </w:r>
      <w:r w:rsidR="00913A40">
        <w:rPr>
          <w:rFonts w:ascii="Times New Roman" w:eastAsiaTheme="minorEastAsia" w:hAnsi="Times New Roman" w:cs="Times New Roman"/>
          <w:sz w:val="24"/>
          <w:szCs w:val="24"/>
          <w:lang w:eastAsia="en-GB"/>
        </w:rPr>
        <w:t xml:space="preserve"> </w:t>
      </w:r>
      <w:r w:rsidR="00DE1157" w:rsidRPr="00DE1157">
        <w:rPr>
          <w:rFonts w:ascii="Times New Roman" w:eastAsiaTheme="minorEastAsia" w:hAnsi="Times New Roman" w:cs="Times New Roman"/>
          <w:sz w:val="24"/>
          <w:szCs w:val="24"/>
          <w:lang w:eastAsia="en-GB"/>
        </w:rPr>
        <w:t xml:space="preserve">Construction contracts consist of a wide variety of rights and obligations on each party and the courts will not police compliance with such wide-ranging provisions. </w:t>
      </w:r>
      <w:r w:rsidR="001554C0">
        <w:rPr>
          <w:rFonts w:ascii="Times New Roman" w:eastAsiaTheme="minorEastAsia" w:hAnsi="Times New Roman" w:cs="Times New Roman"/>
          <w:sz w:val="24"/>
          <w:szCs w:val="24"/>
          <w:lang w:eastAsia="en-GB"/>
        </w:rPr>
        <w:t xml:space="preserve">The Courts do not consider it </w:t>
      </w:r>
      <w:r w:rsidR="001554C0" w:rsidRPr="001554C0">
        <w:rPr>
          <w:rFonts w:ascii="Times New Roman" w:eastAsiaTheme="minorEastAsia" w:hAnsi="Times New Roman" w:cs="Times New Roman"/>
          <w:sz w:val="24"/>
          <w:szCs w:val="24"/>
          <w:lang w:eastAsia="en-GB"/>
        </w:rPr>
        <w:t>unjust that a party is confined to the recovery of such damages as the contract, which it has entered into freely, permits it to recover</w:t>
      </w:r>
      <w:r w:rsidR="001554C0">
        <w:rPr>
          <w:rFonts w:ascii="Times New Roman" w:eastAsiaTheme="minorEastAsia" w:hAnsi="Times New Roman" w:cs="Times New Roman"/>
          <w:sz w:val="24"/>
          <w:szCs w:val="24"/>
          <w:lang w:eastAsia="en-GB"/>
        </w:rPr>
        <w:t xml:space="preserve">, rather than granting restraining orders. </w:t>
      </w:r>
    </w:p>
    <w:p w:rsidR="002036B4" w:rsidRDefault="002036B4" w:rsidP="00115BF7">
      <w:pPr>
        <w:spacing w:after="0" w:line="360" w:lineRule="auto"/>
        <w:jc w:val="both"/>
        <w:rPr>
          <w:rFonts w:ascii="Times New Roman" w:eastAsiaTheme="minorEastAsia" w:hAnsi="Times New Roman" w:cs="Times New Roman"/>
          <w:sz w:val="24"/>
          <w:szCs w:val="24"/>
          <w:lang w:eastAsia="en-GB"/>
        </w:rPr>
      </w:pPr>
    </w:p>
    <w:p w:rsidR="009B6169" w:rsidRDefault="00913A40" w:rsidP="009B616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For </w:t>
      </w:r>
      <w:r w:rsidR="001554C0">
        <w:rPr>
          <w:rFonts w:ascii="Times New Roman" w:eastAsiaTheme="minorEastAsia" w:hAnsi="Times New Roman" w:cs="Times New Roman"/>
          <w:sz w:val="24"/>
          <w:szCs w:val="24"/>
          <w:lang w:eastAsia="en-GB"/>
        </w:rPr>
        <w:t>example,</w:t>
      </w:r>
      <w:r>
        <w:rPr>
          <w:rFonts w:ascii="Times New Roman" w:eastAsiaTheme="minorEastAsia" w:hAnsi="Times New Roman" w:cs="Times New Roman"/>
          <w:sz w:val="24"/>
          <w:szCs w:val="24"/>
          <w:lang w:eastAsia="en-GB"/>
        </w:rPr>
        <w:t xml:space="preserve"> i</w:t>
      </w:r>
      <w:r w:rsidR="009B6169">
        <w:rPr>
          <w:rFonts w:ascii="Times New Roman" w:eastAsiaTheme="minorEastAsia" w:hAnsi="Times New Roman" w:cs="Times New Roman"/>
          <w:sz w:val="24"/>
          <w:szCs w:val="24"/>
          <w:lang w:eastAsia="en-GB"/>
        </w:rPr>
        <w:t xml:space="preserve">n </w:t>
      </w:r>
      <w:r w:rsidR="009B6169" w:rsidRPr="002036B4">
        <w:rPr>
          <w:rFonts w:ascii="Times New Roman" w:eastAsiaTheme="minorEastAsia" w:hAnsi="Times New Roman" w:cs="Times New Roman"/>
          <w:i/>
          <w:iCs/>
          <w:sz w:val="24"/>
          <w:szCs w:val="24"/>
          <w:lang w:eastAsia="en-GB"/>
        </w:rPr>
        <w:t>Ericsson AB v. EADS Defence and Security Systems Limited [2009] EWHC 2598</w:t>
      </w:r>
      <w:r w:rsidR="009B6169">
        <w:rPr>
          <w:rFonts w:ascii="Times New Roman" w:eastAsiaTheme="minorEastAsia" w:hAnsi="Times New Roman" w:cs="Times New Roman"/>
          <w:sz w:val="24"/>
          <w:szCs w:val="24"/>
          <w:lang w:eastAsia="en-GB"/>
        </w:rPr>
        <w:t xml:space="preserve">, </w:t>
      </w:r>
      <w:r w:rsidR="009B6169" w:rsidRPr="009B6169">
        <w:rPr>
          <w:rFonts w:ascii="Times New Roman" w:eastAsiaTheme="minorEastAsia" w:hAnsi="Times New Roman" w:cs="Times New Roman"/>
          <w:sz w:val="24"/>
          <w:szCs w:val="24"/>
          <w:lang w:eastAsia="en-GB"/>
        </w:rPr>
        <w:t xml:space="preserve">There were two applications for </w:t>
      </w:r>
      <w:r w:rsidR="009C6CA5">
        <w:rPr>
          <w:rFonts w:ascii="Times New Roman" w:eastAsiaTheme="minorEastAsia" w:hAnsi="Times New Roman" w:cs="Times New Roman"/>
          <w:sz w:val="24"/>
          <w:szCs w:val="24"/>
          <w:lang w:eastAsia="en-GB"/>
        </w:rPr>
        <w:t>restraining order</w:t>
      </w:r>
      <w:r w:rsidR="009B6169" w:rsidRPr="009B6169">
        <w:rPr>
          <w:rFonts w:ascii="Times New Roman" w:eastAsiaTheme="minorEastAsia" w:hAnsi="Times New Roman" w:cs="Times New Roman"/>
          <w:sz w:val="24"/>
          <w:szCs w:val="24"/>
          <w:lang w:eastAsia="en-GB"/>
        </w:rPr>
        <w:t>s before the court: Ericsson sought to prevent EADS from terminating the agreement between the parties before the adjudication and the EADS sought an order preventing Ericsson from taking any further steps in the adjudication and a declaration that any decision of the adjudicator would be invalid.</w:t>
      </w:r>
      <w:r w:rsidR="009B6169">
        <w:rPr>
          <w:rFonts w:ascii="Times New Roman" w:eastAsiaTheme="minorEastAsia" w:hAnsi="Times New Roman" w:cs="Times New Roman"/>
          <w:sz w:val="24"/>
          <w:szCs w:val="24"/>
          <w:lang w:eastAsia="en-GB"/>
        </w:rPr>
        <w:t xml:space="preserve"> </w:t>
      </w:r>
      <w:r w:rsidR="009B6169" w:rsidRPr="009B6169">
        <w:rPr>
          <w:rFonts w:ascii="Times New Roman" w:eastAsiaTheme="minorEastAsia" w:hAnsi="Times New Roman" w:cs="Times New Roman"/>
          <w:sz w:val="24"/>
          <w:szCs w:val="24"/>
          <w:lang w:eastAsia="en-GB"/>
        </w:rPr>
        <w:t xml:space="preserve">The Judge considered the test applicable to interim </w:t>
      </w:r>
      <w:r w:rsidR="009C6CA5">
        <w:rPr>
          <w:rFonts w:ascii="Times New Roman" w:eastAsiaTheme="minorEastAsia" w:hAnsi="Times New Roman" w:cs="Times New Roman"/>
          <w:sz w:val="24"/>
          <w:szCs w:val="24"/>
          <w:lang w:eastAsia="en-GB"/>
        </w:rPr>
        <w:t>restraining order</w:t>
      </w:r>
      <w:r w:rsidR="009B6169" w:rsidRPr="009B6169">
        <w:rPr>
          <w:rFonts w:ascii="Times New Roman" w:eastAsiaTheme="minorEastAsia" w:hAnsi="Times New Roman" w:cs="Times New Roman"/>
          <w:sz w:val="24"/>
          <w:szCs w:val="24"/>
          <w:lang w:eastAsia="en-GB"/>
        </w:rPr>
        <w:t xml:space="preserve">s. While Ericsson had a real prospect of success of obtaining the </w:t>
      </w:r>
      <w:r w:rsidR="009C6CA5">
        <w:rPr>
          <w:rFonts w:ascii="Times New Roman" w:eastAsiaTheme="minorEastAsia" w:hAnsi="Times New Roman" w:cs="Times New Roman"/>
          <w:sz w:val="24"/>
          <w:szCs w:val="24"/>
          <w:lang w:eastAsia="en-GB"/>
        </w:rPr>
        <w:t>restraining order</w:t>
      </w:r>
      <w:r w:rsidR="009B6169" w:rsidRPr="009B6169">
        <w:rPr>
          <w:rFonts w:ascii="Times New Roman" w:eastAsiaTheme="minorEastAsia" w:hAnsi="Times New Roman" w:cs="Times New Roman"/>
          <w:sz w:val="24"/>
          <w:szCs w:val="24"/>
          <w:lang w:eastAsia="en-GB"/>
        </w:rPr>
        <w:t xml:space="preserve"> at full trial the Court was not concerned with determining the final rights of the parties at this stage. He considered that damages would be an adequate remedy between two very substantial commercial parties that had freely negotiated their own contract. In addition, any damage to reputation that Ericsson may have suffered would be for a relatively limited duration.</w:t>
      </w:r>
      <w:r w:rsidR="009B6169">
        <w:rPr>
          <w:rFonts w:ascii="Times New Roman" w:eastAsiaTheme="minorEastAsia" w:hAnsi="Times New Roman" w:cs="Times New Roman"/>
          <w:sz w:val="24"/>
          <w:szCs w:val="24"/>
          <w:lang w:eastAsia="en-GB"/>
        </w:rPr>
        <w:t xml:space="preserve"> </w:t>
      </w:r>
      <w:r w:rsidR="009B6169" w:rsidRPr="009B6169">
        <w:rPr>
          <w:rFonts w:ascii="Times New Roman" w:eastAsiaTheme="minorEastAsia" w:hAnsi="Times New Roman" w:cs="Times New Roman"/>
          <w:sz w:val="24"/>
          <w:szCs w:val="24"/>
          <w:lang w:eastAsia="en-GB"/>
        </w:rPr>
        <w:t xml:space="preserve">Further, the contract provided that Ericsson could refer a matter to both mediation and adjudication. It stated that the parties “may” refer the matter to mediation or adjudication, not that it “shall” refer a dispute to one or the other. Ericsson could pursue remedies in adjudication even though they had sought such remedies via </w:t>
      </w:r>
      <w:r w:rsidR="002036B4" w:rsidRPr="009B6169">
        <w:rPr>
          <w:rFonts w:ascii="Times New Roman" w:eastAsiaTheme="minorEastAsia" w:hAnsi="Times New Roman" w:cs="Times New Roman"/>
          <w:sz w:val="24"/>
          <w:szCs w:val="24"/>
          <w:lang w:eastAsia="en-GB"/>
        </w:rPr>
        <w:t>mediation. Finally</w:t>
      </w:r>
      <w:r w:rsidR="009B6169" w:rsidRPr="009B6169">
        <w:rPr>
          <w:rFonts w:ascii="Times New Roman" w:eastAsiaTheme="minorEastAsia" w:hAnsi="Times New Roman" w:cs="Times New Roman"/>
          <w:sz w:val="24"/>
          <w:szCs w:val="24"/>
          <w:lang w:eastAsia="en-GB"/>
        </w:rPr>
        <w:t>, the contract as stated that adjudicators’ decisions shall be valid and enforceable by the court, subject to manifest error.</w:t>
      </w:r>
      <w:r w:rsidR="002036B4">
        <w:rPr>
          <w:rFonts w:ascii="Times New Roman" w:eastAsiaTheme="minorEastAsia" w:hAnsi="Times New Roman" w:cs="Times New Roman"/>
          <w:sz w:val="24"/>
          <w:szCs w:val="24"/>
          <w:lang w:eastAsia="en-GB"/>
        </w:rPr>
        <w:t xml:space="preserve"> </w:t>
      </w:r>
      <w:r w:rsidR="009B6169" w:rsidRPr="009B6169">
        <w:rPr>
          <w:rFonts w:ascii="Times New Roman" w:eastAsiaTheme="minorEastAsia" w:hAnsi="Times New Roman" w:cs="Times New Roman"/>
          <w:sz w:val="24"/>
          <w:szCs w:val="24"/>
          <w:lang w:eastAsia="en-GB"/>
        </w:rPr>
        <w:t>Both applications were dismissed</w:t>
      </w:r>
      <w:r w:rsidR="002036B4">
        <w:rPr>
          <w:rFonts w:ascii="Times New Roman" w:eastAsiaTheme="minorEastAsia" w:hAnsi="Times New Roman" w:cs="Times New Roman"/>
          <w:sz w:val="24"/>
          <w:szCs w:val="24"/>
          <w:lang w:eastAsia="en-GB"/>
        </w:rPr>
        <w:t xml:space="preserve">. </w:t>
      </w:r>
    </w:p>
    <w:p w:rsidR="001554C0" w:rsidRDefault="001554C0" w:rsidP="009B6169">
      <w:pPr>
        <w:spacing w:after="0" w:line="360" w:lineRule="auto"/>
        <w:jc w:val="both"/>
        <w:rPr>
          <w:rFonts w:ascii="Times New Roman" w:eastAsiaTheme="minorEastAsia" w:hAnsi="Times New Roman" w:cs="Times New Roman"/>
          <w:sz w:val="24"/>
          <w:szCs w:val="24"/>
          <w:lang w:eastAsia="en-GB"/>
        </w:rPr>
      </w:pPr>
    </w:p>
    <w:p w:rsidR="001554C0" w:rsidRDefault="001554C0" w:rsidP="009B6169">
      <w:pPr>
        <w:spacing w:after="0" w:line="360" w:lineRule="auto"/>
        <w:jc w:val="both"/>
        <w:rPr>
          <w:rFonts w:ascii="Times New Roman" w:eastAsiaTheme="minorEastAsia" w:hAnsi="Times New Roman" w:cs="Times New Roman"/>
          <w:sz w:val="24"/>
          <w:szCs w:val="24"/>
          <w:lang w:eastAsia="en-GB"/>
        </w:rPr>
      </w:pPr>
      <w:r w:rsidRPr="001554C0">
        <w:rPr>
          <w:rFonts w:ascii="Times New Roman" w:eastAsiaTheme="minorEastAsia" w:hAnsi="Times New Roman" w:cs="Times New Roman"/>
          <w:sz w:val="24"/>
          <w:szCs w:val="24"/>
          <w:lang w:eastAsia="en-GB"/>
        </w:rPr>
        <w:t xml:space="preserve">The fact that there </w:t>
      </w:r>
      <w:r w:rsidR="00891DC3">
        <w:rPr>
          <w:rFonts w:ascii="Times New Roman" w:eastAsiaTheme="minorEastAsia" w:hAnsi="Times New Roman" w:cs="Times New Roman"/>
          <w:sz w:val="24"/>
          <w:szCs w:val="24"/>
          <w:lang w:eastAsia="en-GB"/>
        </w:rPr>
        <w:t>is</w:t>
      </w:r>
      <w:r w:rsidRPr="001554C0">
        <w:rPr>
          <w:rFonts w:ascii="Times New Roman" w:eastAsiaTheme="minorEastAsia" w:hAnsi="Times New Roman" w:cs="Times New Roman"/>
          <w:sz w:val="24"/>
          <w:szCs w:val="24"/>
          <w:lang w:eastAsia="en-GB"/>
        </w:rPr>
        <w:t xml:space="preserve"> an agreed mediation and/or adjudication process in this particular contract d</w:t>
      </w:r>
      <w:r w:rsidR="00891DC3">
        <w:rPr>
          <w:rFonts w:ascii="Times New Roman" w:eastAsiaTheme="minorEastAsia" w:hAnsi="Times New Roman" w:cs="Times New Roman"/>
          <w:sz w:val="24"/>
          <w:szCs w:val="24"/>
          <w:lang w:eastAsia="en-GB"/>
        </w:rPr>
        <w:t>oes</w:t>
      </w:r>
      <w:r w:rsidRPr="001554C0">
        <w:rPr>
          <w:rFonts w:ascii="Times New Roman" w:eastAsiaTheme="minorEastAsia" w:hAnsi="Times New Roman" w:cs="Times New Roman"/>
          <w:sz w:val="24"/>
          <w:szCs w:val="24"/>
          <w:lang w:eastAsia="en-GB"/>
        </w:rPr>
        <w:t xml:space="preserve"> not serve to prevent the exercise of contractual rights such as the ability to terminate prior to the conclusion of the dispute resolution process. If the parties wished the dispute resolution process to have the effect of suspending or otherwise preventing a party from exercising such contractual rights, then very clear contractual wording would be needed in order to achieve this. </w:t>
      </w:r>
    </w:p>
    <w:p w:rsidR="00115BF7" w:rsidRDefault="00115BF7" w:rsidP="00115BF7">
      <w:pPr>
        <w:spacing w:after="0" w:line="360" w:lineRule="auto"/>
        <w:jc w:val="both"/>
        <w:rPr>
          <w:rFonts w:ascii="Times New Roman" w:eastAsiaTheme="minorEastAsia" w:hAnsi="Times New Roman" w:cs="Times New Roman"/>
          <w:sz w:val="24"/>
          <w:szCs w:val="24"/>
          <w:lang w:eastAsia="en-GB"/>
        </w:rPr>
      </w:pPr>
    </w:p>
    <w:p w:rsidR="008177CC" w:rsidRDefault="00115BF7" w:rsidP="00115BF7">
      <w:pPr>
        <w:spacing w:after="0" w:line="360" w:lineRule="auto"/>
        <w:jc w:val="both"/>
        <w:rPr>
          <w:rFonts w:ascii="Times New Roman" w:hAnsi="Times New Roman" w:cs="Times New Roman"/>
          <w:iCs/>
          <w:sz w:val="24"/>
          <w:szCs w:val="24"/>
        </w:rPr>
      </w:pPr>
      <w:r>
        <w:rPr>
          <w:rFonts w:ascii="Times New Roman" w:eastAsiaTheme="minorEastAsia" w:hAnsi="Times New Roman" w:cs="Times New Roman"/>
          <w:sz w:val="24"/>
          <w:szCs w:val="24"/>
          <w:lang w:eastAsia="en-GB"/>
        </w:rPr>
        <w:lastRenderedPageBreak/>
        <w:t xml:space="preserve">Although the beneficiary can claim under a guarantee in respect of any claims which have been notified to the guarantor on or before the expiry date but which have not been determined by the expiry date, claims under guarantees are often made immediately prior to the expiration date. This usually means that the beneficiary has one shot to make a complying presentation, and if the guarantor rightfully rejects the claim after the expiration date, the beneficiary has lost his rights to claim. I therefore find that the balance of convenience is in favour of not granting the interim measure of protection sought. </w:t>
      </w:r>
      <w:r>
        <w:rPr>
          <w:rFonts w:ascii="Times New Roman" w:hAnsi="Times New Roman" w:cs="Times New Roman"/>
          <w:sz w:val="24"/>
          <w:szCs w:val="24"/>
        </w:rPr>
        <w:t>The</w:t>
      </w:r>
      <w:r>
        <w:rPr>
          <w:rFonts w:ascii="Times New Roman" w:eastAsiaTheme="minorEastAsia" w:hAnsi="Times New Roman" w:cs="Times New Roman"/>
          <w:sz w:val="24"/>
          <w:szCs w:val="24"/>
          <w:lang w:eastAsia="en-GB"/>
        </w:rPr>
        <w:t xml:space="preserve"> application is accordingly dismissed with costs to the respondent</w:t>
      </w:r>
      <w:bookmarkEnd w:id="0"/>
      <w:r w:rsidR="00AF6897">
        <w:rPr>
          <w:rFonts w:ascii="Times New Roman" w:hAnsi="Times New Roman" w:cs="Times New Roman"/>
          <w:iCs/>
          <w:sz w:val="24"/>
          <w:szCs w:val="24"/>
        </w:rPr>
        <w:t xml:space="preserve">.  </w:t>
      </w:r>
    </w:p>
    <w:p w:rsidR="008177CC" w:rsidRDefault="008177CC" w:rsidP="000408A7">
      <w:pPr>
        <w:spacing w:after="0" w:line="360" w:lineRule="auto"/>
        <w:jc w:val="both"/>
        <w:rPr>
          <w:rFonts w:ascii="Times New Roman" w:hAnsi="Times New Roman" w:cs="Times New Roman"/>
          <w:iCs/>
          <w:sz w:val="24"/>
          <w:szCs w:val="24"/>
        </w:rPr>
      </w:pPr>
    </w:p>
    <w:p w:rsidR="002A6177" w:rsidRDefault="002A6177" w:rsidP="002A61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February, 2023</w:t>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rsidR="002A6177" w:rsidRDefault="002A6177" w:rsidP="002A61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2A6177" w:rsidRDefault="002A6177" w:rsidP="002A61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A106CE" w:rsidRDefault="002A6177" w:rsidP="002A617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color w:val="FF0000"/>
          <w:sz w:val="24"/>
          <w:szCs w:val="24"/>
        </w:rPr>
        <w:t xml:space="preserve"> </w:t>
      </w:r>
      <w:r>
        <w:rPr>
          <w:rFonts w:ascii="Times New Roman" w:hAnsi="Times New Roman" w:cs="Times New Roman"/>
          <w:sz w:val="24"/>
          <w:szCs w:val="24"/>
        </w:rPr>
        <w:t>February, 2023</w:t>
      </w:r>
      <w:r w:rsidR="00A106CE" w:rsidRPr="00DE6D05">
        <w:rPr>
          <w:rFonts w:ascii="Times New Roman" w:hAnsi="Times New Roman" w:cs="Times New Roman"/>
          <w:sz w:val="24"/>
          <w:szCs w:val="24"/>
        </w:rPr>
        <w:t>.</w:t>
      </w:r>
    </w:p>
    <w:sectPr w:rsidR="00A106CE"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7705" w:rsidRDefault="00947705" w:rsidP="007C1E6E">
      <w:pPr>
        <w:spacing w:after="0" w:line="240" w:lineRule="auto"/>
      </w:pPr>
      <w:r>
        <w:separator/>
      </w:r>
    </w:p>
  </w:endnote>
  <w:endnote w:type="continuationSeparator" w:id="0">
    <w:p w:rsidR="00947705" w:rsidRDefault="00947705"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2110"/>
      <w:docPartObj>
        <w:docPartGallery w:val="Page Numbers (Bottom of Page)"/>
        <w:docPartUnique/>
      </w:docPartObj>
    </w:sdtPr>
    <w:sdtContent>
      <w:p w:rsidR="00A75BDF" w:rsidRDefault="00041F70">
        <w:pPr>
          <w:pStyle w:val="Footer"/>
          <w:jc w:val="center"/>
        </w:pPr>
        <w:r>
          <w:fldChar w:fldCharType="begin"/>
        </w:r>
        <w:r w:rsidR="00487676">
          <w:instrText xml:space="preserve"> PAGE   \* MERGEFORMAT </w:instrText>
        </w:r>
        <w:r>
          <w:fldChar w:fldCharType="separate"/>
        </w:r>
        <w:r w:rsidR="009E169C">
          <w:rPr>
            <w:noProof/>
          </w:rPr>
          <w:t>1</w:t>
        </w:r>
        <w:r>
          <w:rPr>
            <w:noProof/>
          </w:rPr>
          <w:fldChar w:fldCharType="end"/>
        </w:r>
      </w:p>
    </w:sdtContent>
  </w:sdt>
  <w:p w:rsidR="00A75BDF" w:rsidRDefault="00A7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7705" w:rsidRDefault="00947705" w:rsidP="007C1E6E">
      <w:pPr>
        <w:spacing w:after="0" w:line="240" w:lineRule="auto"/>
      </w:pPr>
      <w:r>
        <w:separator/>
      </w:r>
    </w:p>
  </w:footnote>
  <w:footnote w:type="continuationSeparator" w:id="0">
    <w:p w:rsidR="00947705" w:rsidRDefault="00947705" w:rsidP="007C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0BF"/>
    <w:multiLevelType w:val="hybridMultilevel"/>
    <w:tmpl w:val="2B06F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F42D1"/>
    <w:multiLevelType w:val="hybridMultilevel"/>
    <w:tmpl w:val="2E8C15C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5"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062DFD"/>
    <w:multiLevelType w:val="hybridMultilevel"/>
    <w:tmpl w:val="AD08A5C2"/>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4"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2766DA"/>
    <w:multiLevelType w:val="hybridMultilevel"/>
    <w:tmpl w:val="0B74B674"/>
    <w:lvl w:ilvl="0" w:tplc="2000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3" w15:restartNumberingAfterBreak="0">
    <w:nsid w:val="79DE0848"/>
    <w:multiLevelType w:val="multilevel"/>
    <w:tmpl w:val="C17C2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29481661">
    <w:abstractNumId w:val="21"/>
  </w:num>
  <w:num w:numId="2" w16cid:durableId="1039433611">
    <w:abstractNumId w:val="17"/>
  </w:num>
  <w:num w:numId="3" w16cid:durableId="1887982324">
    <w:abstractNumId w:val="3"/>
  </w:num>
  <w:num w:numId="4" w16cid:durableId="1420253171">
    <w:abstractNumId w:val="16"/>
  </w:num>
  <w:num w:numId="5" w16cid:durableId="523596130">
    <w:abstractNumId w:val="25"/>
  </w:num>
  <w:num w:numId="6" w16cid:durableId="1462725199">
    <w:abstractNumId w:val="1"/>
  </w:num>
  <w:num w:numId="7" w16cid:durableId="1378241387">
    <w:abstractNumId w:val="30"/>
  </w:num>
  <w:num w:numId="8" w16cid:durableId="2122870185">
    <w:abstractNumId w:val="22"/>
  </w:num>
  <w:num w:numId="9" w16cid:durableId="1806657780">
    <w:abstractNumId w:val="13"/>
  </w:num>
  <w:num w:numId="10" w16cid:durableId="1202745126">
    <w:abstractNumId w:val="28"/>
  </w:num>
  <w:num w:numId="11" w16cid:durableId="1899897386">
    <w:abstractNumId w:val="12"/>
  </w:num>
  <w:num w:numId="12" w16cid:durableId="2077778481">
    <w:abstractNumId w:val="15"/>
  </w:num>
  <w:num w:numId="13" w16cid:durableId="726145506">
    <w:abstractNumId w:val="24"/>
  </w:num>
  <w:num w:numId="14" w16cid:durableId="1279340952">
    <w:abstractNumId w:val="14"/>
  </w:num>
  <w:num w:numId="15" w16cid:durableId="766195106">
    <w:abstractNumId w:val="9"/>
  </w:num>
  <w:num w:numId="16" w16cid:durableId="211576449">
    <w:abstractNumId w:val="2"/>
  </w:num>
  <w:num w:numId="17" w16cid:durableId="1240024117">
    <w:abstractNumId w:val="18"/>
  </w:num>
  <w:num w:numId="18" w16cid:durableId="456027000">
    <w:abstractNumId w:val="29"/>
  </w:num>
  <w:num w:numId="19" w16cid:durableId="859317140">
    <w:abstractNumId w:val="27"/>
  </w:num>
  <w:num w:numId="20" w16cid:durableId="587545767">
    <w:abstractNumId w:val="6"/>
  </w:num>
  <w:num w:numId="21" w16cid:durableId="1383168766">
    <w:abstractNumId w:val="5"/>
  </w:num>
  <w:num w:numId="22" w16cid:durableId="846674063">
    <w:abstractNumId w:val="31"/>
  </w:num>
  <w:num w:numId="23" w16cid:durableId="416634240">
    <w:abstractNumId w:val="19"/>
  </w:num>
  <w:num w:numId="24" w16cid:durableId="1165821055">
    <w:abstractNumId w:val="20"/>
  </w:num>
  <w:num w:numId="25" w16cid:durableId="739789026">
    <w:abstractNumId w:val="11"/>
  </w:num>
  <w:num w:numId="26" w16cid:durableId="2138598828">
    <w:abstractNumId w:val="7"/>
  </w:num>
  <w:num w:numId="27" w16cid:durableId="550463812">
    <w:abstractNumId w:val="0"/>
  </w:num>
  <w:num w:numId="28" w16cid:durableId="221642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1094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0377686">
    <w:abstractNumId w:val="4"/>
  </w:num>
  <w:num w:numId="31" w16cid:durableId="1544295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348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06127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2162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F7"/>
    <w:rsid w:val="00004585"/>
    <w:rsid w:val="000061B9"/>
    <w:rsid w:val="0001192D"/>
    <w:rsid w:val="00014061"/>
    <w:rsid w:val="00016B1C"/>
    <w:rsid w:val="00020C03"/>
    <w:rsid w:val="00022684"/>
    <w:rsid w:val="0002409E"/>
    <w:rsid w:val="00026B9B"/>
    <w:rsid w:val="000408A7"/>
    <w:rsid w:val="00041F70"/>
    <w:rsid w:val="0004200D"/>
    <w:rsid w:val="00044B46"/>
    <w:rsid w:val="00047249"/>
    <w:rsid w:val="00051D39"/>
    <w:rsid w:val="00055BE6"/>
    <w:rsid w:val="00056A68"/>
    <w:rsid w:val="00056C6A"/>
    <w:rsid w:val="000669E6"/>
    <w:rsid w:val="0007087F"/>
    <w:rsid w:val="00073469"/>
    <w:rsid w:val="00077CBF"/>
    <w:rsid w:val="00077E72"/>
    <w:rsid w:val="00077EBA"/>
    <w:rsid w:val="00080C02"/>
    <w:rsid w:val="000875CC"/>
    <w:rsid w:val="00087CD1"/>
    <w:rsid w:val="00090374"/>
    <w:rsid w:val="00097490"/>
    <w:rsid w:val="000A10B9"/>
    <w:rsid w:val="000B3C8D"/>
    <w:rsid w:val="000B4ABF"/>
    <w:rsid w:val="000C4D0C"/>
    <w:rsid w:val="000C53DB"/>
    <w:rsid w:val="000D2CA3"/>
    <w:rsid w:val="000D657E"/>
    <w:rsid w:val="000D69A5"/>
    <w:rsid w:val="000E395B"/>
    <w:rsid w:val="000F1123"/>
    <w:rsid w:val="000F74F1"/>
    <w:rsid w:val="00100D39"/>
    <w:rsid w:val="00102347"/>
    <w:rsid w:val="00103417"/>
    <w:rsid w:val="001060C1"/>
    <w:rsid w:val="00112A65"/>
    <w:rsid w:val="00113C2F"/>
    <w:rsid w:val="00113F56"/>
    <w:rsid w:val="001153A8"/>
    <w:rsid w:val="001155F6"/>
    <w:rsid w:val="00115BF7"/>
    <w:rsid w:val="00122622"/>
    <w:rsid w:val="00132951"/>
    <w:rsid w:val="001329F8"/>
    <w:rsid w:val="00132C07"/>
    <w:rsid w:val="0013549D"/>
    <w:rsid w:val="00136ED9"/>
    <w:rsid w:val="00140305"/>
    <w:rsid w:val="0014312D"/>
    <w:rsid w:val="00146395"/>
    <w:rsid w:val="00146696"/>
    <w:rsid w:val="00147D81"/>
    <w:rsid w:val="0015395B"/>
    <w:rsid w:val="001554C0"/>
    <w:rsid w:val="00167811"/>
    <w:rsid w:val="001738A1"/>
    <w:rsid w:val="00181EE3"/>
    <w:rsid w:val="00184E30"/>
    <w:rsid w:val="00186FBD"/>
    <w:rsid w:val="00194676"/>
    <w:rsid w:val="00195E3D"/>
    <w:rsid w:val="001A3337"/>
    <w:rsid w:val="001A507D"/>
    <w:rsid w:val="001A5811"/>
    <w:rsid w:val="001A5D1A"/>
    <w:rsid w:val="001B132F"/>
    <w:rsid w:val="001B653E"/>
    <w:rsid w:val="001B754F"/>
    <w:rsid w:val="001B7B33"/>
    <w:rsid w:val="001C0809"/>
    <w:rsid w:val="001C0929"/>
    <w:rsid w:val="001C2031"/>
    <w:rsid w:val="001C3758"/>
    <w:rsid w:val="001D49F3"/>
    <w:rsid w:val="001D6E0B"/>
    <w:rsid w:val="001E394B"/>
    <w:rsid w:val="001E6EC8"/>
    <w:rsid w:val="001F631F"/>
    <w:rsid w:val="002036B4"/>
    <w:rsid w:val="002059DA"/>
    <w:rsid w:val="00205AEC"/>
    <w:rsid w:val="002122D5"/>
    <w:rsid w:val="002124AF"/>
    <w:rsid w:val="0022784F"/>
    <w:rsid w:val="002307C6"/>
    <w:rsid w:val="00232094"/>
    <w:rsid w:val="00234E06"/>
    <w:rsid w:val="00236C23"/>
    <w:rsid w:val="002415C9"/>
    <w:rsid w:val="00243364"/>
    <w:rsid w:val="0025134F"/>
    <w:rsid w:val="0025159A"/>
    <w:rsid w:val="00251915"/>
    <w:rsid w:val="002537AC"/>
    <w:rsid w:val="002605F4"/>
    <w:rsid w:val="00264488"/>
    <w:rsid w:val="002711E8"/>
    <w:rsid w:val="00272451"/>
    <w:rsid w:val="002726B4"/>
    <w:rsid w:val="0027667F"/>
    <w:rsid w:val="002776C8"/>
    <w:rsid w:val="002777E8"/>
    <w:rsid w:val="00277EB4"/>
    <w:rsid w:val="0028130F"/>
    <w:rsid w:val="00281590"/>
    <w:rsid w:val="0028667F"/>
    <w:rsid w:val="00290560"/>
    <w:rsid w:val="002912FE"/>
    <w:rsid w:val="00292977"/>
    <w:rsid w:val="002A0EED"/>
    <w:rsid w:val="002A1861"/>
    <w:rsid w:val="002A1B5B"/>
    <w:rsid w:val="002A3BDA"/>
    <w:rsid w:val="002A5682"/>
    <w:rsid w:val="002A6177"/>
    <w:rsid w:val="002B07E8"/>
    <w:rsid w:val="002B37C9"/>
    <w:rsid w:val="002B447A"/>
    <w:rsid w:val="002B5BCE"/>
    <w:rsid w:val="002C331F"/>
    <w:rsid w:val="002C348F"/>
    <w:rsid w:val="002D07F7"/>
    <w:rsid w:val="002D53C4"/>
    <w:rsid w:val="002E1F37"/>
    <w:rsid w:val="002E2249"/>
    <w:rsid w:val="002E35E4"/>
    <w:rsid w:val="002E410A"/>
    <w:rsid w:val="002E5F63"/>
    <w:rsid w:val="002F4A0E"/>
    <w:rsid w:val="00303AA7"/>
    <w:rsid w:val="00306710"/>
    <w:rsid w:val="0030733E"/>
    <w:rsid w:val="003126CC"/>
    <w:rsid w:val="003154FB"/>
    <w:rsid w:val="00316AAF"/>
    <w:rsid w:val="0031787A"/>
    <w:rsid w:val="00323456"/>
    <w:rsid w:val="003262D9"/>
    <w:rsid w:val="00326817"/>
    <w:rsid w:val="003308DB"/>
    <w:rsid w:val="003409E3"/>
    <w:rsid w:val="003421E5"/>
    <w:rsid w:val="00345000"/>
    <w:rsid w:val="003533EB"/>
    <w:rsid w:val="003635FC"/>
    <w:rsid w:val="003652DF"/>
    <w:rsid w:val="00365CB4"/>
    <w:rsid w:val="00371966"/>
    <w:rsid w:val="00375662"/>
    <w:rsid w:val="00376017"/>
    <w:rsid w:val="0038002B"/>
    <w:rsid w:val="00380089"/>
    <w:rsid w:val="00380188"/>
    <w:rsid w:val="0038791E"/>
    <w:rsid w:val="00390445"/>
    <w:rsid w:val="00393596"/>
    <w:rsid w:val="00393855"/>
    <w:rsid w:val="00397733"/>
    <w:rsid w:val="003A2996"/>
    <w:rsid w:val="003B032D"/>
    <w:rsid w:val="003B1A6B"/>
    <w:rsid w:val="003B4CA4"/>
    <w:rsid w:val="003B4E8A"/>
    <w:rsid w:val="003B6E9A"/>
    <w:rsid w:val="003C2511"/>
    <w:rsid w:val="003C5E0F"/>
    <w:rsid w:val="003C782A"/>
    <w:rsid w:val="003D3672"/>
    <w:rsid w:val="003D49CE"/>
    <w:rsid w:val="003D5542"/>
    <w:rsid w:val="003D5C04"/>
    <w:rsid w:val="003D703E"/>
    <w:rsid w:val="003E0FBA"/>
    <w:rsid w:val="003E32D5"/>
    <w:rsid w:val="003E356D"/>
    <w:rsid w:val="003E6C93"/>
    <w:rsid w:val="003F3206"/>
    <w:rsid w:val="003F5989"/>
    <w:rsid w:val="004007C4"/>
    <w:rsid w:val="00410067"/>
    <w:rsid w:val="00417616"/>
    <w:rsid w:val="00421488"/>
    <w:rsid w:val="00421CFF"/>
    <w:rsid w:val="00423368"/>
    <w:rsid w:val="00424A44"/>
    <w:rsid w:val="00425204"/>
    <w:rsid w:val="00440F59"/>
    <w:rsid w:val="00441DBA"/>
    <w:rsid w:val="004470EC"/>
    <w:rsid w:val="004507F0"/>
    <w:rsid w:val="00451DD4"/>
    <w:rsid w:val="00456051"/>
    <w:rsid w:val="00462AAA"/>
    <w:rsid w:val="00467955"/>
    <w:rsid w:val="00472023"/>
    <w:rsid w:val="00473A3F"/>
    <w:rsid w:val="004755E2"/>
    <w:rsid w:val="00485B17"/>
    <w:rsid w:val="004871E6"/>
    <w:rsid w:val="00487676"/>
    <w:rsid w:val="00497A69"/>
    <w:rsid w:val="004A0FC4"/>
    <w:rsid w:val="004A1706"/>
    <w:rsid w:val="004A4108"/>
    <w:rsid w:val="004A48D6"/>
    <w:rsid w:val="004A64E2"/>
    <w:rsid w:val="004B3C20"/>
    <w:rsid w:val="004B7E89"/>
    <w:rsid w:val="004B7EC7"/>
    <w:rsid w:val="004C2348"/>
    <w:rsid w:val="004C60B3"/>
    <w:rsid w:val="004C73FB"/>
    <w:rsid w:val="004D106C"/>
    <w:rsid w:val="004D4CA1"/>
    <w:rsid w:val="004D4F58"/>
    <w:rsid w:val="004D5A49"/>
    <w:rsid w:val="004E18C9"/>
    <w:rsid w:val="004E70D7"/>
    <w:rsid w:val="004F0446"/>
    <w:rsid w:val="004F17F7"/>
    <w:rsid w:val="004F2A38"/>
    <w:rsid w:val="004F5A94"/>
    <w:rsid w:val="00500997"/>
    <w:rsid w:val="005064D8"/>
    <w:rsid w:val="005216D7"/>
    <w:rsid w:val="00524A16"/>
    <w:rsid w:val="00527211"/>
    <w:rsid w:val="00535730"/>
    <w:rsid w:val="00542ABA"/>
    <w:rsid w:val="00554C02"/>
    <w:rsid w:val="00557874"/>
    <w:rsid w:val="005579C4"/>
    <w:rsid w:val="00557FB0"/>
    <w:rsid w:val="00560757"/>
    <w:rsid w:val="00565502"/>
    <w:rsid w:val="00566CE8"/>
    <w:rsid w:val="00570005"/>
    <w:rsid w:val="00580F34"/>
    <w:rsid w:val="00583AE0"/>
    <w:rsid w:val="005854CE"/>
    <w:rsid w:val="0058664F"/>
    <w:rsid w:val="0059268B"/>
    <w:rsid w:val="0059358D"/>
    <w:rsid w:val="00593C2D"/>
    <w:rsid w:val="005A056A"/>
    <w:rsid w:val="005A1A65"/>
    <w:rsid w:val="005A3231"/>
    <w:rsid w:val="005B0935"/>
    <w:rsid w:val="005B13EC"/>
    <w:rsid w:val="005C7E1C"/>
    <w:rsid w:val="005E30E0"/>
    <w:rsid w:val="005E33EB"/>
    <w:rsid w:val="005E442A"/>
    <w:rsid w:val="005E4BDA"/>
    <w:rsid w:val="005E537A"/>
    <w:rsid w:val="005F1C8B"/>
    <w:rsid w:val="005F3F36"/>
    <w:rsid w:val="005F51A1"/>
    <w:rsid w:val="00605559"/>
    <w:rsid w:val="00605895"/>
    <w:rsid w:val="00610E35"/>
    <w:rsid w:val="006121F7"/>
    <w:rsid w:val="00614FD4"/>
    <w:rsid w:val="0061524D"/>
    <w:rsid w:val="00617BE7"/>
    <w:rsid w:val="006317B1"/>
    <w:rsid w:val="00632EF6"/>
    <w:rsid w:val="00632F30"/>
    <w:rsid w:val="006334DC"/>
    <w:rsid w:val="006420C8"/>
    <w:rsid w:val="00643497"/>
    <w:rsid w:val="00651141"/>
    <w:rsid w:val="006513A7"/>
    <w:rsid w:val="006520D6"/>
    <w:rsid w:val="00654AA1"/>
    <w:rsid w:val="0065666B"/>
    <w:rsid w:val="0066278F"/>
    <w:rsid w:val="00666B62"/>
    <w:rsid w:val="006702F7"/>
    <w:rsid w:val="00671393"/>
    <w:rsid w:val="0067312C"/>
    <w:rsid w:val="0067499E"/>
    <w:rsid w:val="006768AE"/>
    <w:rsid w:val="00677793"/>
    <w:rsid w:val="00677A7B"/>
    <w:rsid w:val="006858F4"/>
    <w:rsid w:val="00691F59"/>
    <w:rsid w:val="006A0242"/>
    <w:rsid w:val="006A597D"/>
    <w:rsid w:val="006A59A5"/>
    <w:rsid w:val="006A7843"/>
    <w:rsid w:val="006C0412"/>
    <w:rsid w:val="006C37FD"/>
    <w:rsid w:val="006C5CF7"/>
    <w:rsid w:val="006C69C1"/>
    <w:rsid w:val="006D3EE0"/>
    <w:rsid w:val="006D4A0D"/>
    <w:rsid w:val="006D773A"/>
    <w:rsid w:val="006E124B"/>
    <w:rsid w:val="006E17AB"/>
    <w:rsid w:val="006E27C6"/>
    <w:rsid w:val="006F1A1F"/>
    <w:rsid w:val="006F2087"/>
    <w:rsid w:val="006F754C"/>
    <w:rsid w:val="006F79A5"/>
    <w:rsid w:val="0070297F"/>
    <w:rsid w:val="00702E2F"/>
    <w:rsid w:val="00704434"/>
    <w:rsid w:val="00704C50"/>
    <w:rsid w:val="00706D97"/>
    <w:rsid w:val="00714776"/>
    <w:rsid w:val="00714D4A"/>
    <w:rsid w:val="00720C33"/>
    <w:rsid w:val="0072586A"/>
    <w:rsid w:val="007279CC"/>
    <w:rsid w:val="00730F90"/>
    <w:rsid w:val="00732083"/>
    <w:rsid w:val="00732B89"/>
    <w:rsid w:val="00734888"/>
    <w:rsid w:val="00737CF0"/>
    <w:rsid w:val="007408E3"/>
    <w:rsid w:val="0074772F"/>
    <w:rsid w:val="007534DD"/>
    <w:rsid w:val="00760EFE"/>
    <w:rsid w:val="00764E03"/>
    <w:rsid w:val="0076642A"/>
    <w:rsid w:val="007745DC"/>
    <w:rsid w:val="007748E5"/>
    <w:rsid w:val="00774DB8"/>
    <w:rsid w:val="00781064"/>
    <w:rsid w:val="00781292"/>
    <w:rsid w:val="0078222A"/>
    <w:rsid w:val="0078278F"/>
    <w:rsid w:val="00786733"/>
    <w:rsid w:val="00787485"/>
    <w:rsid w:val="00790BB1"/>
    <w:rsid w:val="00793573"/>
    <w:rsid w:val="00794DF9"/>
    <w:rsid w:val="007A0B8A"/>
    <w:rsid w:val="007A337E"/>
    <w:rsid w:val="007B086A"/>
    <w:rsid w:val="007B3CB8"/>
    <w:rsid w:val="007B54D8"/>
    <w:rsid w:val="007C1E6E"/>
    <w:rsid w:val="007C73B9"/>
    <w:rsid w:val="007D56FA"/>
    <w:rsid w:val="007D5A19"/>
    <w:rsid w:val="007D5FE3"/>
    <w:rsid w:val="007E6994"/>
    <w:rsid w:val="007E6C82"/>
    <w:rsid w:val="00800F06"/>
    <w:rsid w:val="0080327D"/>
    <w:rsid w:val="0080432D"/>
    <w:rsid w:val="00804668"/>
    <w:rsid w:val="00807796"/>
    <w:rsid w:val="00807828"/>
    <w:rsid w:val="008113A6"/>
    <w:rsid w:val="008177A2"/>
    <w:rsid w:val="008177CC"/>
    <w:rsid w:val="0081786F"/>
    <w:rsid w:val="008209E8"/>
    <w:rsid w:val="00822C8F"/>
    <w:rsid w:val="0082326A"/>
    <w:rsid w:val="00824C33"/>
    <w:rsid w:val="008262EF"/>
    <w:rsid w:val="00831D02"/>
    <w:rsid w:val="00840D75"/>
    <w:rsid w:val="0084444D"/>
    <w:rsid w:val="008520ED"/>
    <w:rsid w:val="00857FFC"/>
    <w:rsid w:val="00864390"/>
    <w:rsid w:val="0086644B"/>
    <w:rsid w:val="00867F62"/>
    <w:rsid w:val="00871A9F"/>
    <w:rsid w:val="008735E2"/>
    <w:rsid w:val="00873948"/>
    <w:rsid w:val="008745D3"/>
    <w:rsid w:val="00874A81"/>
    <w:rsid w:val="00880D9D"/>
    <w:rsid w:val="00881CEF"/>
    <w:rsid w:val="0088777B"/>
    <w:rsid w:val="00891DC3"/>
    <w:rsid w:val="00893826"/>
    <w:rsid w:val="00895652"/>
    <w:rsid w:val="008A1698"/>
    <w:rsid w:val="008B183E"/>
    <w:rsid w:val="008C34ED"/>
    <w:rsid w:val="008C49E1"/>
    <w:rsid w:val="008C7D84"/>
    <w:rsid w:val="008E4FCD"/>
    <w:rsid w:val="008E6044"/>
    <w:rsid w:val="008E6742"/>
    <w:rsid w:val="008F460E"/>
    <w:rsid w:val="008F5AD2"/>
    <w:rsid w:val="00900FB4"/>
    <w:rsid w:val="009023C4"/>
    <w:rsid w:val="00907957"/>
    <w:rsid w:val="0091133F"/>
    <w:rsid w:val="00913A40"/>
    <w:rsid w:val="00921607"/>
    <w:rsid w:val="009216EE"/>
    <w:rsid w:val="00922519"/>
    <w:rsid w:val="00926E80"/>
    <w:rsid w:val="00933CF2"/>
    <w:rsid w:val="00934742"/>
    <w:rsid w:val="00934B50"/>
    <w:rsid w:val="00936ADD"/>
    <w:rsid w:val="0093720A"/>
    <w:rsid w:val="00941394"/>
    <w:rsid w:val="009464CE"/>
    <w:rsid w:val="00947705"/>
    <w:rsid w:val="0095034E"/>
    <w:rsid w:val="0095051E"/>
    <w:rsid w:val="009506AA"/>
    <w:rsid w:val="009509B3"/>
    <w:rsid w:val="009561B4"/>
    <w:rsid w:val="00963040"/>
    <w:rsid w:val="00964751"/>
    <w:rsid w:val="00966A1F"/>
    <w:rsid w:val="0096722A"/>
    <w:rsid w:val="00967F27"/>
    <w:rsid w:val="009738A1"/>
    <w:rsid w:val="00982B55"/>
    <w:rsid w:val="0098467C"/>
    <w:rsid w:val="00984C6A"/>
    <w:rsid w:val="00992AD4"/>
    <w:rsid w:val="00994EA0"/>
    <w:rsid w:val="0099508A"/>
    <w:rsid w:val="00996160"/>
    <w:rsid w:val="0099652B"/>
    <w:rsid w:val="009A00FE"/>
    <w:rsid w:val="009A010D"/>
    <w:rsid w:val="009A1C14"/>
    <w:rsid w:val="009B3409"/>
    <w:rsid w:val="009B6169"/>
    <w:rsid w:val="009B6C6B"/>
    <w:rsid w:val="009C6066"/>
    <w:rsid w:val="009C6CA5"/>
    <w:rsid w:val="009D0087"/>
    <w:rsid w:val="009D32EE"/>
    <w:rsid w:val="009E169C"/>
    <w:rsid w:val="009E1C6B"/>
    <w:rsid w:val="009E2B99"/>
    <w:rsid w:val="009E3CFC"/>
    <w:rsid w:val="009F16B8"/>
    <w:rsid w:val="009F78D0"/>
    <w:rsid w:val="00A01C9E"/>
    <w:rsid w:val="00A02EC4"/>
    <w:rsid w:val="00A03D82"/>
    <w:rsid w:val="00A04EBF"/>
    <w:rsid w:val="00A106CE"/>
    <w:rsid w:val="00A12CA5"/>
    <w:rsid w:val="00A13D9B"/>
    <w:rsid w:val="00A15490"/>
    <w:rsid w:val="00A167EA"/>
    <w:rsid w:val="00A2097D"/>
    <w:rsid w:val="00A221DE"/>
    <w:rsid w:val="00A239C6"/>
    <w:rsid w:val="00A35DB7"/>
    <w:rsid w:val="00A35FA0"/>
    <w:rsid w:val="00A37381"/>
    <w:rsid w:val="00A3751C"/>
    <w:rsid w:val="00A408B7"/>
    <w:rsid w:val="00A41ABB"/>
    <w:rsid w:val="00A44ED6"/>
    <w:rsid w:val="00A53941"/>
    <w:rsid w:val="00A546EC"/>
    <w:rsid w:val="00A563B8"/>
    <w:rsid w:val="00A5733C"/>
    <w:rsid w:val="00A57791"/>
    <w:rsid w:val="00A75BDF"/>
    <w:rsid w:val="00A8050D"/>
    <w:rsid w:val="00A83A53"/>
    <w:rsid w:val="00A854B1"/>
    <w:rsid w:val="00A9493F"/>
    <w:rsid w:val="00AA37A9"/>
    <w:rsid w:val="00AA50F7"/>
    <w:rsid w:val="00AA5E08"/>
    <w:rsid w:val="00AA64E8"/>
    <w:rsid w:val="00AB188F"/>
    <w:rsid w:val="00AB3175"/>
    <w:rsid w:val="00AB57F0"/>
    <w:rsid w:val="00AC1BC3"/>
    <w:rsid w:val="00AC1DF6"/>
    <w:rsid w:val="00AD08C1"/>
    <w:rsid w:val="00AD4C71"/>
    <w:rsid w:val="00AD7D01"/>
    <w:rsid w:val="00AE10D8"/>
    <w:rsid w:val="00AE51D7"/>
    <w:rsid w:val="00AF09BC"/>
    <w:rsid w:val="00AF4A42"/>
    <w:rsid w:val="00AF6076"/>
    <w:rsid w:val="00AF6897"/>
    <w:rsid w:val="00B00596"/>
    <w:rsid w:val="00B00D7F"/>
    <w:rsid w:val="00B04B9C"/>
    <w:rsid w:val="00B07593"/>
    <w:rsid w:val="00B173A3"/>
    <w:rsid w:val="00B23CB3"/>
    <w:rsid w:val="00B33498"/>
    <w:rsid w:val="00B36728"/>
    <w:rsid w:val="00B3715E"/>
    <w:rsid w:val="00B43B89"/>
    <w:rsid w:val="00B45B91"/>
    <w:rsid w:val="00B464A3"/>
    <w:rsid w:val="00B553F2"/>
    <w:rsid w:val="00B570E2"/>
    <w:rsid w:val="00B57CE2"/>
    <w:rsid w:val="00B62787"/>
    <w:rsid w:val="00B656E1"/>
    <w:rsid w:val="00B70790"/>
    <w:rsid w:val="00B748C4"/>
    <w:rsid w:val="00B83B4F"/>
    <w:rsid w:val="00B84C8D"/>
    <w:rsid w:val="00BA3677"/>
    <w:rsid w:val="00BA38BA"/>
    <w:rsid w:val="00BB0BAD"/>
    <w:rsid w:val="00BB3262"/>
    <w:rsid w:val="00BB5507"/>
    <w:rsid w:val="00BC317B"/>
    <w:rsid w:val="00BC7C50"/>
    <w:rsid w:val="00BD2CE3"/>
    <w:rsid w:val="00BD6B58"/>
    <w:rsid w:val="00BE3E6B"/>
    <w:rsid w:val="00BE5177"/>
    <w:rsid w:val="00BE54BB"/>
    <w:rsid w:val="00BE76EF"/>
    <w:rsid w:val="00BF492E"/>
    <w:rsid w:val="00BF5D78"/>
    <w:rsid w:val="00C117F5"/>
    <w:rsid w:val="00C12DDB"/>
    <w:rsid w:val="00C138AC"/>
    <w:rsid w:val="00C14115"/>
    <w:rsid w:val="00C15885"/>
    <w:rsid w:val="00C2045F"/>
    <w:rsid w:val="00C22EB0"/>
    <w:rsid w:val="00C24DE8"/>
    <w:rsid w:val="00C30DEE"/>
    <w:rsid w:val="00C314CE"/>
    <w:rsid w:val="00C31CCB"/>
    <w:rsid w:val="00C36FFE"/>
    <w:rsid w:val="00C40ED7"/>
    <w:rsid w:val="00C433E0"/>
    <w:rsid w:val="00C443D5"/>
    <w:rsid w:val="00C46E2F"/>
    <w:rsid w:val="00C50AFE"/>
    <w:rsid w:val="00C51D53"/>
    <w:rsid w:val="00C573D4"/>
    <w:rsid w:val="00C65773"/>
    <w:rsid w:val="00C667BF"/>
    <w:rsid w:val="00C727C4"/>
    <w:rsid w:val="00C7294B"/>
    <w:rsid w:val="00C73BA6"/>
    <w:rsid w:val="00C74CE9"/>
    <w:rsid w:val="00C76385"/>
    <w:rsid w:val="00C765F7"/>
    <w:rsid w:val="00C802BC"/>
    <w:rsid w:val="00C822C9"/>
    <w:rsid w:val="00C8235E"/>
    <w:rsid w:val="00C85334"/>
    <w:rsid w:val="00C92507"/>
    <w:rsid w:val="00C93FAA"/>
    <w:rsid w:val="00C972A2"/>
    <w:rsid w:val="00C974F5"/>
    <w:rsid w:val="00CA2E1B"/>
    <w:rsid w:val="00CA3A4B"/>
    <w:rsid w:val="00CA59D3"/>
    <w:rsid w:val="00CA5EDA"/>
    <w:rsid w:val="00CB2DAD"/>
    <w:rsid w:val="00CB39AD"/>
    <w:rsid w:val="00CC020D"/>
    <w:rsid w:val="00CC1F89"/>
    <w:rsid w:val="00CC5D34"/>
    <w:rsid w:val="00CC667D"/>
    <w:rsid w:val="00CC7848"/>
    <w:rsid w:val="00CD3B14"/>
    <w:rsid w:val="00CE13B4"/>
    <w:rsid w:val="00CE2DB7"/>
    <w:rsid w:val="00CE559D"/>
    <w:rsid w:val="00CF048A"/>
    <w:rsid w:val="00CF0B8C"/>
    <w:rsid w:val="00CF10CF"/>
    <w:rsid w:val="00CF292B"/>
    <w:rsid w:val="00CF3A85"/>
    <w:rsid w:val="00D0524E"/>
    <w:rsid w:val="00D060A2"/>
    <w:rsid w:val="00D10FEA"/>
    <w:rsid w:val="00D1124A"/>
    <w:rsid w:val="00D117D8"/>
    <w:rsid w:val="00D166FE"/>
    <w:rsid w:val="00D25266"/>
    <w:rsid w:val="00D27B60"/>
    <w:rsid w:val="00D30109"/>
    <w:rsid w:val="00D30328"/>
    <w:rsid w:val="00D30F39"/>
    <w:rsid w:val="00D318AA"/>
    <w:rsid w:val="00D32A77"/>
    <w:rsid w:val="00D3699E"/>
    <w:rsid w:val="00D516A5"/>
    <w:rsid w:val="00D52056"/>
    <w:rsid w:val="00D53D2D"/>
    <w:rsid w:val="00D55A2F"/>
    <w:rsid w:val="00D66CD8"/>
    <w:rsid w:val="00D71ABA"/>
    <w:rsid w:val="00D72A34"/>
    <w:rsid w:val="00D80088"/>
    <w:rsid w:val="00D83131"/>
    <w:rsid w:val="00D83616"/>
    <w:rsid w:val="00D9225A"/>
    <w:rsid w:val="00D935C6"/>
    <w:rsid w:val="00D9371C"/>
    <w:rsid w:val="00D970F6"/>
    <w:rsid w:val="00DA091A"/>
    <w:rsid w:val="00DB0229"/>
    <w:rsid w:val="00DB2EEE"/>
    <w:rsid w:val="00DB2FD1"/>
    <w:rsid w:val="00DB7413"/>
    <w:rsid w:val="00DC3AE5"/>
    <w:rsid w:val="00DC45C0"/>
    <w:rsid w:val="00DD2431"/>
    <w:rsid w:val="00DD28BF"/>
    <w:rsid w:val="00DD5D8C"/>
    <w:rsid w:val="00DD6B71"/>
    <w:rsid w:val="00DE06C0"/>
    <w:rsid w:val="00DE1157"/>
    <w:rsid w:val="00DE13ED"/>
    <w:rsid w:val="00DE4245"/>
    <w:rsid w:val="00DE6D05"/>
    <w:rsid w:val="00DF19D8"/>
    <w:rsid w:val="00DF3781"/>
    <w:rsid w:val="00DF65C4"/>
    <w:rsid w:val="00DF6DCD"/>
    <w:rsid w:val="00E026D0"/>
    <w:rsid w:val="00E02E51"/>
    <w:rsid w:val="00E04734"/>
    <w:rsid w:val="00E10ECA"/>
    <w:rsid w:val="00E16ADA"/>
    <w:rsid w:val="00E170C0"/>
    <w:rsid w:val="00E17B8A"/>
    <w:rsid w:val="00E23DE5"/>
    <w:rsid w:val="00E278F8"/>
    <w:rsid w:val="00E33D88"/>
    <w:rsid w:val="00E42C91"/>
    <w:rsid w:val="00E453CB"/>
    <w:rsid w:val="00E47FD6"/>
    <w:rsid w:val="00E526FF"/>
    <w:rsid w:val="00E52C17"/>
    <w:rsid w:val="00E60106"/>
    <w:rsid w:val="00E60EED"/>
    <w:rsid w:val="00E664F6"/>
    <w:rsid w:val="00E67808"/>
    <w:rsid w:val="00E70DDB"/>
    <w:rsid w:val="00E72D97"/>
    <w:rsid w:val="00E72F42"/>
    <w:rsid w:val="00E748CE"/>
    <w:rsid w:val="00E755D2"/>
    <w:rsid w:val="00E812C8"/>
    <w:rsid w:val="00E86CD5"/>
    <w:rsid w:val="00E87A29"/>
    <w:rsid w:val="00E94F03"/>
    <w:rsid w:val="00EA336B"/>
    <w:rsid w:val="00EA4604"/>
    <w:rsid w:val="00EA46E4"/>
    <w:rsid w:val="00EB60FE"/>
    <w:rsid w:val="00EB6A3D"/>
    <w:rsid w:val="00EC0C89"/>
    <w:rsid w:val="00EC4E79"/>
    <w:rsid w:val="00ED051E"/>
    <w:rsid w:val="00ED0D0F"/>
    <w:rsid w:val="00ED4FFA"/>
    <w:rsid w:val="00EE06FE"/>
    <w:rsid w:val="00EE77A0"/>
    <w:rsid w:val="00EF0C04"/>
    <w:rsid w:val="00EF78E8"/>
    <w:rsid w:val="00F036B3"/>
    <w:rsid w:val="00F04F2B"/>
    <w:rsid w:val="00F05F54"/>
    <w:rsid w:val="00F06620"/>
    <w:rsid w:val="00F07E3A"/>
    <w:rsid w:val="00F10723"/>
    <w:rsid w:val="00F11133"/>
    <w:rsid w:val="00F124C3"/>
    <w:rsid w:val="00F135F2"/>
    <w:rsid w:val="00F14833"/>
    <w:rsid w:val="00F15EDA"/>
    <w:rsid w:val="00F1608D"/>
    <w:rsid w:val="00F17CAB"/>
    <w:rsid w:val="00F20EC6"/>
    <w:rsid w:val="00F21AFB"/>
    <w:rsid w:val="00F3128E"/>
    <w:rsid w:val="00F3287A"/>
    <w:rsid w:val="00F33619"/>
    <w:rsid w:val="00F33BBE"/>
    <w:rsid w:val="00F37AD5"/>
    <w:rsid w:val="00F4124F"/>
    <w:rsid w:val="00F437B8"/>
    <w:rsid w:val="00F5172D"/>
    <w:rsid w:val="00F52B95"/>
    <w:rsid w:val="00F53999"/>
    <w:rsid w:val="00F5531F"/>
    <w:rsid w:val="00F55B6E"/>
    <w:rsid w:val="00F81C8C"/>
    <w:rsid w:val="00F83955"/>
    <w:rsid w:val="00F83A26"/>
    <w:rsid w:val="00F84CF7"/>
    <w:rsid w:val="00F86B00"/>
    <w:rsid w:val="00F87F27"/>
    <w:rsid w:val="00F90B35"/>
    <w:rsid w:val="00F91197"/>
    <w:rsid w:val="00F93249"/>
    <w:rsid w:val="00F93662"/>
    <w:rsid w:val="00F94C82"/>
    <w:rsid w:val="00FA0139"/>
    <w:rsid w:val="00FA0FE0"/>
    <w:rsid w:val="00FA1403"/>
    <w:rsid w:val="00FA2564"/>
    <w:rsid w:val="00FA26E3"/>
    <w:rsid w:val="00FA3840"/>
    <w:rsid w:val="00FA62F2"/>
    <w:rsid w:val="00FA649B"/>
    <w:rsid w:val="00FA7F8E"/>
    <w:rsid w:val="00FB338F"/>
    <w:rsid w:val="00FB4535"/>
    <w:rsid w:val="00FC167D"/>
    <w:rsid w:val="00FC19C0"/>
    <w:rsid w:val="00FC2F42"/>
    <w:rsid w:val="00FD0CA8"/>
    <w:rsid w:val="00FD31E2"/>
    <w:rsid w:val="00FE1B34"/>
    <w:rsid w:val="00FE2880"/>
    <w:rsid w:val="00FE5C85"/>
    <w:rsid w:val="00FE791A"/>
    <w:rsid w:val="00FF0114"/>
    <w:rsid w:val="00FF0E90"/>
    <w:rsid w:val="00FF2B99"/>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42E8"/>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D10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39">
      <w:bodyDiv w:val="1"/>
      <w:marLeft w:val="0"/>
      <w:marRight w:val="0"/>
      <w:marTop w:val="0"/>
      <w:marBottom w:val="0"/>
      <w:divBdr>
        <w:top w:val="none" w:sz="0" w:space="0" w:color="auto"/>
        <w:left w:val="none" w:sz="0" w:space="0" w:color="auto"/>
        <w:bottom w:val="none" w:sz="0" w:space="0" w:color="auto"/>
        <w:right w:val="none" w:sz="0" w:space="0" w:color="auto"/>
      </w:divBdr>
    </w:div>
    <w:div w:id="495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27</Pages>
  <Words>9826</Words>
  <Characters>56014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24</cp:revision>
  <cp:lastPrinted>2023-02-03T12:42:00Z</cp:lastPrinted>
  <dcterms:created xsi:type="dcterms:W3CDTF">2023-01-25T00:24:00Z</dcterms:created>
  <dcterms:modified xsi:type="dcterms:W3CDTF">2023-02-03T12:43:00Z</dcterms:modified>
</cp:coreProperties>
</file>