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D1" w:rsidRPr="005D2725" w:rsidRDefault="006F3DD1" w:rsidP="005D2725">
      <w:pPr>
        <w:spacing w:after="0" w:line="360" w:lineRule="auto"/>
        <w:jc w:val="both"/>
        <w:rPr>
          <w:rFonts w:ascii="Times New Roman" w:hAnsi="Times New Roman"/>
          <w:b/>
          <w:sz w:val="24"/>
          <w:szCs w:val="24"/>
          <w:u w:val="single"/>
        </w:rPr>
      </w:pPr>
      <w:r w:rsidRPr="005D2725">
        <w:rPr>
          <w:rFonts w:ascii="Times New Roman" w:hAnsi="Times New Roman"/>
          <w:b/>
          <w:sz w:val="24"/>
          <w:szCs w:val="24"/>
          <w:u w:val="single"/>
        </w:rPr>
        <w:t>THE REPUBLIC OF UGANDA</w:t>
      </w:r>
    </w:p>
    <w:p w:rsidR="006F3DD1" w:rsidRPr="005D2725" w:rsidRDefault="006F3DD1" w:rsidP="005D2725">
      <w:pPr>
        <w:spacing w:after="0" w:line="360" w:lineRule="auto"/>
        <w:jc w:val="both"/>
        <w:rPr>
          <w:rFonts w:ascii="Times New Roman" w:hAnsi="Times New Roman"/>
          <w:b/>
          <w:sz w:val="24"/>
          <w:szCs w:val="24"/>
        </w:rPr>
      </w:pPr>
      <w:r w:rsidRPr="005D2725">
        <w:rPr>
          <w:rFonts w:ascii="Times New Roman" w:hAnsi="Times New Roman"/>
          <w:b/>
          <w:sz w:val="24"/>
          <w:szCs w:val="24"/>
        </w:rPr>
        <w:t>IN THE HIGH COURT OF UGANDA AT KAMPALA</w:t>
      </w:r>
    </w:p>
    <w:p w:rsidR="006F3DD1" w:rsidRPr="005D2725" w:rsidRDefault="006F3DD1" w:rsidP="005D2725">
      <w:pPr>
        <w:spacing w:after="0" w:line="360" w:lineRule="auto"/>
        <w:jc w:val="both"/>
        <w:rPr>
          <w:rFonts w:ascii="Times New Roman" w:hAnsi="Times New Roman"/>
          <w:b/>
          <w:sz w:val="24"/>
          <w:szCs w:val="24"/>
        </w:rPr>
      </w:pPr>
      <w:r w:rsidRPr="005D2725">
        <w:rPr>
          <w:rFonts w:ascii="Times New Roman" w:hAnsi="Times New Roman"/>
          <w:b/>
          <w:sz w:val="24"/>
          <w:szCs w:val="24"/>
        </w:rPr>
        <w:t>(COMMERCIAL DIVISION)</w:t>
      </w:r>
    </w:p>
    <w:p w:rsidR="006F3DD1" w:rsidRPr="005D2725" w:rsidRDefault="00354DBE" w:rsidP="005D2725">
      <w:pPr>
        <w:spacing w:after="0" w:line="360" w:lineRule="auto"/>
        <w:jc w:val="both"/>
        <w:rPr>
          <w:rFonts w:ascii="Times New Roman" w:hAnsi="Times New Roman"/>
          <w:b/>
          <w:sz w:val="24"/>
          <w:szCs w:val="24"/>
        </w:rPr>
      </w:pPr>
      <w:r w:rsidRPr="005D2725">
        <w:rPr>
          <w:rFonts w:ascii="Times New Roman" w:hAnsi="Times New Roman"/>
          <w:b/>
          <w:sz w:val="24"/>
          <w:szCs w:val="24"/>
        </w:rPr>
        <w:t>CIVIL APPEAL</w:t>
      </w:r>
      <w:r w:rsidR="006F3DD1" w:rsidRPr="005D2725">
        <w:rPr>
          <w:rFonts w:ascii="Times New Roman" w:hAnsi="Times New Roman"/>
          <w:b/>
          <w:sz w:val="24"/>
          <w:szCs w:val="24"/>
        </w:rPr>
        <w:t xml:space="preserve"> NO. 26 OF 2016</w:t>
      </w:r>
    </w:p>
    <w:p w:rsidR="006F3DD1" w:rsidRPr="005D2725" w:rsidRDefault="006F3DD1" w:rsidP="005D2725">
      <w:pPr>
        <w:spacing w:after="0" w:line="360" w:lineRule="auto"/>
        <w:jc w:val="both"/>
        <w:rPr>
          <w:rFonts w:ascii="Times New Roman" w:hAnsi="Times New Roman"/>
          <w:b/>
          <w:sz w:val="24"/>
          <w:szCs w:val="24"/>
        </w:rPr>
      </w:pPr>
    </w:p>
    <w:p w:rsidR="006F3DD1" w:rsidRPr="005D2725" w:rsidRDefault="006F3DD1" w:rsidP="005D2725">
      <w:pPr>
        <w:spacing w:after="0" w:line="360" w:lineRule="auto"/>
        <w:jc w:val="both"/>
        <w:rPr>
          <w:rFonts w:ascii="Times New Roman" w:hAnsi="Times New Roman"/>
          <w:b/>
          <w:sz w:val="24"/>
          <w:szCs w:val="24"/>
        </w:rPr>
      </w:pPr>
      <w:r w:rsidRPr="005D2725">
        <w:rPr>
          <w:rFonts w:ascii="Times New Roman" w:hAnsi="Times New Roman"/>
          <w:b/>
          <w:sz w:val="24"/>
          <w:szCs w:val="24"/>
        </w:rPr>
        <w:t>GOLDSTAR INSURANCE LTD ::::::::::::::::::::::::::</w:t>
      </w:r>
      <w:bookmarkStart w:id="0" w:name="_GoBack"/>
      <w:bookmarkEnd w:id="0"/>
      <w:r w:rsidRPr="005D2725">
        <w:rPr>
          <w:rFonts w:ascii="Times New Roman" w:hAnsi="Times New Roman"/>
          <w:b/>
          <w:sz w:val="24"/>
          <w:szCs w:val="24"/>
        </w:rPr>
        <w:t>::::::::::::::::::::::::APPELLANT</w:t>
      </w:r>
    </w:p>
    <w:p w:rsidR="006F3DD1" w:rsidRPr="005D2725" w:rsidRDefault="006F3DD1" w:rsidP="005D2725">
      <w:pPr>
        <w:spacing w:after="0" w:line="360" w:lineRule="auto"/>
        <w:jc w:val="both"/>
        <w:rPr>
          <w:rFonts w:ascii="Times New Roman" w:hAnsi="Times New Roman"/>
          <w:b/>
          <w:sz w:val="24"/>
          <w:szCs w:val="24"/>
        </w:rPr>
      </w:pPr>
      <w:r w:rsidRPr="005D2725">
        <w:rPr>
          <w:rFonts w:ascii="Times New Roman" w:hAnsi="Times New Roman"/>
          <w:b/>
          <w:sz w:val="24"/>
          <w:szCs w:val="24"/>
        </w:rPr>
        <w:t xml:space="preserve">                                               VERSUS</w:t>
      </w:r>
    </w:p>
    <w:p w:rsidR="006F3DD1" w:rsidRPr="005D2725" w:rsidRDefault="006F3DD1" w:rsidP="005D2725">
      <w:pPr>
        <w:spacing w:after="0" w:line="360" w:lineRule="auto"/>
        <w:jc w:val="both"/>
        <w:rPr>
          <w:rFonts w:ascii="Times New Roman" w:hAnsi="Times New Roman"/>
          <w:b/>
          <w:sz w:val="24"/>
          <w:szCs w:val="24"/>
        </w:rPr>
      </w:pPr>
      <w:r w:rsidRPr="005D2725">
        <w:rPr>
          <w:rFonts w:ascii="Times New Roman" w:hAnsi="Times New Roman"/>
          <w:b/>
          <w:sz w:val="24"/>
          <w:szCs w:val="24"/>
        </w:rPr>
        <w:t xml:space="preserve"> UGANDA REVENUE AUTHORITY::::::::::::::::::::::::::::::::::::::::::</w:t>
      </w:r>
      <w:proofErr w:type="gramStart"/>
      <w:r w:rsidRPr="005D2725">
        <w:rPr>
          <w:rFonts w:ascii="Times New Roman" w:hAnsi="Times New Roman"/>
          <w:b/>
          <w:sz w:val="24"/>
          <w:szCs w:val="24"/>
        </w:rPr>
        <w:t>:RESPONDENT</w:t>
      </w:r>
      <w:proofErr w:type="gramEnd"/>
    </w:p>
    <w:p w:rsidR="006F3DD1" w:rsidRPr="005D2725" w:rsidRDefault="006F3DD1" w:rsidP="005D2725">
      <w:pPr>
        <w:spacing w:after="0" w:line="360" w:lineRule="auto"/>
        <w:jc w:val="both"/>
        <w:rPr>
          <w:rFonts w:ascii="Times New Roman" w:hAnsi="Times New Roman"/>
          <w:sz w:val="24"/>
          <w:szCs w:val="24"/>
        </w:rPr>
      </w:pPr>
    </w:p>
    <w:p w:rsidR="006F3DD1" w:rsidRPr="005D2725" w:rsidRDefault="006F3DD1" w:rsidP="005D2725">
      <w:pPr>
        <w:spacing w:after="0" w:line="360" w:lineRule="auto"/>
        <w:jc w:val="both"/>
        <w:rPr>
          <w:rFonts w:ascii="Times New Roman" w:hAnsi="Times New Roman"/>
          <w:b/>
          <w:sz w:val="24"/>
          <w:szCs w:val="24"/>
          <w:u w:val="single"/>
        </w:rPr>
      </w:pPr>
      <w:r w:rsidRPr="005D2725">
        <w:rPr>
          <w:rFonts w:ascii="Times New Roman" w:hAnsi="Times New Roman"/>
          <w:b/>
          <w:sz w:val="24"/>
          <w:szCs w:val="24"/>
        </w:rPr>
        <w:t xml:space="preserve">BEFORE: </w:t>
      </w:r>
      <w:r w:rsidRPr="005D2725">
        <w:rPr>
          <w:rFonts w:ascii="Times New Roman" w:hAnsi="Times New Roman"/>
          <w:b/>
          <w:sz w:val="24"/>
          <w:szCs w:val="24"/>
          <w:u w:val="single"/>
        </w:rPr>
        <w:t>THE HON.  JUSTICE DAVID WANGUTUSI</w:t>
      </w:r>
    </w:p>
    <w:p w:rsidR="006F3DD1" w:rsidRPr="005D2725" w:rsidRDefault="006F3DD1" w:rsidP="005D2725">
      <w:pPr>
        <w:tabs>
          <w:tab w:val="left" w:pos="6990"/>
        </w:tabs>
        <w:spacing w:after="0" w:line="360" w:lineRule="auto"/>
        <w:jc w:val="both"/>
        <w:rPr>
          <w:rFonts w:ascii="Times New Roman" w:hAnsi="Times New Roman"/>
          <w:b/>
          <w:sz w:val="24"/>
          <w:szCs w:val="24"/>
        </w:rPr>
      </w:pPr>
      <w:r w:rsidRPr="005D2725">
        <w:rPr>
          <w:rFonts w:ascii="Times New Roman" w:hAnsi="Times New Roman"/>
          <w:b/>
          <w:sz w:val="24"/>
          <w:szCs w:val="24"/>
        </w:rPr>
        <w:tab/>
      </w:r>
    </w:p>
    <w:p w:rsidR="006F3DD1" w:rsidRPr="005D2725" w:rsidRDefault="006F3DD1" w:rsidP="005D2725">
      <w:pPr>
        <w:spacing w:after="0" w:line="360" w:lineRule="auto"/>
        <w:jc w:val="both"/>
        <w:rPr>
          <w:rFonts w:ascii="Times New Roman" w:hAnsi="Times New Roman"/>
          <w:b/>
          <w:sz w:val="24"/>
          <w:szCs w:val="24"/>
          <w:u w:val="single"/>
        </w:rPr>
      </w:pPr>
      <w:r w:rsidRPr="005D2725">
        <w:rPr>
          <w:rFonts w:ascii="Times New Roman" w:hAnsi="Times New Roman"/>
          <w:b/>
          <w:sz w:val="24"/>
          <w:szCs w:val="24"/>
          <w:u w:val="single"/>
        </w:rPr>
        <w:t>J U D G M E N T:</w:t>
      </w:r>
    </w:p>
    <w:p w:rsidR="00321C5E" w:rsidRPr="005D2725" w:rsidRDefault="00321C5E" w:rsidP="005D2725">
      <w:pPr>
        <w:spacing w:after="0" w:line="360" w:lineRule="auto"/>
        <w:jc w:val="both"/>
        <w:rPr>
          <w:rFonts w:ascii="Times New Roman" w:hAnsi="Times New Roman"/>
          <w:b/>
          <w:sz w:val="24"/>
          <w:szCs w:val="24"/>
          <w:u w:val="single"/>
        </w:rPr>
      </w:pPr>
    </w:p>
    <w:p w:rsidR="006F3DD1" w:rsidRPr="005D2725" w:rsidRDefault="006F3DD1" w:rsidP="005D2725">
      <w:pPr>
        <w:spacing w:after="0" w:line="360" w:lineRule="auto"/>
        <w:jc w:val="both"/>
        <w:rPr>
          <w:rFonts w:ascii="Times New Roman" w:hAnsi="Times New Roman"/>
          <w:sz w:val="24"/>
          <w:szCs w:val="24"/>
        </w:rPr>
      </w:pPr>
      <w:r w:rsidRPr="005D2725">
        <w:rPr>
          <w:rFonts w:ascii="Times New Roman" w:hAnsi="Times New Roman"/>
          <w:sz w:val="24"/>
          <w:szCs w:val="24"/>
        </w:rPr>
        <w:t xml:space="preserve">This is an Appeal against the finding of the Tax Appeals Tribunal between </w:t>
      </w:r>
      <w:proofErr w:type="spellStart"/>
      <w:r w:rsidRPr="005D2725">
        <w:rPr>
          <w:rFonts w:ascii="Times New Roman" w:hAnsi="Times New Roman"/>
          <w:sz w:val="24"/>
          <w:szCs w:val="24"/>
        </w:rPr>
        <w:t>Goldstar</w:t>
      </w:r>
      <w:proofErr w:type="spellEnd"/>
      <w:r w:rsidRPr="005D2725">
        <w:rPr>
          <w:rFonts w:ascii="Times New Roman" w:hAnsi="Times New Roman"/>
          <w:sz w:val="24"/>
          <w:szCs w:val="24"/>
        </w:rPr>
        <w:t xml:space="preserve"> Insurance Limited the Appellant and Uganda Revenue Authority the Respondent.</w:t>
      </w:r>
    </w:p>
    <w:p w:rsidR="006F3DD1" w:rsidRPr="005D2725" w:rsidRDefault="006F3DD1" w:rsidP="005D2725">
      <w:pPr>
        <w:spacing w:after="0" w:line="360" w:lineRule="auto"/>
        <w:jc w:val="both"/>
        <w:rPr>
          <w:rFonts w:ascii="Times New Roman" w:hAnsi="Times New Roman"/>
          <w:sz w:val="24"/>
          <w:szCs w:val="24"/>
        </w:rPr>
      </w:pPr>
      <w:r w:rsidRPr="005D2725">
        <w:rPr>
          <w:rFonts w:ascii="Times New Roman" w:hAnsi="Times New Roman"/>
          <w:sz w:val="24"/>
          <w:szCs w:val="24"/>
        </w:rPr>
        <w:t>The Appellant seeks the following;</w:t>
      </w:r>
    </w:p>
    <w:p w:rsidR="006F3DD1" w:rsidRPr="005D2725" w:rsidRDefault="006F3DD1" w:rsidP="005D2725">
      <w:pPr>
        <w:pStyle w:val="ListParagraph"/>
        <w:numPr>
          <w:ilvl w:val="0"/>
          <w:numId w:val="1"/>
        </w:numPr>
        <w:spacing w:after="0" w:line="360" w:lineRule="auto"/>
        <w:jc w:val="both"/>
        <w:rPr>
          <w:rFonts w:ascii="Times New Roman" w:hAnsi="Times New Roman"/>
          <w:sz w:val="24"/>
          <w:szCs w:val="24"/>
        </w:rPr>
      </w:pPr>
      <w:r w:rsidRPr="005D2725">
        <w:rPr>
          <w:rFonts w:ascii="Times New Roman" w:hAnsi="Times New Roman"/>
          <w:sz w:val="24"/>
          <w:szCs w:val="24"/>
        </w:rPr>
        <w:t>That the Honourable members of the Tax Appeal</w:t>
      </w:r>
      <w:r w:rsidR="004D7173" w:rsidRPr="005D2725">
        <w:rPr>
          <w:rFonts w:ascii="Times New Roman" w:hAnsi="Times New Roman"/>
          <w:sz w:val="24"/>
          <w:szCs w:val="24"/>
        </w:rPr>
        <w:t>s</w:t>
      </w:r>
      <w:r w:rsidRPr="005D2725">
        <w:rPr>
          <w:rFonts w:ascii="Times New Roman" w:hAnsi="Times New Roman"/>
          <w:sz w:val="24"/>
          <w:szCs w:val="24"/>
        </w:rPr>
        <w:t xml:space="preserve"> Tribunal erred in law when they misconstrued the issue of contingency reserves as provided for in the Insurance Act and the Income Tax Act.</w:t>
      </w:r>
    </w:p>
    <w:p w:rsidR="006F3DD1" w:rsidRPr="005D2725" w:rsidRDefault="006F3DD1" w:rsidP="005D2725">
      <w:pPr>
        <w:pStyle w:val="ListParagraph"/>
        <w:numPr>
          <w:ilvl w:val="0"/>
          <w:numId w:val="1"/>
        </w:numPr>
        <w:spacing w:after="0" w:line="360" w:lineRule="auto"/>
        <w:jc w:val="both"/>
        <w:rPr>
          <w:rFonts w:ascii="Times New Roman" w:hAnsi="Times New Roman"/>
          <w:sz w:val="24"/>
          <w:szCs w:val="24"/>
        </w:rPr>
      </w:pPr>
      <w:r w:rsidRPr="005D2725">
        <w:rPr>
          <w:rFonts w:ascii="Times New Roman" w:hAnsi="Times New Roman"/>
          <w:sz w:val="24"/>
          <w:szCs w:val="24"/>
        </w:rPr>
        <w:t xml:space="preserve">That the Tribunal erred in law when it stated that contingency reserves are not allowable deductions under paragraph </w:t>
      </w:r>
      <w:r w:rsidR="00CB22C2" w:rsidRPr="005D2725">
        <w:rPr>
          <w:rFonts w:ascii="Times New Roman" w:hAnsi="Times New Roman"/>
          <w:sz w:val="24"/>
          <w:szCs w:val="24"/>
        </w:rPr>
        <w:t>3</w:t>
      </w:r>
      <w:r w:rsidRPr="005D2725">
        <w:rPr>
          <w:rFonts w:ascii="Times New Roman" w:hAnsi="Times New Roman"/>
          <w:sz w:val="24"/>
          <w:szCs w:val="24"/>
        </w:rPr>
        <w:t>(c) of the 4</w:t>
      </w:r>
      <w:r w:rsidRPr="005D2725">
        <w:rPr>
          <w:rFonts w:ascii="Times New Roman" w:hAnsi="Times New Roman"/>
          <w:sz w:val="24"/>
          <w:szCs w:val="24"/>
          <w:vertAlign w:val="superscript"/>
        </w:rPr>
        <w:t>th</w:t>
      </w:r>
      <w:r w:rsidRPr="005D2725">
        <w:rPr>
          <w:rFonts w:ascii="Times New Roman" w:hAnsi="Times New Roman"/>
          <w:sz w:val="24"/>
          <w:szCs w:val="24"/>
        </w:rPr>
        <w:t xml:space="preserve"> Schedule of the Income Tax.</w:t>
      </w:r>
    </w:p>
    <w:p w:rsidR="006F3DD1" w:rsidRPr="005D2725" w:rsidRDefault="006F3DD1" w:rsidP="005D2725">
      <w:pPr>
        <w:pStyle w:val="ListParagraph"/>
        <w:numPr>
          <w:ilvl w:val="0"/>
          <w:numId w:val="1"/>
        </w:numPr>
        <w:spacing w:after="0" w:line="360" w:lineRule="auto"/>
        <w:jc w:val="both"/>
        <w:rPr>
          <w:rFonts w:ascii="Times New Roman" w:hAnsi="Times New Roman"/>
          <w:sz w:val="24"/>
          <w:szCs w:val="24"/>
        </w:rPr>
      </w:pPr>
      <w:r w:rsidRPr="005D2725">
        <w:rPr>
          <w:rFonts w:ascii="Times New Roman" w:hAnsi="Times New Roman"/>
          <w:sz w:val="24"/>
          <w:szCs w:val="24"/>
        </w:rPr>
        <w:t>That the Tribunal erred in law and fact to rule that reserves are post profits items and therefore not deductible under the Income Tax Act.</w:t>
      </w:r>
    </w:p>
    <w:p w:rsidR="006F3DD1" w:rsidRPr="005D2725" w:rsidRDefault="006F3DD1" w:rsidP="005D2725">
      <w:pPr>
        <w:pStyle w:val="ListParagraph"/>
        <w:numPr>
          <w:ilvl w:val="0"/>
          <w:numId w:val="1"/>
        </w:numPr>
        <w:spacing w:after="0" w:line="360" w:lineRule="auto"/>
        <w:jc w:val="both"/>
        <w:rPr>
          <w:rFonts w:ascii="Times New Roman" w:hAnsi="Times New Roman"/>
          <w:sz w:val="24"/>
          <w:szCs w:val="24"/>
        </w:rPr>
      </w:pPr>
      <w:r w:rsidRPr="005D2725">
        <w:rPr>
          <w:rFonts w:ascii="Times New Roman" w:hAnsi="Times New Roman"/>
          <w:sz w:val="24"/>
          <w:szCs w:val="24"/>
        </w:rPr>
        <w:t>That the Tribunal erred in law and fact when it stated that the Applicant claimed that there is no relationship between contingency reserves and unexpired risks.</w:t>
      </w:r>
    </w:p>
    <w:p w:rsidR="006F3DD1" w:rsidRPr="005D2725" w:rsidRDefault="006F3DD1" w:rsidP="005D2725">
      <w:pPr>
        <w:pStyle w:val="ListParagraph"/>
        <w:numPr>
          <w:ilvl w:val="0"/>
          <w:numId w:val="1"/>
        </w:numPr>
        <w:spacing w:after="0" w:line="360" w:lineRule="auto"/>
        <w:jc w:val="both"/>
        <w:rPr>
          <w:rFonts w:ascii="Times New Roman" w:hAnsi="Times New Roman"/>
          <w:sz w:val="24"/>
          <w:szCs w:val="24"/>
        </w:rPr>
      </w:pPr>
      <w:r w:rsidRPr="005D2725">
        <w:rPr>
          <w:rFonts w:ascii="Times New Roman" w:hAnsi="Times New Roman"/>
          <w:sz w:val="24"/>
          <w:szCs w:val="24"/>
        </w:rPr>
        <w:t>That the Tribunal erred in law when they held that there was no evidence adduced by the Applicant to prove that the assessment for the year 2008 was time barred.</w:t>
      </w:r>
    </w:p>
    <w:p w:rsidR="006F3DD1" w:rsidRPr="005D2725" w:rsidRDefault="006F3DD1" w:rsidP="005D2725">
      <w:pPr>
        <w:spacing w:after="0" w:line="360" w:lineRule="auto"/>
        <w:jc w:val="both"/>
        <w:rPr>
          <w:rFonts w:ascii="Times New Roman" w:hAnsi="Times New Roman"/>
          <w:sz w:val="24"/>
          <w:szCs w:val="24"/>
        </w:rPr>
      </w:pPr>
      <w:r w:rsidRPr="005D2725">
        <w:rPr>
          <w:rFonts w:ascii="Times New Roman" w:hAnsi="Times New Roman"/>
          <w:sz w:val="24"/>
          <w:szCs w:val="24"/>
        </w:rPr>
        <w:t>The Appellant then prayed that the decision and orders of the Tribunal be set aside with costs.</w:t>
      </w:r>
    </w:p>
    <w:p w:rsidR="002430C1" w:rsidRPr="005D2725" w:rsidRDefault="00EA559D" w:rsidP="005D2725">
      <w:pPr>
        <w:spacing w:line="360" w:lineRule="auto"/>
        <w:jc w:val="both"/>
        <w:rPr>
          <w:rFonts w:ascii="Times New Roman" w:hAnsi="Times New Roman"/>
          <w:sz w:val="24"/>
          <w:szCs w:val="24"/>
        </w:rPr>
      </w:pPr>
      <w:r w:rsidRPr="005D2725">
        <w:rPr>
          <w:rFonts w:ascii="Times New Roman" w:hAnsi="Times New Roman"/>
          <w:sz w:val="24"/>
          <w:szCs w:val="24"/>
        </w:rPr>
        <w:t>The Respondent conducted a Corporation</w:t>
      </w:r>
      <w:r w:rsidR="002430C1" w:rsidRPr="005D2725">
        <w:rPr>
          <w:rFonts w:ascii="Times New Roman" w:hAnsi="Times New Roman"/>
          <w:sz w:val="24"/>
          <w:szCs w:val="24"/>
        </w:rPr>
        <w:t xml:space="preserve"> Tax Compliance</w:t>
      </w:r>
      <w:r w:rsidRPr="005D2725">
        <w:rPr>
          <w:rFonts w:ascii="Times New Roman" w:hAnsi="Times New Roman"/>
          <w:sz w:val="24"/>
          <w:szCs w:val="24"/>
        </w:rPr>
        <w:t xml:space="preserve"> Audit on the Appellant </w:t>
      </w:r>
      <w:r w:rsidR="002430C1" w:rsidRPr="005D2725">
        <w:rPr>
          <w:rFonts w:ascii="Times New Roman" w:hAnsi="Times New Roman"/>
          <w:sz w:val="24"/>
          <w:szCs w:val="24"/>
        </w:rPr>
        <w:t xml:space="preserve">covering the period </w:t>
      </w:r>
      <w:r w:rsidRPr="005D2725">
        <w:rPr>
          <w:rFonts w:ascii="Times New Roman" w:hAnsi="Times New Roman"/>
          <w:sz w:val="24"/>
          <w:szCs w:val="24"/>
        </w:rPr>
        <w:t xml:space="preserve">2008 to 2012 </w:t>
      </w:r>
      <w:r w:rsidR="002430C1" w:rsidRPr="005D2725">
        <w:rPr>
          <w:rFonts w:ascii="Times New Roman" w:hAnsi="Times New Roman"/>
          <w:sz w:val="24"/>
          <w:szCs w:val="24"/>
        </w:rPr>
        <w:t>in relation to the treatment of contingency reserves. On 2</w:t>
      </w:r>
      <w:r w:rsidR="002430C1" w:rsidRPr="005D2725">
        <w:rPr>
          <w:rFonts w:ascii="Times New Roman" w:hAnsi="Times New Roman"/>
          <w:sz w:val="24"/>
          <w:szCs w:val="24"/>
          <w:vertAlign w:val="superscript"/>
        </w:rPr>
        <w:t>nd</w:t>
      </w:r>
      <w:r w:rsidR="002430C1" w:rsidRPr="005D2725">
        <w:rPr>
          <w:rFonts w:ascii="Times New Roman" w:hAnsi="Times New Roman"/>
          <w:sz w:val="24"/>
          <w:szCs w:val="24"/>
        </w:rPr>
        <w:t xml:space="preserve"> October 2013 the Respondent served the Applicant its findings</w:t>
      </w:r>
      <w:r w:rsidR="00E637FD" w:rsidRPr="005D2725">
        <w:rPr>
          <w:rFonts w:ascii="Times New Roman" w:hAnsi="Times New Roman"/>
          <w:sz w:val="24"/>
          <w:szCs w:val="24"/>
        </w:rPr>
        <w:t xml:space="preserve"> </w:t>
      </w:r>
      <w:r w:rsidR="00E637FD" w:rsidRPr="005D2725">
        <w:rPr>
          <w:rFonts w:ascii="Times New Roman" w:hAnsi="Times New Roman"/>
          <w:b/>
          <w:sz w:val="24"/>
          <w:szCs w:val="24"/>
        </w:rPr>
        <w:t>RE1</w:t>
      </w:r>
      <w:r w:rsidR="002430C1" w:rsidRPr="005D2725">
        <w:rPr>
          <w:rFonts w:ascii="Times New Roman" w:hAnsi="Times New Roman"/>
          <w:sz w:val="24"/>
          <w:szCs w:val="24"/>
        </w:rPr>
        <w:t>. She wrote;</w:t>
      </w:r>
    </w:p>
    <w:p w:rsidR="002430C1" w:rsidRPr="005D2725" w:rsidRDefault="002430C1" w:rsidP="005D2725">
      <w:pPr>
        <w:spacing w:line="360" w:lineRule="auto"/>
        <w:ind w:left="1440" w:right="1440"/>
        <w:jc w:val="both"/>
        <w:rPr>
          <w:rFonts w:ascii="Times New Roman" w:hAnsi="Times New Roman"/>
          <w:i/>
          <w:sz w:val="24"/>
          <w:szCs w:val="24"/>
        </w:rPr>
      </w:pPr>
      <w:r w:rsidRPr="005D2725">
        <w:rPr>
          <w:rFonts w:ascii="Times New Roman" w:hAnsi="Times New Roman"/>
          <w:i/>
          <w:sz w:val="24"/>
          <w:szCs w:val="24"/>
        </w:rPr>
        <w:lastRenderedPageBreak/>
        <w:t>“We verified financial statements for the period 2008 to 2012 with special emphasis on the treatment of contingency Reserves. In determining the chargeable income of an insurance business, paragraph 3(d) of the 4</w:t>
      </w:r>
      <w:r w:rsidRPr="005D2725">
        <w:rPr>
          <w:rFonts w:ascii="Times New Roman" w:hAnsi="Times New Roman"/>
          <w:i/>
          <w:sz w:val="24"/>
          <w:szCs w:val="24"/>
          <w:vertAlign w:val="superscript"/>
        </w:rPr>
        <w:t>th</w:t>
      </w:r>
      <w:r w:rsidRPr="005D2725">
        <w:rPr>
          <w:rFonts w:ascii="Times New Roman" w:hAnsi="Times New Roman"/>
          <w:i/>
          <w:sz w:val="24"/>
          <w:szCs w:val="24"/>
        </w:rPr>
        <w:t xml:space="preserve"> Schedule of the ITA Cap 340 allows for the deduction the amount of a reserve for unexpired risks.</w:t>
      </w:r>
    </w:p>
    <w:p w:rsidR="002430C1" w:rsidRPr="005D2725" w:rsidRDefault="002430C1" w:rsidP="005D2725">
      <w:pPr>
        <w:spacing w:line="360" w:lineRule="auto"/>
        <w:ind w:left="1440" w:right="1440"/>
        <w:jc w:val="both"/>
        <w:rPr>
          <w:rFonts w:ascii="Times New Roman" w:hAnsi="Times New Roman"/>
          <w:i/>
          <w:sz w:val="24"/>
          <w:szCs w:val="24"/>
        </w:rPr>
      </w:pPr>
      <w:r w:rsidRPr="005D2725">
        <w:rPr>
          <w:rFonts w:ascii="Times New Roman" w:hAnsi="Times New Roman"/>
          <w:i/>
          <w:sz w:val="24"/>
          <w:szCs w:val="24"/>
        </w:rPr>
        <w:t>Contingency reserves which are provided to cover fluctuations in securities and variations in statistical estimates are not allowable deductions because they do not fall under the category of reserves for unexpired risks referred to in paragraph 3(d) of the 4</w:t>
      </w:r>
      <w:r w:rsidRPr="005D2725">
        <w:rPr>
          <w:rFonts w:ascii="Times New Roman" w:hAnsi="Times New Roman"/>
          <w:i/>
          <w:sz w:val="24"/>
          <w:szCs w:val="24"/>
          <w:vertAlign w:val="superscript"/>
        </w:rPr>
        <w:t>th</w:t>
      </w:r>
      <w:r w:rsidRPr="005D2725">
        <w:rPr>
          <w:rFonts w:ascii="Times New Roman" w:hAnsi="Times New Roman"/>
          <w:i/>
          <w:sz w:val="24"/>
          <w:szCs w:val="24"/>
        </w:rPr>
        <w:t xml:space="preserve"> Schedule of the ITA Cap 340.</w:t>
      </w:r>
    </w:p>
    <w:p w:rsidR="002430C1" w:rsidRPr="005D2725" w:rsidRDefault="00522849" w:rsidP="005D2725">
      <w:pPr>
        <w:spacing w:line="360" w:lineRule="auto"/>
        <w:ind w:left="1440" w:right="1440"/>
        <w:jc w:val="both"/>
        <w:rPr>
          <w:rFonts w:ascii="Times New Roman" w:hAnsi="Times New Roman"/>
          <w:i/>
          <w:sz w:val="24"/>
          <w:szCs w:val="24"/>
        </w:rPr>
      </w:pPr>
      <w:proofErr w:type="gramStart"/>
      <w:r w:rsidRPr="005D2725">
        <w:rPr>
          <w:rFonts w:ascii="Times New Roman" w:hAnsi="Times New Roman"/>
          <w:i/>
          <w:sz w:val="24"/>
          <w:szCs w:val="24"/>
        </w:rPr>
        <w:t xml:space="preserve">Contingency </w:t>
      </w:r>
      <w:r w:rsidR="002430C1" w:rsidRPr="005D2725">
        <w:rPr>
          <w:rFonts w:ascii="Times New Roman" w:hAnsi="Times New Roman"/>
          <w:i/>
          <w:sz w:val="24"/>
          <w:szCs w:val="24"/>
        </w:rPr>
        <w:t>reserves amounting to UGX.</w:t>
      </w:r>
      <w:proofErr w:type="gramEnd"/>
      <w:r w:rsidR="002430C1" w:rsidRPr="005D2725">
        <w:rPr>
          <w:rFonts w:ascii="Times New Roman" w:hAnsi="Times New Roman"/>
          <w:i/>
          <w:sz w:val="24"/>
          <w:szCs w:val="24"/>
        </w:rPr>
        <w:t xml:space="preserve"> 1,815,897,000/= for the period 2008 to 2012 were claimed as deductions for corporation tax which resulted in the understatement of taxable profits/chargeable income.”</w:t>
      </w:r>
    </w:p>
    <w:p w:rsidR="00253C31" w:rsidRPr="005D2725" w:rsidRDefault="00253C31" w:rsidP="005D2725">
      <w:pPr>
        <w:spacing w:line="360" w:lineRule="auto"/>
        <w:jc w:val="both"/>
        <w:rPr>
          <w:rFonts w:ascii="Times New Roman" w:hAnsi="Times New Roman"/>
          <w:sz w:val="24"/>
          <w:szCs w:val="24"/>
        </w:rPr>
      </w:pPr>
      <w:r w:rsidRPr="005D2725">
        <w:rPr>
          <w:rFonts w:ascii="Times New Roman" w:hAnsi="Times New Roman"/>
          <w:sz w:val="24"/>
          <w:szCs w:val="24"/>
        </w:rPr>
        <w:t>The Appellant rejected this assessment. In a letter dated 11</w:t>
      </w:r>
      <w:r w:rsidRPr="005D2725">
        <w:rPr>
          <w:rFonts w:ascii="Times New Roman" w:hAnsi="Times New Roman"/>
          <w:sz w:val="24"/>
          <w:szCs w:val="24"/>
          <w:vertAlign w:val="superscript"/>
        </w:rPr>
        <w:t>th</w:t>
      </w:r>
      <w:r w:rsidRPr="005D2725">
        <w:rPr>
          <w:rFonts w:ascii="Times New Roman" w:hAnsi="Times New Roman"/>
          <w:sz w:val="24"/>
          <w:szCs w:val="24"/>
        </w:rPr>
        <w:t xml:space="preserve"> October 2013 </w:t>
      </w:r>
      <w:r w:rsidR="001357AD" w:rsidRPr="005D2725">
        <w:rPr>
          <w:rFonts w:ascii="Times New Roman" w:hAnsi="Times New Roman"/>
          <w:b/>
          <w:sz w:val="24"/>
          <w:szCs w:val="24"/>
        </w:rPr>
        <w:t>A6</w:t>
      </w:r>
      <w:r w:rsidRPr="005D2725">
        <w:rPr>
          <w:rFonts w:ascii="Times New Roman" w:hAnsi="Times New Roman"/>
          <w:sz w:val="24"/>
          <w:szCs w:val="24"/>
        </w:rPr>
        <w:t xml:space="preserve"> Destiny Consultants Limited on behalf of her client the Appellant wrote to the Assistant Commissioner Compliance Management Domestic Tax Department;</w:t>
      </w:r>
    </w:p>
    <w:p w:rsidR="00253C31" w:rsidRPr="005D2725" w:rsidRDefault="00253C31" w:rsidP="005D2725">
      <w:pPr>
        <w:spacing w:line="360" w:lineRule="auto"/>
        <w:ind w:left="1440" w:right="1440"/>
        <w:jc w:val="both"/>
        <w:rPr>
          <w:rFonts w:ascii="Times New Roman" w:hAnsi="Times New Roman"/>
          <w:i/>
          <w:sz w:val="24"/>
          <w:szCs w:val="24"/>
        </w:rPr>
      </w:pPr>
      <w:r w:rsidRPr="005D2725">
        <w:rPr>
          <w:rFonts w:ascii="Times New Roman" w:hAnsi="Times New Roman"/>
          <w:sz w:val="24"/>
          <w:szCs w:val="24"/>
        </w:rPr>
        <w:t>“</w:t>
      </w:r>
      <w:r w:rsidRPr="005D2725">
        <w:rPr>
          <w:rFonts w:ascii="Times New Roman" w:hAnsi="Times New Roman"/>
          <w:i/>
          <w:sz w:val="24"/>
          <w:szCs w:val="24"/>
        </w:rPr>
        <w:t>Reference is made to your letter of 2</w:t>
      </w:r>
      <w:r w:rsidRPr="005D2725">
        <w:rPr>
          <w:rFonts w:ascii="Times New Roman" w:hAnsi="Times New Roman"/>
          <w:i/>
          <w:sz w:val="24"/>
          <w:szCs w:val="24"/>
          <w:vertAlign w:val="superscript"/>
        </w:rPr>
        <w:t>nd</w:t>
      </w:r>
      <w:r w:rsidRPr="005D2725">
        <w:rPr>
          <w:rFonts w:ascii="Times New Roman" w:hAnsi="Times New Roman"/>
          <w:i/>
          <w:sz w:val="24"/>
          <w:szCs w:val="24"/>
        </w:rPr>
        <w:t xml:space="preserve"> October 2013 addressed to our client </w:t>
      </w:r>
      <w:proofErr w:type="spellStart"/>
      <w:r w:rsidRPr="005D2725">
        <w:rPr>
          <w:rFonts w:ascii="Times New Roman" w:hAnsi="Times New Roman"/>
          <w:i/>
          <w:sz w:val="24"/>
          <w:szCs w:val="24"/>
        </w:rPr>
        <w:t>Goldstar</w:t>
      </w:r>
      <w:proofErr w:type="spellEnd"/>
      <w:r w:rsidRPr="005D2725">
        <w:rPr>
          <w:rFonts w:ascii="Times New Roman" w:hAnsi="Times New Roman"/>
          <w:i/>
          <w:sz w:val="24"/>
          <w:szCs w:val="24"/>
        </w:rPr>
        <w:t xml:space="preserve"> Insurance Co. Limited in respect to the tax treatment of contributions it makes to contingency reserves.</w:t>
      </w:r>
    </w:p>
    <w:p w:rsidR="00253C31" w:rsidRPr="005D2725" w:rsidRDefault="00253C31" w:rsidP="005D2725">
      <w:pPr>
        <w:spacing w:line="360" w:lineRule="auto"/>
        <w:ind w:left="1440" w:right="1350"/>
        <w:jc w:val="both"/>
        <w:rPr>
          <w:rFonts w:ascii="Times New Roman" w:hAnsi="Times New Roman"/>
          <w:i/>
          <w:sz w:val="24"/>
          <w:szCs w:val="24"/>
        </w:rPr>
      </w:pPr>
      <w:r w:rsidRPr="005D2725">
        <w:rPr>
          <w:rFonts w:ascii="Times New Roman" w:hAnsi="Times New Roman"/>
          <w:i/>
          <w:sz w:val="24"/>
          <w:szCs w:val="24"/>
        </w:rPr>
        <w:t>In your letter you propose to disallow for corporation tax purposes contributions made by our client to contingency reserves on grounds that the deductions are not covered by paragraph 3(d) of the 4</w:t>
      </w:r>
      <w:r w:rsidRPr="005D2725">
        <w:rPr>
          <w:rFonts w:ascii="Times New Roman" w:hAnsi="Times New Roman"/>
          <w:i/>
          <w:sz w:val="24"/>
          <w:szCs w:val="24"/>
          <w:vertAlign w:val="superscript"/>
        </w:rPr>
        <w:t>th</w:t>
      </w:r>
      <w:r w:rsidRPr="005D2725">
        <w:rPr>
          <w:rFonts w:ascii="Times New Roman" w:hAnsi="Times New Roman"/>
          <w:i/>
          <w:sz w:val="24"/>
          <w:szCs w:val="24"/>
        </w:rPr>
        <w:t xml:space="preserve"> Schedule of Income Tax Act Cap 340.”</w:t>
      </w:r>
    </w:p>
    <w:p w:rsidR="00253C31" w:rsidRPr="005D2725" w:rsidRDefault="00253C31" w:rsidP="005D2725">
      <w:pPr>
        <w:spacing w:line="360" w:lineRule="auto"/>
        <w:jc w:val="both"/>
        <w:rPr>
          <w:rFonts w:ascii="Times New Roman" w:hAnsi="Times New Roman"/>
          <w:sz w:val="24"/>
          <w:szCs w:val="24"/>
        </w:rPr>
      </w:pPr>
      <w:r w:rsidRPr="005D2725">
        <w:rPr>
          <w:rFonts w:ascii="Times New Roman" w:hAnsi="Times New Roman"/>
          <w:sz w:val="24"/>
          <w:szCs w:val="24"/>
        </w:rPr>
        <w:t>The objection was grounded on the following;</w:t>
      </w:r>
    </w:p>
    <w:p w:rsidR="00253C31" w:rsidRPr="005D2725" w:rsidRDefault="00253C31" w:rsidP="005D2725">
      <w:pPr>
        <w:spacing w:line="360" w:lineRule="auto"/>
        <w:ind w:left="1440" w:right="1440"/>
        <w:jc w:val="both"/>
        <w:rPr>
          <w:rFonts w:ascii="Times New Roman" w:hAnsi="Times New Roman"/>
          <w:i/>
          <w:sz w:val="24"/>
          <w:szCs w:val="24"/>
        </w:rPr>
      </w:pPr>
      <w:r w:rsidRPr="005D2725">
        <w:rPr>
          <w:rFonts w:ascii="Times New Roman" w:hAnsi="Times New Roman"/>
          <w:i/>
          <w:sz w:val="24"/>
          <w:szCs w:val="24"/>
        </w:rPr>
        <w:t>“On behalf of our client we object to your position and respond as follows.</w:t>
      </w:r>
    </w:p>
    <w:p w:rsidR="00253C31" w:rsidRPr="005D2725" w:rsidRDefault="00253C31" w:rsidP="005D2725">
      <w:pPr>
        <w:spacing w:line="360" w:lineRule="auto"/>
        <w:ind w:left="1440" w:right="1440"/>
        <w:jc w:val="both"/>
        <w:rPr>
          <w:rFonts w:ascii="Times New Roman" w:hAnsi="Times New Roman"/>
          <w:i/>
          <w:sz w:val="24"/>
          <w:szCs w:val="24"/>
        </w:rPr>
      </w:pPr>
      <w:proofErr w:type="spellStart"/>
      <w:r w:rsidRPr="005D2725">
        <w:rPr>
          <w:rFonts w:ascii="Times New Roman" w:hAnsi="Times New Roman"/>
          <w:i/>
          <w:sz w:val="24"/>
          <w:szCs w:val="24"/>
        </w:rPr>
        <w:t>Goldstar</w:t>
      </w:r>
      <w:proofErr w:type="spellEnd"/>
      <w:r w:rsidRPr="005D2725">
        <w:rPr>
          <w:rFonts w:ascii="Times New Roman" w:hAnsi="Times New Roman"/>
          <w:i/>
          <w:sz w:val="24"/>
          <w:szCs w:val="24"/>
        </w:rPr>
        <w:t xml:space="preserve"> Insurance Company Limited hereinafter referred to </w:t>
      </w:r>
      <w:proofErr w:type="spellStart"/>
      <w:r w:rsidRPr="005D2725">
        <w:rPr>
          <w:rFonts w:ascii="Times New Roman" w:hAnsi="Times New Roman"/>
          <w:i/>
          <w:sz w:val="24"/>
          <w:szCs w:val="24"/>
        </w:rPr>
        <w:t>Goldstar</w:t>
      </w:r>
      <w:proofErr w:type="spellEnd"/>
      <w:r w:rsidRPr="005D2725">
        <w:rPr>
          <w:rFonts w:ascii="Times New Roman" w:hAnsi="Times New Roman"/>
          <w:i/>
          <w:sz w:val="24"/>
          <w:szCs w:val="24"/>
        </w:rPr>
        <w:t xml:space="preserve">; makes transfers to the contingency reserves. The </w:t>
      </w:r>
      <w:r w:rsidRPr="005D2725">
        <w:rPr>
          <w:rFonts w:ascii="Times New Roman" w:hAnsi="Times New Roman"/>
          <w:i/>
          <w:sz w:val="24"/>
          <w:szCs w:val="24"/>
        </w:rPr>
        <w:lastRenderedPageBreak/>
        <w:t>contributions, which are a statutory requirement, are made in accordance with section 47(2) of the Insurance Act and have previously been claimed as a deduction for corporation tax purposes.</w:t>
      </w:r>
    </w:p>
    <w:p w:rsidR="00253C31" w:rsidRPr="005D2725" w:rsidRDefault="00253C31" w:rsidP="005D2725">
      <w:pPr>
        <w:spacing w:line="360" w:lineRule="auto"/>
        <w:ind w:left="1440" w:right="1440"/>
        <w:jc w:val="both"/>
        <w:rPr>
          <w:rFonts w:ascii="Times New Roman" w:hAnsi="Times New Roman"/>
          <w:i/>
          <w:sz w:val="24"/>
          <w:szCs w:val="24"/>
        </w:rPr>
      </w:pPr>
      <w:r w:rsidRPr="005D2725">
        <w:rPr>
          <w:rFonts w:ascii="Times New Roman" w:hAnsi="Times New Roman"/>
          <w:i/>
          <w:sz w:val="24"/>
          <w:szCs w:val="24"/>
        </w:rPr>
        <w:t>Section 47(2) (c )of the Insurance Act requires an annual transfer to contingency reserves equal to 2% of the gross premium income, or 15 % of the net profits, whichever is the greater, until the reserves accumulates to an amount stipulated by the Act.”</w:t>
      </w:r>
    </w:p>
    <w:p w:rsidR="00184745" w:rsidRPr="005D2725" w:rsidRDefault="00184745" w:rsidP="005D2725">
      <w:pPr>
        <w:spacing w:line="360" w:lineRule="auto"/>
        <w:jc w:val="both"/>
        <w:rPr>
          <w:rFonts w:ascii="Times New Roman" w:hAnsi="Times New Roman"/>
          <w:sz w:val="24"/>
          <w:szCs w:val="24"/>
        </w:rPr>
      </w:pPr>
      <w:r w:rsidRPr="005D2725">
        <w:rPr>
          <w:rFonts w:ascii="Times New Roman" w:hAnsi="Times New Roman"/>
          <w:sz w:val="24"/>
          <w:szCs w:val="24"/>
        </w:rPr>
        <w:t>On 17</w:t>
      </w:r>
      <w:r w:rsidRPr="005D2725">
        <w:rPr>
          <w:rFonts w:ascii="Times New Roman" w:hAnsi="Times New Roman"/>
          <w:sz w:val="24"/>
          <w:szCs w:val="24"/>
          <w:vertAlign w:val="superscript"/>
        </w:rPr>
        <w:t>th</w:t>
      </w:r>
      <w:r w:rsidRPr="005D2725">
        <w:rPr>
          <w:rFonts w:ascii="Times New Roman" w:hAnsi="Times New Roman"/>
          <w:sz w:val="24"/>
          <w:szCs w:val="24"/>
        </w:rPr>
        <w:t xml:space="preserve"> October 2013 the Respondent wrote</w:t>
      </w:r>
      <w:r w:rsidR="008B0EFF" w:rsidRPr="005D2725">
        <w:rPr>
          <w:rFonts w:ascii="Times New Roman" w:hAnsi="Times New Roman"/>
          <w:sz w:val="24"/>
          <w:szCs w:val="24"/>
        </w:rPr>
        <w:t xml:space="preserve"> to</w:t>
      </w:r>
      <w:r w:rsidRPr="005D2725">
        <w:rPr>
          <w:rFonts w:ascii="Times New Roman" w:hAnsi="Times New Roman"/>
          <w:sz w:val="24"/>
          <w:szCs w:val="24"/>
        </w:rPr>
        <w:t xml:space="preserve"> the Insurance Regulatory Authority of Uganda, </w:t>
      </w:r>
      <w:r w:rsidRPr="005D2725">
        <w:rPr>
          <w:rFonts w:ascii="Times New Roman" w:hAnsi="Times New Roman"/>
          <w:b/>
          <w:sz w:val="24"/>
          <w:szCs w:val="24"/>
        </w:rPr>
        <w:t xml:space="preserve">RE7 </w:t>
      </w:r>
      <w:r w:rsidRPr="005D2725">
        <w:rPr>
          <w:rFonts w:ascii="Times New Roman" w:hAnsi="Times New Roman"/>
          <w:sz w:val="24"/>
          <w:szCs w:val="24"/>
        </w:rPr>
        <w:t xml:space="preserve">requesting for </w:t>
      </w:r>
      <w:proofErr w:type="gramStart"/>
      <w:r w:rsidRPr="005D2725">
        <w:rPr>
          <w:rFonts w:ascii="Times New Roman" w:hAnsi="Times New Roman"/>
          <w:sz w:val="24"/>
          <w:szCs w:val="24"/>
        </w:rPr>
        <w:t>advise</w:t>
      </w:r>
      <w:proofErr w:type="gramEnd"/>
      <w:r w:rsidRPr="005D2725">
        <w:rPr>
          <w:rFonts w:ascii="Times New Roman" w:hAnsi="Times New Roman"/>
          <w:sz w:val="24"/>
          <w:szCs w:val="24"/>
        </w:rPr>
        <w:t xml:space="preserve"> on the purpose of Contingency Reserves and how they are computed to enable them give the appropriate tax treatment to insurance firms.</w:t>
      </w:r>
    </w:p>
    <w:p w:rsidR="00184745" w:rsidRPr="005D2725" w:rsidRDefault="00184745" w:rsidP="005D2725">
      <w:pPr>
        <w:spacing w:line="360" w:lineRule="auto"/>
        <w:jc w:val="both"/>
        <w:rPr>
          <w:rFonts w:ascii="Times New Roman" w:hAnsi="Times New Roman"/>
          <w:sz w:val="24"/>
          <w:szCs w:val="24"/>
        </w:rPr>
      </w:pPr>
      <w:r w:rsidRPr="005D2725">
        <w:rPr>
          <w:rFonts w:ascii="Times New Roman" w:hAnsi="Times New Roman"/>
          <w:sz w:val="24"/>
          <w:szCs w:val="24"/>
        </w:rPr>
        <w:t>In a response dated 22</w:t>
      </w:r>
      <w:r w:rsidRPr="005D2725">
        <w:rPr>
          <w:rFonts w:ascii="Times New Roman" w:hAnsi="Times New Roman"/>
          <w:sz w:val="24"/>
          <w:szCs w:val="24"/>
          <w:vertAlign w:val="superscript"/>
        </w:rPr>
        <w:t>nd</w:t>
      </w:r>
      <w:r w:rsidRPr="005D2725">
        <w:rPr>
          <w:rFonts w:ascii="Times New Roman" w:hAnsi="Times New Roman"/>
          <w:sz w:val="24"/>
          <w:szCs w:val="24"/>
        </w:rPr>
        <w:t xml:space="preserve"> October 2012 </w:t>
      </w:r>
      <w:r w:rsidRPr="005D2725">
        <w:rPr>
          <w:rFonts w:ascii="Times New Roman" w:hAnsi="Times New Roman"/>
          <w:b/>
          <w:sz w:val="24"/>
          <w:szCs w:val="24"/>
        </w:rPr>
        <w:t>RE8</w:t>
      </w:r>
      <w:r w:rsidR="008B0EFF" w:rsidRPr="005D2725">
        <w:rPr>
          <w:rFonts w:ascii="Times New Roman" w:hAnsi="Times New Roman"/>
          <w:b/>
          <w:sz w:val="24"/>
          <w:szCs w:val="24"/>
        </w:rPr>
        <w:t xml:space="preserve"> </w:t>
      </w:r>
      <w:r w:rsidR="008B0EFF" w:rsidRPr="005D2725">
        <w:rPr>
          <w:rFonts w:ascii="Times New Roman" w:hAnsi="Times New Roman"/>
          <w:sz w:val="24"/>
          <w:szCs w:val="24"/>
        </w:rPr>
        <w:t>the</w:t>
      </w:r>
      <w:r w:rsidRPr="005D2725">
        <w:rPr>
          <w:rFonts w:ascii="Times New Roman" w:hAnsi="Times New Roman"/>
          <w:sz w:val="24"/>
          <w:szCs w:val="24"/>
        </w:rPr>
        <w:t xml:space="preserve"> Insurance Regulatory Authority</w:t>
      </w:r>
      <w:r w:rsidR="008B0EFF" w:rsidRPr="005D2725">
        <w:rPr>
          <w:rFonts w:ascii="Times New Roman" w:hAnsi="Times New Roman"/>
          <w:sz w:val="24"/>
          <w:szCs w:val="24"/>
        </w:rPr>
        <w:t xml:space="preserve"> of</w:t>
      </w:r>
      <w:r w:rsidRPr="005D2725">
        <w:rPr>
          <w:rFonts w:ascii="Times New Roman" w:hAnsi="Times New Roman"/>
          <w:sz w:val="24"/>
          <w:szCs w:val="24"/>
        </w:rPr>
        <w:t xml:space="preserve"> Uganda </w:t>
      </w:r>
      <w:r w:rsidR="004775C9" w:rsidRPr="005D2725">
        <w:rPr>
          <w:rFonts w:ascii="Times New Roman" w:hAnsi="Times New Roman"/>
          <w:sz w:val="24"/>
          <w:szCs w:val="24"/>
        </w:rPr>
        <w:t>referred</w:t>
      </w:r>
      <w:r w:rsidRPr="005D2725">
        <w:rPr>
          <w:rFonts w:ascii="Times New Roman" w:hAnsi="Times New Roman"/>
          <w:sz w:val="24"/>
          <w:szCs w:val="24"/>
        </w:rPr>
        <w:t xml:space="preserve"> to Contingency reserves as per section 47 of the Insurance Act Cap 213. She wrote;</w:t>
      </w:r>
    </w:p>
    <w:p w:rsidR="00184745" w:rsidRPr="005D2725" w:rsidRDefault="004775C9" w:rsidP="005D2725">
      <w:pPr>
        <w:spacing w:line="360" w:lineRule="auto"/>
        <w:ind w:left="1440" w:right="1440"/>
        <w:jc w:val="both"/>
        <w:rPr>
          <w:rFonts w:ascii="Times New Roman" w:hAnsi="Times New Roman"/>
          <w:i/>
          <w:sz w:val="24"/>
          <w:szCs w:val="24"/>
        </w:rPr>
      </w:pPr>
      <w:r w:rsidRPr="005D2725">
        <w:rPr>
          <w:rFonts w:ascii="Times New Roman" w:hAnsi="Times New Roman"/>
          <w:i/>
          <w:sz w:val="24"/>
          <w:szCs w:val="24"/>
        </w:rPr>
        <w:t>“</w:t>
      </w:r>
      <w:r w:rsidR="00184745" w:rsidRPr="005D2725">
        <w:rPr>
          <w:rFonts w:ascii="Times New Roman" w:hAnsi="Times New Roman"/>
          <w:i/>
          <w:sz w:val="24"/>
          <w:szCs w:val="24"/>
        </w:rPr>
        <w:t>This is one of the reserves an insurer must maintain in respect of each class of insurance business. The purpose of these reserves is to cover fluctuations</w:t>
      </w:r>
      <w:r w:rsidRPr="005D2725">
        <w:rPr>
          <w:rFonts w:ascii="Times New Roman" w:hAnsi="Times New Roman"/>
          <w:i/>
          <w:sz w:val="24"/>
          <w:szCs w:val="24"/>
        </w:rPr>
        <w:t xml:space="preserve"> in securities and variations in statistical estimates.”</w:t>
      </w:r>
    </w:p>
    <w:p w:rsidR="00184745" w:rsidRPr="005D2725" w:rsidRDefault="004775C9" w:rsidP="005D2725">
      <w:pPr>
        <w:spacing w:line="360" w:lineRule="auto"/>
        <w:jc w:val="both"/>
        <w:rPr>
          <w:rFonts w:ascii="Times New Roman" w:hAnsi="Times New Roman"/>
          <w:sz w:val="24"/>
          <w:szCs w:val="24"/>
        </w:rPr>
      </w:pPr>
      <w:r w:rsidRPr="005D2725">
        <w:rPr>
          <w:rFonts w:ascii="Times New Roman" w:hAnsi="Times New Roman"/>
          <w:sz w:val="24"/>
          <w:szCs w:val="24"/>
        </w:rPr>
        <w:t>As regards treatment in the financial statements the Insurance Regulatory Authority Uganda had this to say;</w:t>
      </w:r>
    </w:p>
    <w:p w:rsidR="004775C9" w:rsidRPr="005D2725" w:rsidRDefault="004775C9" w:rsidP="005D2725">
      <w:pPr>
        <w:spacing w:line="360" w:lineRule="auto"/>
        <w:ind w:left="1440" w:right="1440"/>
        <w:jc w:val="both"/>
        <w:rPr>
          <w:rFonts w:ascii="Times New Roman" w:hAnsi="Times New Roman"/>
          <w:i/>
          <w:sz w:val="24"/>
          <w:szCs w:val="24"/>
        </w:rPr>
      </w:pPr>
      <w:r w:rsidRPr="005D2725">
        <w:rPr>
          <w:rFonts w:ascii="Times New Roman" w:hAnsi="Times New Roman"/>
          <w:sz w:val="24"/>
          <w:szCs w:val="24"/>
        </w:rPr>
        <w:t>“</w:t>
      </w:r>
      <w:r w:rsidRPr="005D2725">
        <w:rPr>
          <w:rFonts w:ascii="Times New Roman" w:hAnsi="Times New Roman"/>
          <w:i/>
          <w:sz w:val="24"/>
          <w:szCs w:val="24"/>
        </w:rPr>
        <w:t xml:space="preserve">The movement in the reserve for the year is charged in the statement of changes in equity and not the income statement because it does not meet the recognition criteria of the International Accounting Standard </w:t>
      </w:r>
      <w:proofErr w:type="gramStart"/>
      <w:r w:rsidRPr="005D2725">
        <w:rPr>
          <w:rFonts w:ascii="Times New Roman" w:hAnsi="Times New Roman"/>
          <w:i/>
          <w:sz w:val="24"/>
          <w:szCs w:val="24"/>
        </w:rPr>
        <w:t>No.37(</w:t>
      </w:r>
      <w:proofErr w:type="gramEnd"/>
      <w:r w:rsidRPr="005D2725">
        <w:rPr>
          <w:rFonts w:ascii="Times New Roman" w:hAnsi="Times New Roman"/>
          <w:i/>
          <w:sz w:val="24"/>
          <w:szCs w:val="24"/>
        </w:rPr>
        <w:t>provisions contingent liabilities and contingent assets) to be accounted for in the income statement. As you are aware the IAS No. 37 requires that a provision shall be recognized where there is a present obligation arising out of a past event and it’s probable that an outflow of resourcing embodying economic benefit will occur. This is not the case with contingent reserves.”</w:t>
      </w:r>
    </w:p>
    <w:p w:rsidR="00DC18CE" w:rsidRPr="005D2725" w:rsidRDefault="00253C31" w:rsidP="005D2725">
      <w:pPr>
        <w:spacing w:line="360" w:lineRule="auto"/>
        <w:jc w:val="both"/>
        <w:rPr>
          <w:rFonts w:ascii="Times New Roman" w:hAnsi="Times New Roman"/>
          <w:sz w:val="24"/>
          <w:szCs w:val="24"/>
        </w:rPr>
      </w:pPr>
      <w:r w:rsidRPr="005D2725">
        <w:rPr>
          <w:rFonts w:ascii="Times New Roman" w:hAnsi="Times New Roman"/>
          <w:sz w:val="24"/>
          <w:szCs w:val="24"/>
        </w:rPr>
        <w:lastRenderedPageBreak/>
        <w:t>Maintaining her prior findings as of 2</w:t>
      </w:r>
      <w:r w:rsidRPr="005D2725">
        <w:rPr>
          <w:rFonts w:ascii="Times New Roman" w:hAnsi="Times New Roman"/>
          <w:sz w:val="24"/>
          <w:szCs w:val="24"/>
          <w:vertAlign w:val="superscript"/>
        </w:rPr>
        <w:t>nd</w:t>
      </w:r>
      <w:r w:rsidRPr="005D2725">
        <w:rPr>
          <w:rFonts w:ascii="Times New Roman" w:hAnsi="Times New Roman"/>
          <w:sz w:val="24"/>
          <w:szCs w:val="24"/>
        </w:rPr>
        <w:t xml:space="preserve"> October 2013 the </w:t>
      </w:r>
      <w:r w:rsidR="00AB4A71" w:rsidRPr="005D2725">
        <w:rPr>
          <w:rFonts w:ascii="Times New Roman" w:hAnsi="Times New Roman"/>
          <w:sz w:val="24"/>
          <w:szCs w:val="24"/>
        </w:rPr>
        <w:t xml:space="preserve">Respondent </w:t>
      </w:r>
      <w:r w:rsidRPr="005D2725">
        <w:rPr>
          <w:rFonts w:ascii="Times New Roman" w:hAnsi="Times New Roman"/>
          <w:sz w:val="24"/>
          <w:szCs w:val="24"/>
        </w:rPr>
        <w:t>replied by  issuing</w:t>
      </w:r>
      <w:r w:rsidR="00AB4A71" w:rsidRPr="005D2725">
        <w:rPr>
          <w:rFonts w:ascii="Times New Roman" w:hAnsi="Times New Roman"/>
          <w:sz w:val="24"/>
          <w:szCs w:val="24"/>
        </w:rPr>
        <w:t xml:space="preserve"> a Corporation Tax C</w:t>
      </w:r>
      <w:r w:rsidR="005D7C6A" w:rsidRPr="005D2725">
        <w:rPr>
          <w:rFonts w:ascii="Times New Roman" w:hAnsi="Times New Roman"/>
          <w:sz w:val="24"/>
          <w:szCs w:val="24"/>
        </w:rPr>
        <w:t>ompliance issue audit</w:t>
      </w:r>
      <w:r w:rsidR="00AB4A71" w:rsidRPr="005D2725">
        <w:rPr>
          <w:rFonts w:ascii="Times New Roman" w:hAnsi="Times New Roman"/>
          <w:sz w:val="24"/>
          <w:szCs w:val="24"/>
        </w:rPr>
        <w:t xml:space="preserve"> dated 24</w:t>
      </w:r>
      <w:r w:rsidR="00AB4A71" w:rsidRPr="005D2725">
        <w:rPr>
          <w:rFonts w:ascii="Times New Roman" w:hAnsi="Times New Roman"/>
          <w:sz w:val="24"/>
          <w:szCs w:val="24"/>
          <w:vertAlign w:val="superscript"/>
        </w:rPr>
        <w:t>th</w:t>
      </w:r>
      <w:r w:rsidR="00AB4A71" w:rsidRPr="005D2725">
        <w:rPr>
          <w:rFonts w:ascii="Times New Roman" w:hAnsi="Times New Roman"/>
          <w:sz w:val="24"/>
          <w:szCs w:val="24"/>
        </w:rPr>
        <w:t xml:space="preserve"> October 2013</w:t>
      </w:r>
      <w:r w:rsidRPr="005D2725">
        <w:rPr>
          <w:rFonts w:ascii="Times New Roman" w:hAnsi="Times New Roman"/>
          <w:sz w:val="24"/>
          <w:szCs w:val="24"/>
        </w:rPr>
        <w:t xml:space="preserve"> </w:t>
      </w:r>
      <w:r w:rsidRPr="005D2725">
        <w:rPr>
          <w:rFonts w:ascii="Times New Roman" w:hAnsi="Times New Roman"/>
          <w:b/>
          <w:sz w:val="24"/>
          <w:szCs w:val="24"/>
        </w:rPr>
        <w:t>RE4</w:t>
      </w:r>
      <w:r w:rsidR="005D7C6A" w:rsidRPr="005D2725">
        <w:rPr>
          <w:rFonts w:ascii="Times New Roman" w:hAnsi="Times New Roman"/>
          <w:sz w:val="24"/>
          <w:szCs w:val="24"/>
        </w:rPr>
        <w:t xml:space="preserve"> to the Appellant for the period 2008-2012 indicating a tax liability of UGX 699,319,467/= inclusive of penal tax. By the same audit the Appellant was advised to</w:t>
      </w:r>
      <w:r w:rsidR="00DC18CE" w:rsidRPr="005D2725">
        <w:rPr>
          <w:rFonts w:ascii="Times New Roman" w:hAnsi="Times New Roman"/>
          <w:sz w:val="24"/>
          <w:szCs w:val="24"/>
        </w:rPr>
        <w:t xml:space="preserve"> pay the UGX. 699,319,467/= immediately to avoid accumulation of interest on the outstanding stated sum.</w:t>
      </w:r>
      <w:r w:rsidR="004775C9" w:rsidRPr="005D2725">
        <w:rPr>
          <w:rFonts w:ascii="Times New Roman" w:hAnsi="Times New Roman"/>
          <w:sz w:val="24"/>
          <w:szCs w:val="24"/>
        </w:rPr>
        <w:t xml:space="preserve"> </w:t>
      </w:r>
      <w:r w:rsidR="00FB08BE" w:rsidRPr="005D2725">
        <w:rPr>
          <w:rFonts w:ascii="Times New Roman" w:hAnsi="Times New Roman"/>
          <w:sz w:val="24"/>
          <w:szCs w:val="24"/>
        </w:rPr>
        <w:t xml:space="preserve">On </w:t>
      </w:r>
      <w:r w:rsidR="00DC18CE" w:rsidRPr="005D2725">
        <w:rPr>
          <w:rFonts w:ascii="Times New Roman" w:hAnsi="Times New Roman"/>
          <w:sz w:val="24"/>
          <w:szCs w:val="24"/>
        </w:rPr>
        <w:t>28</w:t>
      </w:r>
      <w:r w:rsidR="00DC18CE" w:rsidRPr="005D2725">
        <w:rPr>
          <w:rFonts w:ascii="Times New Roman" w:hAnsi="Times New Roman"/>
          <w:sz w:val="24"/>
          <w:szCs w:val="24"/>
          <w:vertAlign w:val="superscript"/>
        </w:rPr>
        <w:t>th</w:t>
      </w:r>
      <w:r w:rsidR="00DC18CE" w:rsidRPr="005D2725">
        <w:rPr>
          <w:rFonts w:ascii="Times New Roman" w:hAnsi="Times New Roman"/>
          <w:sz w:val="24"/>
          <w:szCs w:val="24"/>
        </w:rPr>
        <w:t xml:space="preserve"> October 2013 the Respondent </w:t>
      </w:r>
      <w:r w:rsidR="00FB08BE" w:rsidRPr="005D2725">
        <w:rPr>
          <w:rFonts w:ascii="Times New Roman" w:hAnsi="Times New Roman"/>
          <w:sz w:val="24"/>
          <w:szCs w:val="24"/>
        </w:rPr>
        <w:t xml:space="preserve">addressed </w:t>
      </w:r>
      <w:r w:rsidR="00DC18CE" w:rsidRPr="005D2725">
        <w:rPr>
          <w:rFonts w:ascii="Times New Roman" w:hAnsi="Times New Roman"/>
          <w:sz w:val="24"/>
          <w:szCs w:val="24"/>
        </w:rPr>
        <w:t>the Appellant’s objection to the tax assessment</w:t>
      </w:r>
      <w:r w:rsidR="00FB08BE" w:rsidRPr="005D2725">
        <w:rPr>
          <w:rFonts w:ascii="Times New Roman" w:hAnsi="Times New Roman"/>
          <w:sz w:val="24"/>
          <w:szCs w:val="24"/>
        </w:rPr>
        <w:t xml:space="preserve"> </w:t>
      </w:r>
      <w:r w:rsidR="00FB08BE" w:rsidRPr="005D2725">
        <w:rPr>
          <w:rFonts w:ascii="Times New Roman" w:hAnsi="Times New Roman"/>
          <w:b/>
          <w:sz w:val="24"/>
          <w:szCs w:val="24"/>
        </w:rPr>
        <w:t>RE3</w:t>
      </w:r>
      <w:r w:rsidR="00DC18CE" w:rsidRPr="005D2725">
        <w:rPr>
          <w:rFonts w:ascii="Times New Roman" w:hAnsi="Times New Roman"/>
          <w:sz w:val="24"/>
          <w:szCs w:val="24"/>
        </w:rPr>
        <w:t>. The Respondent wrote to the Appellant in these words;</w:t>
      </w:r>
    </w:p>
    <w:p w:rsidR="00DC18CE" w:rsidRPr="005D2725" w:rsidRDefault="00DC18CE" w:rsidP="005D2725">
      <w:pPr>
        <w:spacing w:line="360" w:lineRule="auto"/>
        <w:ind w:left="1440" w:right="1440"/>
        <w:jc w:val="both"/>
        <w:rPr>
          <w:rFonts w:ascii="Times New Roman" w:hAnsi="Times New Roman"/>
          <w:i/>
          <w:sz w:val="24"/>
          <w:szCs w:val="24"/>
        </w:rPr>
      </w:pPr>
      <w:r w:rsidRPr="005D2725">
        <w:rPr>
          <w:rFonts w:ascii="Times New Roman" w:hAnsi="Times New Roman"/>
          <w:sz w:val="24"/>
          <w:szCs w:val="24"/>
        </w:rPr>
        <w:t>“</w:t>
      </w:r>
      <w:r w:rsidRPr="005D2725">
        <w:rPr>
          <w:rFonts w:ascii="Times New Roman" w:hAnsi="Times New Roman"/>
          <w:i/>
          <w:sz w:val="24"/>
          <w:szCs w:val="24"/>
        </w:rPr>
        <w:t>The movement in the reserve for the year is charged in the statement of changes in equity and not the income statement because it does not meet the recognition criteria of International Accounting Standard No. 37 (</w:t>
      </w:r>
      <w:r w:rsidR="004D274A" w:rsidRPr="005D2725">
        <w:rPr>
          <w:rFonts w:ascii="Times New Roman" w:hAnsi="Times New Roman"/>
          <w:i/>
          <w:sz w:val="24"/>
          <w:szCs w:val="24"/>
        </w:rPr>
        <w:t>provisions</w:t>
      </w:r>
      <w:r w:rsidRPr="005D2725">
        <w:rPr>
          <w:rFonts w:ascii="Times New Roman" w:hAnsi="Times New Roman"/>
          <w:i/>
          <w:sz w:val="24"/>
          <w:szCs w:val="24"/>
        </w:rPr>
        <w:t>, contingent liabilities and contingent assets) to be accounted for in the income statement. IAS No. 37 also requires that a provision shall be recognized where there is a present obligation arising out of a past event and it’s probable that an outflow of resources embodying economic benefit will occur. This is not the case with contingency reserves.</w:t>
      </w:r>
    </w:p>
    <w:p w:rsidR="00DC18CE" w:rsidRPr="005D2725" w:rsidRDefault="00DC18CE" w:rsidP="005D2725">
      <w:pPr>
        <w:spacing w:line="360" w:lineRule="auto"/>
        <w:ind w:left="1440" w:right="1350"/>
        <w:jc w:val="both"/>
        <w:rPr>
          <w:rFonts w:ascii="Times New Roman" w:hAnsi="Times New Roman"/>
          <w:sz w:val="24"/>
          <w:szCs w:val="24"/>
        </w:rPr>
      </w:pPr>
      <w:r w:rsidRPr="005D2725">
        <w:rPr>
          <w:rFonts w:ascii="Times New Roman" w:hAnsi="Times New Roman"/>
          <w:i/>
          <w:sz w:val="24"/>
          <w:szCs w:val="24"/>
        </w:rPr>
        <w:t>In light of the above, we still maintain that contingency reserves which are provided to cover, fluctuations in securities and variations in statistical estimates are not allowable deductions because they do not fall under the category of reserves for unexpired risks referred to in paragraph 3(d) of the 4</w:t>
      </w:r>
      <w:r w:rsidRPr="005D2725">
        <w:rPr>
          <w:rFonts w:ascii="Times New Roman" w:hAnsi="Times New Roman"/>
          <w:i/>
          <w:sz w:val="24"/>
          <w:szCs w:val="24"/>
          <w:vertAlign w:val="superscript"/>
        </w:rPr>
        <w:t>th</w:t>
      </w:r>
      <w:r w:rsidRPr="005D2725">
        <w:rPr>
          <w:rFonts w:ascii="Times New Roman" w:hAnsi="Times New Roman"/>
          <w:i/>
          <w:sz w:val="24"/>
          <w:szCs w:val="24"/>
        </w:rPr>
        <w:t xml:space="preserve"> Schedule of the ITA Cap 340…” </w:t>
      </w:r>
    </w:p>
    <w:p w:rsidR="004D274A" w:rsidRPr="005D2725" w:rsidRDefault="004D274A" w:rsidP="005D2725">
      <w:pPr>
        <w:spacing w:line="360" w:lineRule="auto"/>
        <w:jc w:val="both"/>
        <w:rPr>
          <w:rFonts w:ascii="Times New Roman" w:hAnsi="Times New Roman"/>
          <w:sz w:val="24"/>
          <w:szCs w:val="24"/>
        </w:rPr>
      </w:pPr>
      <w:r w:rsidRPr="005D2725">
        <w:rPr>
          <w:rFonts w:ascii="Times New Roman" w:hAnsi="Times New Roman"/>
          <w:sz w:val="24"/>
          <w:szCs w:val="24"/>
        </w:rPr>
        <w:t>Aggrieved by the findings and decision of the Respondent the Appellant appealed to the Tax Appeal</w:t>
      </w:r>
      <w:r w:rsidR="004D7173" w:rsidRPr="005D2725">
        <w:rPr>
          <w:rFonts w:ascii="Times New Roman" w:hAnsi="Times New Roman"/>
          <w:sz w:val="24"/>
          <w:szCs w:val="24"/>
        </w:rPr>
        <w:t>s</w:t>
      </w:r>
      <w:r w:rsidRPr="005D2725">
        <w:rPr>
          <w:rFonts w:ascii="Times New Roman" w:hAnsi="Times New Roman"/>
          <w:sz w:val="24"/>
          <w:szCs w:val="24"/>
        </w:rPr>
        <w:t xml:space="preserve"> Tribunal. At the Tax Appeal</w:t>
      </w:r>
      <w:r w:rsidR="004D7173" w:rsidRPr="005D2725">
        <w:rPr>
          <w:rFonts w:ascii="Times New Roman" w:hAnsi="Times New Roman"/>
          <w:sz w:val="24"/>
          <w:szCs w:val="24"/>
        </w:rPr>
        <w:t>s</w:t>
      </w:r>
      <w:r w:rsidRPr="005D2725">
        <w:rPr>
          <w:rFonts w:ascii="Times New Roman" w:hAnsi="Times New Roman"/>
          <w:sz w:val="24"/>
          <w:szCs w:val="24"/>
        </w:rPr>
        <w:t xml:space="preserve"> Tribunal two issues were raised by the parties;</w:t>
      </w:r>
    </w:p>
    <w:p w:rsidR="004D274A" w:rsidRPr="005D2725" w:rsidRDefault="004D274A" w:rsidP="005D2725">
      <w:pPr>
        <w:pStyle w:val="ListParagraph"/>
        <w:numPr>
          <w:ilvl w:val="0"/>
          <w:numId w:val="2"/>
        </w:numPr>
        <w:spacing w:line="360" w:lineRule="auto"/>
        <w:jc w:val="both"/>
        <w:rPr>
          <w:rFonts w:ascii="Times New Roman" w:hAnsi="Times New Roman"/>
          <w:sz w:val="24"/>
          <w:szCs w:val="24"/>
        </w:rPr>
      </w:pPr>
      <w:r w:rsidRPr="005D2725">
        <w:rPr>
          <w:rFonts w:ascii="Times New Roman" w:hAnsi="Times New Roman"/>
          <w:sz w:val="24"/>
          <w:szCs w:val="24"/>
        </w:rPr>
        <w:t>Whether the Applicant is liable to pay the tax assessed and;</w:t>
      </w:r>
    </w:p>
    <w:p w:rsidR="004D274A" w:rsidRPr="005D2725" w:rsidRDefault="004D274A" w:rsidP="005D2725">
      <w:pPr>
        <w:pStyle w:val="ListParagraph"/>
        <w:numPr>
          <w:ilvl w:val="0"/>
          <w:numId w:val="2"/>
        </w:numPr>
        <w:spacing w:line="360" w:lineRule="auto"/>
        <w:jc w:val="both"/>
        <w:rPr>
          <w:rFonts w:ascii="Times New Roman" w:hAnsi="Times New Roman"/>
          <w:sz w:val="24"/>
          <w:szCs w:val="24"/>
        </w:rPr>
      </w:pPr>
      <w:r w:rsidRPr="005D2725">
        <w:rPr>
          <w:rFonts w:ascii="Times New Roman" w:hAnsi="Times New Roman"/>
          <w:sz w:val="24"/>
          <w:szCs w:val="24"/>
        </w:rPr>
        <w:t>What remedies and costs are available to the Parties?</w:t>
      </w:r>
    </w:p>
    <w:p w:rsidR="00EA559D" w:rsidRPr="005D2725" w:rsidRDefault="004D274A" w:rsidP="005D2725">
      <w:pPr>
        <w:spacing w:line="360" w:lineRule="auto"/>
        <w:jc w:val="both"/>
        <w:rPr>
          <w:rFonts w:ascii="Times New Roman" w:hAnsi="Times New Roman"/>
          <w:sz w:val="24"/>
          <w:szCs w:val="24"/>
        </w:rPr>
      </w:pPr>
      <w:r w:rsidRPr="005D2725">
        <w:rPr>
          <w:rFonts w:ascii="Times New Roman" w:hAnsi="Times New Roman"/>
          <w:sz w:val="24"/>
          <w:szCs w:val="24"/>
        </w:rPr>
        <w:t xml:space="preserve">The Appellant </w:t>
      </w:r>
      <w:r w:rsidR="00EA559D" w:rsidRPr="005D2725">
        <w:rPr>
          <w:rFonts w:ascii="Times New Roman" w:hAnsi="Times New Roman"/>
          <w:sz w:val="24"/>
          <w:szCs w:val="24"/>
        </w:rPr>
        <w:t>contend</w:t>
      </w:r>
      <w:r w:rsidRPr="005D2725">
        <w:rPr>
          <w:rFonts w:ascii="Times New Roman" w:hAnsi="Times New Roman"/>
          <w:sz w:val="24"/>
          <w:szCs w:val="24"/>
        </w:rPr>
        <w:t>ed</w:t>
      </w:r>
      <w:r w:rsidR="00EA559D" w:rsidRPr="005D2725">
        <w:rPr>
          <w:rFonts w:ascii="Times New Roman" w:hAnsi="Times New Roman"/>
          <w:sz w:val="24"/>
          <w:szCs w:val="24"/>
        </w:rPr>
        <w:t xml:space="preserve"> that the contingency reserves were allowable deductions unde</w:t>
      </w:r>
      <w:r w:rsidRPr="005D2725">
        <w:rPr>
          <w:rFonts w:ascii="Times New Roman" w:hAnsi="Times New Roman"/>
          <w:sz w:val="24"/>
          <w:szCs w:val="24"/>
        </w:rPr>
        <w:t>r the Income Tax Act and</w:t>
      </w:r>
      <w:r w:rsidR="00EA559D" w:rsidRPr="005D2725">
        <w:rPr>
          <w:rFonts w:ascii="Times New Roman" w:hAnsi="Times New Roman"/>
          <w:sz w:val="24"/>
          <w:szCs w:val="24"/>
        </w:rPr>
        <w:t xml:space="preserve"> that they were a statutory requirement under the insurance laws in Uganda.</w:t>
      </w:r>
    </w:p>
    <w:p w:rsidR="00EA559D" w:rsidRPr="005D2725" w:rsidRDefault="00EA559D" w:rsidP="005D2725">
      <w:pPr>
        <w:spacing w:line="360" w:lineRule="auto"/>
        <w:jc w:val="both"/>
        <w:rPr>
          <w:rFonts w:ascii="Times New Roman" w:hAnsi="Times New Roman"/>
          <w:sz w:val="24"/>
          <w:szCs w:val="24"/>
        </w:rPr>
      </w:pPr>
      <w:r w:rsidRPr="005D2725">
        <w:rPr>
          <w:rFonts w:ascii="Times New Roman" w:hAnsi="Times New Roman"/>
          <w:sz w:val="24"/>
          <w:szCs w:val="24"/>
        </w:rPr>
        <w:t xml:space="preserve">The Appellant also argued that the assessment was done after the period of five years and therefore time barred. The Respondent in response contended that the Appellant’s claims were </w:t>
      </w:r>
      <w:r w:rsidRPr="005D2725">
        <w:rPr>
          <w:rFonts w:ascii="Times New Roman" w:hAnsi="Times New Roman"/>
          <w:sz w:val="24"/>
          <w:szCs w:val="24"/>
        </w:rPr>
        <w:lastRenderedPageBreak/>
        <w:t>erroneous in as much as the Contingency reserves</w:t>
      </w:r>
      <w:r w:rsidR="002430C1" w:rsidRPr="005D2725">
        <w:rPr>
          <w:rFonts w:ascii="Times New Roman" w:hAnsi="Times New Roman"/>
          <w:sz w:val="24"/>
          <w:szCs w:val="24"/>
        </w:rPr>
        <w:t xml:space="preserve"> was not a deductible expense. It further contended that the assessment was not time barred.</w:t>
      </w:r>
    </w:p>
    <w:p w:rsidR="004D274A" w:rsidRPr="005D2725" w:rsidRDefault="004D274A" w:rsidP="005D2725">
      <w:pPr>
        <w:spacing w:line="360" w:lineRule="auto"/>
        <w:jc w:val="both"/>
        <w:rPr>
          <w:rFonts w:ascii="Times New Roman" w:hAnsi="Times New Roman"/>
          <w:sz w:val="24"/>
          <w:szCs w:val="24"/>
        </w:rPr>
      </w:pPr>
      <w:r w:rsidRPr="005D2725">
        <w:rPr>
          <w:rFonts w:ascii="Times New Roman" w:hAnsi="Times New Roman"/>
          <w:sz w:val="24"/>
          <w:szCs w:val="24"/>
        </w:rPr>
        <w:t>During the hearing of the matter before the Tribunal t</w:t>
      </w:r>
      <w:r w:rsidR="00913373" w:rsidRPr="005D2725">
        <w:rPr>
          <w:rFonts w:ascii="Times New Roman" w:hAnsi="Times New Roman"/>
          <w:sz w:val="24"/>
          <w:szCs w:val="24"/>
        </w:rPr>
        <w:t>he Respondent</w:t>
      </w:r>
      <w:r w:rsidR="00B57F58" w:rsidRPr="005D2725">
        <w:rPr>
          <w:rFonts w:ascii="Times New Roman" w:hAnsi="Times New Roman"/>
          <w:sz w:val="24"/>
          <w:szCs w:val="24"/>
        </w:rPr>
        <w:t xml:space="preserve"> conceded that the International </w:t>
      </w:r>
      <w:r w:rsidRPr="005D2725">
        <w:rPr>
          <w:rFonts w:ascii="Times New Roman" w:hAnsi="Times New Roman"/>
          <w:sz w:val="24"/>
          <w:szCs w:val="24"/>
        </w:rPr>
        <w:t>A</w:t>
      </w:r>
      <w:r w:rsidR="00B57F58" w:rsidRPr="005D2725">
        <w:rPr>
          <w:rFonts w:ascii="Times New Roman" w:hAnsi="Times New Roman"/>
          <w:sz w:val="24"/>
          <w:szCs w:val="24"/>
        </w:rPr>
        <w:t xml:space="preserve">ccounting </w:t>
      </w:r>
      <w:r w:rsidRPr="005D2725">
        <w:rPr>
          <w:rFonts w:ascii="Times New Roman" w:hAnsi="Times New Roman"/>
          <w:sz w:val="24"/>
          <w:szCs w:val="24"/>
        </w:rPr>
        <w:t>S</w:t>
      </w:r>
      <w:r w:rsidR="00B57F58" w:rsidRPr="005D2725">
        <w:rPr>
          <w:rFonts w:ascii="Times New Roman" w:hAnsi="Times New Roman"/>
          <w:sz w:val="24"/>
          <w:szCs w:val="24"/>
        </w:rPr>
        <w:t>tandard</w:t>
      </w:r>
      <w:r w:rsidRPr="005D2725">
        <w:rPr>
          <w:rFonts w:ascii="Times New Roman" w:hAnsi="Times New Roman"/>
          <w:sz w:val="24"/>
          <w:szCs w:val="24"/>
        </w:rPr>
        <w:t xml:space="preserve"> No. 37 is not applicable to insurance business.</w:t>
      </w:r>
      <w:r w:rsidR="00A53227" w:rsidRPr="005D2725">
        <w:rPr>
          <w:rFonts w:ascii="Times New Roman" w:hAnsi="Times New Roman"/>
          <w:sz w:val="24"/>
          <w:szCs w:val="24"/>
        </w:rPr>
        <w:t xml:space="preserve"> According to t</w:t>
      </w:r>
      <w:r w:rsidRPr="005D2725">
        <w:rPr>
          <w:rFonts w:ascii="Times New Roman" w:hAnsi="Times New Roman"/>
          <w:sz w:val="24"/>
          <w:szCs w:val="24"/>
        </w:rPr>
        <w:t xml:space="preserve">he Respondent </w:t>
      </w:r>
      <w:r w:rsidR="00A53227" w:rsidRPr="005D2725">
        <w:rPr>
          <w:rFonts w:ascii="Times New Roman" w:hAnsi="Times New Roman"/>
          <w:sz w:val="24"/>
          <w:szCs w:val="24"/>
        </w:rPr>
        <w:t>the rejection of the Applicant’s claim was premised on the fact the 4</w:t>
      </w:r>
      <w:r w:rsidR="00A53227" w:rsidRPr="005D2725">
        <w:rPr>
          <w:rFonts w:ascii="Times New Roman" w:hAnsi="Times New Roman"/>
          <w:sz w:val="24"/>
          <w:szCs w:val="24"/>
          <w:vertAlign w:val="superscript"/>
        </w:rPr>
        <w:t>th</w:t>
      </w:r>
      <w:r w:rsidR="00A53227" w:rsidRPr="005D2725">
        <w:rPr>
          <w:rFonts w:ascii="Times New Roman" w:hAnsi="Times New Roman"/>
          <w:sz w:val="24"/>
          <w:szCs w:val="24"/>
        </w:rPr>
        <w:t xml:space="preserve"> Schedule to the Income Tax Act does not provide for contingency reserves.</w:t>
      </w:r>
    </w:p>
    <w:p w:rsidR="00D31AB6" w:rsidRPr="005D2725" w:rsidRDefault="00A53227" w:rsidP="005D2725">
      <w:pPr>
        <w:spacing w:line="360" w:lineRule="auto"/>
        <w:jc w:val="both"/>
        <w:rPr>
          <w:rFonts w:ascii="Times New Roman" w:hAnsi="Times New Roman"/>
          <w:sz w:val="24"/>
          <w:szCs w:val="24"/>
        </w:rPr>
      </w:pPr>
      <w:r w:rsidRPr="005D2725">
        <w:rPr>
          <w:rFonts w:ascii="Times New Roman" w:hAnsi="Times New Roman"/>
          <w:sz w:val="24"/>
          <w:szCs w:val="24"/>
        </w:rPr>
        <w:t>The Tax Appeal</w:t>
      </w:r>
      <w:r w:rsidR="004D7173" w:rsidRPr="005D2725">
        <w:rPr>
          <w:rFonts w:ascii="Times New Roman" w:hAnsi="Times New Roman"/>
          <w:sz w:val="24"/>
          <w:szCs w:val="24"/>
        </w:rPr>
        <w:t>s</w:t>
      </w:r>
      <w:r w:rsidRPr="005D2725">
        <w:rPr>
          <w:rFonts w:ascii="Times New Roman" w:hAnsi="Times New Roman"/>
          <w:sz w:val="24"/>
          <w:szCs w:val="24"/>
        </w:rPr>
        <w:t xml:space="preserve"> Tribunal convinced by the Respondent’s arguments, dismissed the Appeal. The Appellant</w:t>
      </w:r>
      <w:r w:rsidR="004D7173" w:rsidRPr="005D2725">
        <w:rPr>
          <w:rFonts w:ascii="Times New Roman" w:hAnsi="Times New Roman"/>
          <w:sz w:val="24"/>
          <w:szCs w:val="24"/>
        </w:rPr>
        <w:t xml:space="preserve"> being aggrieved by the decision</w:t>
      </w:r>
      <w:r w:rsidRPr="005D2725">
        <w:rPr>
          <w:rFonts w:ascii="Times New Roman" w:hAnsi="Times New Roman"/>
          <w:sz w:val="24"/>
          <w:szCs w:val="24"/>
        </w:rPr>
        <w:t xml:space="preserve"> of the Tribunal filed this Appeal.</w:t>
      </w:r>
    </w:p>
    <w:p w:rsidR="00C27B40" w:rsidRPr="005D2725" w:rsidRDefault="00FB08BE" w:rsidP="005D2725">
      <w:pPr>
        <w:spacing w:line="360" w:lineRule="auto"/>
        <w:jc w:val="both"/>
        <w:rPr>
          <w:rFonts w:ascii="Times New Roman" w:hAnsi="Times New Roman"/>
          <w:i/>
          <w:sz w:val="24"/>
          <w:szCs w:val="24"/>
        </w:rPr>
      </w:pPr>
      <w:r w:rsidRPr="005D2725">
        <w:rPr>
          <w:rFonts w:ascii="Times New Roman" w:hAnsi="Times New Roman"/>
          <w:sz w:val="24"/>
          <w:szCs w:val="24"/>
        </w:rPr>
        <w:t>During the hearing of this A</w:t>
      </w:r>
      <w:r w:rsidR="00D31AB6" w:rsidRPr="005D2725">
        <w:rPr>
          <w:rFonts w:ascii="Times New Roman" w:hAnsi="Times New Roman"/>
          <w:sz w:val="24"/>
          <w:szCs w:val="24"/>
        </w:rPr>
        <w:t xml:space="preserve">ppeal the Appellant argued grounds 1 and 4 together and then proceeded to grounds 2, 3, and 5. The Respondent on the other hand narrowed the </w:t>
      </w:r>
      <w:r w:rsidRPr="005D2725">
        <w:rPr>
          <w:rFonts w:ascii="Times New Roman" w:hAnsi="Times New Roman"/>
          <w:sz w:val="24"/>
          <w:szCs w:val="24"/>
        </w:rPr>
        <w:t>grounds to two. The first being;</w:t>
      </w:r>
      <w:r w:rsidR="00D31AB6" w:rsidRPr="005D2725">
        <w:rPr>
          <w:rFonts w:ascii="Times New Roman" w:hAnsi="Times New Roman"/>
          <w:sz w:val="24"/>
          <w:szCs w:val="24"/>
        </w:rPr>
        <w:t xml:space="preserve"> </w:t>
      </w:r>
      <w:r w:rsidR="00D31AB6" w:rsidRPr="005D2725">
        <w:rPr>
          <w:rFonts w:ascii="Times New Roman" w:hAnsi="Times New Roman"/>
          <w:i/>
          <w:sz w:val="24"/>
          <w:szCs w:val="24"/>
        </w:rPr>
        <w:t>whether the Tax Appeals Tribunal erred in law in holding that contingency reserves are not allowable deductions for income tax purpose. Secondly whether the tribunal erred in law in holding that the corporation tax assessment against</w:t>
      </w:r>
      <w:r w:rsidR="00D31AB6" w:rsidRPr="005D2725">
        <w:rPr>
          <w:rFonts w:ascii="Times New Roman" w:hAnsi="Times New Roman"/>
          <w:sz w:val="24"/>
          <w:szCs w:val="24"/>
        </w:rPr>
        <w:t xml:space="preserve"> </w:t>
      </w:r>
      <w:r w:rsidR="00D31AB6" w:rsidRPr="005D2725">
        <w:rPr>
          <w:rFonts w:ascii="Times New Roman" w:hAnsi="Times New Roman"/>
          <w:i/>
          <w:sz w:val="24"/>
          <w:szCs w:val="24"/>
        </w:rPr>
        <w:t>the Respondent was not time barred.</w:t>
      </w:r>
    </w:p>
    <w:p w:rsidR="00A57415" w:rsidRPr="005D2725" w:rsidRDefault="00A57415" w:rsidP="005D2725">
      <w:pPr>
        <w:spacing w:after="0" w:line="360" w:lineRule="auto"/>
        <w:jc w:val="both"/>
        <w:rPr>
          <w:rFonts w:ascii="Times New Roman" w:hAnsi="Times New Roman"/>
          <w:sz w:val="24"/>
          <w:szCs w:val="24"/>
        </w:rPr>
      </w:pPr>
      <w:r w:rsidRPr="005D2725">
        <w:rPr>
          <w:rFonts w:ascii="Times New Roman" w:hAnsi="Times New Roman"/>
          <w:sz w:val="24"/>
          <w:szCs w:val="24"/>
        </w:rPr>
        <w:t>I have decided to deal with the first and second</w:t>
      </w:r>
      <w:r w:rsidR="008B0EFF" w:rsidRPr="005D2725">
        <w:rPr>
          <w:rFonts w:ascii="Times New Roman" w:hAnsi="Times New Roman"/>
          <w:sz w:val="24"/>
          <w:szCs w:val="24"/>
        </w:rPr>
        <w:t xml:space="preserve"> and fourth</w:t>
      </w:r>
      <w:r w:rsidRPr="005D2725">
        <w:rPr>
          <w:rFonts w:ascii="Times New Roman" w:hAnsi="Times New Roman"/>
          <w:sz w:val="24"/>
          <w:szCs w:val="24"/>
        </w:rPr>
        <w:t xml:space="preserve"> ground</w:t>
      </w:r>
      <w:r w:rsidR="008B0EFF" w:rsidRPr="005D2725">
        <w:rPr>
          <w:rFonts w:ascii="Times New Roman" w:hAnsi="Times New Roman"/>
          <w:sz w:val="24"/>
          <w:szCs w:val="24"/>
        </w:rPr>
        <w:t>s</w:t>
      </w:r>
      <w:r w:rsidRPr="005D2725">
        <w:rPr>
          <w:rFonts w:ascii="Times New Roman" w:hAnsi="Times New Roman"/>
          <w:sz w:val="24"/>
          <w:szCs w:val="24"/>
        </w:rPr>
        <w:t xml:space="preserve"> of Appeal together. The first ground of appeal is that the Tribunal erred in law when it misconstrued the issue of contingency reserves as provided for in the Income Tax Act. The second ground of appeal is that the Tribunal erred in law when it stated that Contingency reserves are not allowable deductions under Paragraph 3(</w:t>
      </w:r>
      <w:r w:rsidR="008B0EFF" w:rsidRPr="005D2725">
        <w:rPr>
          <w:rFonts w:ascii="Times New Roman" w:hAnsi="Times New Roman"/>
          <w:sz w:val="24"/>
          <w:szCs w:val="24"/>
        </w:rPr>
        <w:t>c)</w:t>
      </w:r>
      <w:r w:rsidRPr="005D2725">
        <w:rPr>
          <w:rFonts w:ascii="Times New Roman" w:hAnsi="Times New Roman"/>
          <w:sz w:val="24"/>
          <w:szCs w:val="24"/>
        </w:rPr>
        <w:t xml:space="preserve"> of the 4</w:t>
      </w:r>
      <w:r w:rsidRPr="005D2725">
        <w:rPr>
          <w:rFonts w:ascii="Times New Roman" w:hAnsi="Times New Roman"/>
          <w:sz w:val="24"/>
          <w:szCs w:val="24"/>
          <w:vertAlign w:val="superscript"/>
        </w:rPr>
        <w:t>th</w:t>
      </w:r>
      <w:r w:rsidRPr="005D2725">
        <w:rPr>
          <w:rFonts w:ascii="Times New Roman" w:hAnsi="Times New Roman"/>
          <w:sz w:val="24"/>
          <w:szCs w:val="24"/>
        </w:rPr>
        <w:t xml:space="preserve"> Schedule of the Income tax Act.</w:t>
      </w:r>
    </w:p>
    <w:p w:rsidR="008B0EFF" w:rsidRPr="005D2725" w:rsidRDefault="008B0EFF" w:rsidP="005D2725">
      <w:pPr>
        <w:spacing w:after="0" w:line="360" w:lineRule="auto"/>
        <w:jc w:val="both"/>
        <w:rPr>
          <w:rFonts w:ascii="Times New Roman" w:hAnsi="Times New Roman"/>
          <w:sz w:val="24"/>
          <w:szCs w:val="24"/>
        </w:rPr>
      </w:pPr>
      <w:r w:rsidRPr="005D2725">
        <w:rPr>
          <w:rFonts w:ascii="Times New Roman" w:hAnsi="Times New Roman"/>
          <w:sz w:val="24"/>
          <w:szCs w:val="24"/>
        </w:rPr>
        <w:t>The fourth ground of Appeal is that the Tribunal erred in law and fact when it stated that there is no relation between contingency reserves and unexpired risks.</w:t>
      </w:r>
    </w:p>
    <w:p w:rsidR="00A57415" w:rsidRPr="005D2725" w:rsidRDefault="00A57415" w:rsidP="005D2725">
      <w:pPr>
        <w:spacing w:after="0" w:line="360" w:lineRule="auto"/>
        <w:jc w:val="both"/>
        <w:rPr>
          <w:rFonts w:ascii="Times New Roman" w:hAnsi="Times New Roman"/>
          <w:sz w:val="24"/>
          <w:szCs w:val="24"/>
        </w:rPr>
      </w:pPr>
    </w:p>
    <w:p w:rsidR="00651B6E" w:rsidRPr="005D2725" w:rsidRDefault="00651B6E" w:rsidP="005D2725">
      <w:pPr>
        <w:spacing w:after="0" w:line="360" w:lineRule="auto"/>
        <w:jc w:val="both"/>
        <w:rPr>
          <w:rFonts w:ascii="Times New Roman" w:hAnsi="Times New Roman"/>
          <w:sz w:val="24"/>
          <w:szCs w:val="24"/>
        </w:rPr>
      </w:pPr>
      <w:r w:rsidRPr="005D2725">
        <w:rPr>
          <w:rFonts w:ascii="Times New Roman" w:hAnsi="Times New Roman"/>
          <w:sz w:val="24"/>
          <w:szCs w:val="24"/>
        </w:rPr>
        <w:t>The second ground of appeal as to the Tribunal having erred in law when it stated that Contingency reserves are not allowable deductions under paragraph 3(c) of the 4</w:t>
      </w:r>
      <w:r w:rsidRPr="005D2725">
        <w:rPr>
          <w:rFonts w:ascii="Times New Roman" w:hAnsi="Times New Roman"/>
          <w:sz w:val="24"/>
          <w:szCs w:val="24"/>
          <w:vertAlign w:val="superscript"/>
        </w:rPr>
        <w:t>th</w:t>
      </w:r>
      <w:r w:rsidRPr="005D2725">
        <w:rPr>
          <w:rFonts w:ascii="Times New Roman" w:hAnsi="Times New Roman"/>
          <w:sz w:val="24"/>
          <w:szCs w:val="24"/>
        </w:rPr>
        <w:t xml:space="preserve"> Schedule of the Income Tax Act it was the Appellant’s contention that any expenditure or loss incurred in the production of income is an allowable deduction in insurance business law as provided for under paragraph 3(c) of the 4</w:t>
      </w:r>
      <w:r w:rsidRPr="005D2725">
        <w:rPr>
          <w:rFonts w:ascii="Times New Roman" w:hAnsi="Times New Roman"/>
          <w:sz w:val="24"/>
          <w:szCs w:val="24"/>
          <w:vertAlign w:val="superscript"/>
        </w:rPr>
        <w:t>th</w:t>
      </w:r>
      <w:r w:rsidRPr="005D2725">
        <w:rPr>
          <w:rFonts w:ascii="Times New Roman" w:hAnsi="Times New Roman"/>
          <w:sz w:val="24"/>
          <w:szCs w:val="24"/>
        </w:rPr>
        <w:t xml:space="preserve"> Schedule of the Income Tax Act.</w:t>
      </w:r>
    </w:p>
    <w:p w:rsidR="00651B6E" w:rsidRPr="005D2725" w:rsidRDefault="00651B6E" w:rsidP="005D2725">
      <w:pPr>
        <w:spacing w:after="0" w:line="360" w:lineRule="auto"/>
        <w:jc w:val="both"/>
        <w:rPr>
          <w:rFonts w:ascii="Times New Roman" w:hAnsi="Times New Roman"/>
          <w:sz w:val="24"/>
          <w:szCs w:val="24"/>
        </w:rPr>
      </w:pPr>
    </w:p>
    <w:p w:rsidR="00651B6E" w:rsidRPr="005D2725" w:rsidRDefault="00651B6E" w:rsidP="005D2725">
      <w:pPr>
        <w:spacing w:after="0" w:line="360" w:lineRule="auto"/>
        <w:jc w:val="both"/>
        <w:rPr>
          <w:rFonts w:ascii="Times New Roman" w:hAnsi="Times New Roman"/>
          <w:sz w:val="24"/>
          <w:szCs w:val="24"/>
        </w:rPr>
      </w:pPr>
      <w:r w:rsidRPr="005D2725">
        <w:rPr>
          <w:rFonts w:ascii="Times New Roman" w:hAnsi="Times New Roman"/>
          <w:sz w:val="24"/>
          <w:szCs w:val="24"/>
        </w:rPr>
        <w:t xml:space="preserve">An allowable deduction in this case would be a deduction on any item or expenditure subtracted from gross income to reduce the amount of income subject to income tax.  The Respondent </w:t>
      </w:r>
      <w:r w:rsidRPr="005D2725">
        <w:rPr>
          <w:rFonts w:ascii="Times New Roman" w:hAnsi="Times New Roman"/>
          <w:sz w:val="24"/>
          <w:szCs w:val="24"/>
        </w:rPr>
        <w:lastRenderedPageBreak/>
        <w:t>contended that since Section 22 of the Income Tax Act which provided for allowable deductions on expenses of derived income was silent on contingency reserves, the Act did not bring contingency reserves under the purview of allowable deductions.</w:t>
      </w:r>
    </w:p>
    <w:p w:rsidR="00651B6E" w:rsidRPr="005D2725" w:rsidRDefault="00651B6E" w:rsidP="005D2725">
      <w:pPr>
        <w:spacing w:after="0" w:line="360" w:lineRule="auto"/>
        <w:jc w:val="both"/>
        <w:rPr>
          <w:rFonts w:ascii="Times New Roman" w:hAnsi="Times New Roman"/>
          <w:sz w:val="24"/>
          <w:szCs w:val="24"/>
        </w:rPr>
      </w:pPr>
      <w:r w:rsidRPr="005D2725">
        <w:rPr>
          <w:rFonts w:ascii="Times New Roman" w:hAnsi="Times New Roman"/>
          <w:sz w:val="24"/>
          <w:szCs w:val="24"/>
        </w:rPr>
        <w:t>Section 22 of the Income Tax Act provides;</w:t>
      </w:r>
    </w:p>
    <w:p w:rsidR="00651B6E" w:rsidRPr="005D2725" w:rsidRDefault="00651B6E" w:rsidP="005D2725">
      <w:pPr>
        <w:spacing w:after="0" w:line="360" w:lineRule="auto"/>
        <w:ind w:left="1440"/>
        <w:jc w:val="both"/>
        <w:rPr>
          <w:rFonts w:ascii="Times New Roman" w:hAnsi="Times New Roman"/>
          <w:sz w:val="24"/>
          <w:szCs w:val="24"/>
        </w:rPr>
      </w:pPr>
      <w:r w:rsidRPr="005D2725">
        <w:rPr>
          <w:rFonts w:ascii="Times New Roman" w:hAnsi="Times New Roman"/>
          <w:i/>
          <w:sz w:val="24"/>
          <w:szCs w:val="24"/>
        </w:rPr>
        <w:t>“</w:t>
      </w:r>
      <w:r w:rsidRPr="005D2725">
        <w:rPr>
          <w:rFonts w:ascii="Times New Roman" w:hAnsi="Times New Roman"/>
          <w:b/>
          <w:i/>
          <w:sz w:val="24"/>
          <w:szCs w:val="24"/>
        </w:rPr>
        <w:t>22.</w:t>
      </w:r>
      <w:r w:rsidRPr="005D2725">
        <w:rPr>
          <w:rFonts w:ascii="Times New Roman" w:hAnsi="Times New Roman"/>
          <w:sz w:val="24"/>
          <w:szCs w:val="24"/>
        </w:rPr>
        <w:t xml:space="preserve"> </w:t>
      </w:r>
      <w:r w:rsidRPr="005D2725">
        <w:rPr>
          <w:rFonts w:ascii="Times New Roman" w:hAnsi="Times New Roman"/>
          <w:b/>
          <w:i/>
          <w:sz w:val="24"/>
          <w:szCs w:val="24"/>
        </w:rPr>
        <w:t>Expenses of deriving Income</w:t>
      </w:r>
    </w:p>
    <w:p w:rsidR="00651B6E" w:rsidRPr="005D2725" w:rsidRDefault="00651B6E" w:rsidP="005D2725">
      <w:pPr>
        <w:spacing w:line="360" w:lineRule="auto"/>
        <w:ind w:left="1440" w:right="1440" w:hanging="90"/>
        <w:jc w:val="both"/>
        <w:rPr>
          <w:rFonts w:ascii="Times New Roman" w:hAnsi="Times New Roman"/>
          <w:i/>
          <w:sz w:val="24"/>
          <w:szCs w:val="24"/>
        </w:rPr>
      </w:pPr>
      <w:r w:rsidRPr="005D2725">
        <w:rPr>
          <w:rFonts w:ascii="Times New Roman" w:hAnsi="Times New Roman"/>
          <w:i/>
          <w:sz w:val="24"/>
          <w:szCs w:val="24"/>
        </w:rPr>
        <w:t>Subject to this Act, for the purposes of ascertaining the chargeable income of a person for a year of income there shall be allowed as a deduction;</w:t>
      </w:r>
    </w:p>
    <w:p w:rsidR="00651B6E" w:rsidRPr="005D2725" w:rsidRDefault="00651B6E" w:rsidP="005D2725">
      <w:pPr>
        <w:pStyle w:val="ListParagraph"/>
        <w:numPr>
          <w:ilvl w:val="0"/>
          <w:numId w:val="5"/>
        </w:numPr>
        <w:spacing w:line="360" w:lineRule="auto"/>
        <w:ind w:left="1440" w:right="1440" w:firstLine="0"/>
        <w:jc w:val="both"/>
        <w:rPr>
          <w:rFonts w:ascii="Times New Roman" w:eastAsia="Times New Roman" w:hAnsi="Times New Roman"/>
          <w:i/>
          <w:sz w:val="24"/>
          <w:szCs w:val="24"/>
        </w:rPr>
      </w:pPr>
      <w:r w:rsidRPr="005D2725">
        <w:rPr>
          <w:rFonts w:ascii="Times New Roman" w:eastAsia="Times New Roman" w:hAnsi="Times New Roman"/>
          <w:i/>
          <w:sz w:val="24"/>
          <w:szCs w:val="24"/>
        </w:rPr>
        <w:t>all expenditures and losses incurred by the person during the year of income to the extent to which the expenditures or losses were incurred in the production of income included in gross income;</w:t>
      </w:r>
    </w:p>
    <w:p w:rsidR="00651B6E" w:rsidRPr="005D2725" w:rsidRDefault="00651B6E" w:rsidP="005D2725">
      <w:pPr>
        <w:pStyle w:val="ListParagraph"/>
        <w:numPr>
          <w:ilvl w:val="0"/>
          <w:numId w:val="5"/>
        </w:numPr>
        <w:spacing w:line="360" w:lineRule="auto"/>
        <w:ind w:left="1440" w:right="1350" w:firstLine="0"/>
        <w:jc w:val="both"/>
        <w:rPr>
          <w:rFonts w:ascii="Times New Roman" w:eastAsia="Times New Roman" w:hAnsi="Times New Roman"/>
          <w:i/>
          <w:sz w:val="24"/>
          <w:szCs w:val="24"/>
        </w:rPr>
      </w:pPr>
      <w:r w:rsidRPr="005D2725">
        <w:rPr>
          <w:rFonts w:ascii="Times New Roman" w:eastAsia="Times New Roman" w:hAnsi="Times New Roman"/>
          <w:i/>
          <w:sz w:val="24"/>
          <w:szCs w:val="24"/>
        </w:rPr>
        <w:t>the amount of any loss as determined under Part VI, which deals with gains and losses on the disposal of a business asset during the year of income, whether or not the asset was on revenue or capital account; and</w:t>
      </w:r>
    </w:p>
    <w:p w:rsidR="00651B6E" w:rsidRPr="005D2725" w:rsidRDefault="00651B6E" w:rsidP="005D2725">
      <w:pPr>
        <w:pStyle w:val="ListParagraph"/>
        <w:numPr>
          <w:ilvl w:val="0"/>
          <w:numId w:val="5"/>
        </w:numPr>
        <w:spacing w:line="360" w:lineRule="auto"/>
        <w:ind w:left="1440" w:right="1440" w:hanging="90"/>
        <w:jc w:val="both"/>
        <w:rPr>
          <w:rFonts w:ascii="Times New Roman" w:eastAsia="Times New Roman" w:hAnsi="Times New Roman"/>
          <w:i/>
          <w:sz w:val="24"/>
          <w:szCs w:val="24"/>
        </w:rPr>
      </w:pPr>
      <w:proofErr w:type="gramStart"/>
      <w:r w:rsidRPr="005D2725">
        <w:rPr>
          <w:rFonts w:ascii="Times New Roman" w:eastAsia="Times New Roman" w:hAnsi="Times New Roman"/>
          <w:i/>
          <w:sz w:val="24"/>
          <w:szCs w:val="24"/>
        </w:rPr>
        <w:t>in</w:t>
      </w:r>
      <w:proofErr w:type="gramEnd"/>
      <w:r w:rsidRPr="005D2725">
        <w:rPr>
          <w:rFonts w:ascii="Times New Roman" w:eastAsia="Times New Roman" w:hAnsi="Times New Roman"/>
          <w:i/>
          <w:sz w:val="24"/>
          <w:szCs w:val="24"/>
        </w:rPr>
        <w:t xml:space="preserve"> the case of rental income , 20 percent of the rental income as expenditures and losses incurred by the individual in the production of such income.”</w:t>
      </w:r>
    </w:p>
    <w:p w:rsidR="00651B6E" w:rsidRPr="005D2725" w:rsidRDefault="00651B6E" w:rsidP="005D2725">
      <w:pPr>
        <w:spacing w:after="0" w:line="360" w:lineRule="auto"/>
        <w:jc w:val="both"/>
        <w:rPr>
          <w:rFonts w:ascii="Times New Roman" w:hAnsi="Times New Roman"/>
          <w:sz w:val="24"/>
          <w:szCs w:val="24"/>
        </w:rPr>
      </w:pPr>
    </w:p>
    <w:p w:rsidR="00AE648A" w:rsidRPr="005D2725" w:rsidRDefault="00AE648A" w:rsidP="005D2725">
      <w:pPr>
        <w:spacing w:after="0" w:line="360" w:lineRule="auto"/>
        <w:jc w:val="both"/>
        <w:rPr>
          <w:rFonts w:ascii="Times New Roman" w:hAnsi="Times New Roman"/>
          <w:sz w:val="24"/>
          <w:szCs w:val="24"/>
        </w:rPr>
      </w:pPr>
      <w:r w:rsidRPr="005D2725">
        <w:rPr>
          <w:rFonts w:ascii="Times New Roman" w:hAnsi="Times New Roman"/>
          <w:sz w:val="24"/>
          <w:szCs w:val="24"/>
        </w:rPr>
        <w:t>The above section does not provide for contingency reserves as an allowable deduction in form of expenditure or losses. The Appellant however contended that since section 47 of the Insurance Act compels them to set aside sums of money as contingency reserves, the amount can be equated to expenditure and therefore be deducted from their gross income in computing tax payable.</w:t>
      </w:r>
    </w:p>
    <w:p w:rsidR="00AE648A" w:rsidRPr="005D2725" w:rsidRDefault="00AE648A" w:rsidP="005D2725">
      <w:pPr>
        <w:spacing w:after="0" w:line="360" w:lineRule="auto"/>
        <w:jc w:val="both"/>
        <w:rPr>
          <w:rFonts w:ascii="Times New Roman" w:hAnsi="Times New Roman"/>
          <w:sz w:val="24"/>
          <w:szCs w:val="24"/>
        </w:rPr>
      </w:pPr>
    </w:p>
    <w:p w:rsidR="00C27B40" w:rsidRPr="005D2725" w:rsidRDefault="00C27B40" w:rsidP="005D2725">
      <w:pPr>
        <w:spacing w:after="0" w:line="360" w:lineRule="auto"/>
        <w:jc w:val="both"/>
        <w:rPr>
          <w:rFonts w:ascii="Times New Roman" w:hAnsi="Times New Roman"/>
          <w:sz w:val="24"/>
          <w:szCs w:val="24"/>
        </w:rPr>
      </w:pPr>
      <w:r w:rsidRPr="005D2725">
        <w:rPr>
          <w:rFonts w:ascii="Times New Roman" w:hAnsi="Times New Roman"/>
          <w:sz w:val="24"/>
          <w:szCs w:val="24"/>
        </w:rPr>
        <w:t>In this case the Court was required to determine whether the Tribunal was right in holding that the Contingency reserves</w:t>
      </w:r>
      <w:r w:rsidR="00A6304A" w:rsidRPr="005D2725">
        <w:rPr>
          <w:rFonts w:ascii="Times New Roman" w:hAnsi="Times New Roman"/>
          <w:sz w:val="24"/>
          <w:szCs w:val="24"/>
        </w:rPr>
        <w:t xml:space="preserve"> of the Appellant resulting from the compulsion of section 47 (1) (c) of the Insurance Act</w:t>
      </w:r>
      <w:r w:rsidRPr="005D2725">
        <w:rPr>
          <w:rFonts w:ascii="Times New Roman" w:hAnsi="Times New Roman"/>
          <w:sz w:val="24"/>
          <w:szCs w:val="24"/>
        </w:rPr>
        <w:t xml:space="preserve"> were not allowable deductions under Paragraph 3(c) of the 4</w:t>
      </w:r>
      <w:r w:rsidRPr="005D2725">
        <w:rPr>
          <w:rFonts w:ascii="Times New Roman" w:hAnsi="Times New Roman"/>
          <w:sz w:val="24"/>
          <w:szCs w:val="24"/>
          <w:vertAlign w:val="superscript"/>
        </w:rPr>
        <w:t>th</w:t>
      </w:r>
      <w:r w:rsidRPr="005D2725">
        <w:rPr>
          <w:rFonts w:ascii="Times New Roman" w:hAnsi="Times New Roman"/>
          <w:sz w:val="24"/>
          <w:szCs w:val="24"/>
        </w:rPr>
        <w:t xml:space="preserve"> Schedule of the Income Tax Act.</w:t>
      </w:r>
    </w:p>
    <w:p w:rsidR="00A6304A" w:rsidRPr="005D2725" w:rsidRDefault="00A6304A" w:rsidP="005D2725">
      <w:pPr>
        <w:spacing w:after="0" w:line="360" w:lineRule="auto"/>
        <w:jc w:val="both"/>
        <w:rPr>
          <w:rFonts w:ascii="Times New Roman" w:hAnsi="Times New Roman"/>
          <w:sz w:val="24"/>
          <w:szCs w:val="24"/>
        </w:rPr>
      </w:pPr>
    </w:p>
    <w:p w:rsidR="00C27B40" w:rsidRPr="005D2725" w:rsidRDefault="002071F0" w:rsidP="005D2725">
      <w:pPr>
        <w:spacing w:after="0" w:line="360" w:lineRule="auto"/>
        <w:jc w:val="both"/>
        <w:rPr>
          <w:rFonts w:ascii="Times New Roman" w:hAnsi="Times New Roman"/>
          <w:sz w:val="24"/>
          <w:szCs w:val="24"/>
        </w:rPr>
      </w:pPr>
      <w:r w:rsidRPr="005D2725">
        <w:rPr>
          <w:rFonts w:ascii="Times New Roman" w:hAnsi="Times New Roman"/>
          <w:sz w:val="24"/>
          <w:szCs w:val="24"/>
        </w:rPr>
        <w:lastRenderedPageBreak/>
        <w:t>Paragraph 3(c</w:t>
      </w:r>
      <w:r w:rsidR="00C27B40" w:rsidRPr="005D2725">
        <w:rPr>
          <w:rFonts w:ascii="Times New Roman" w:hAnsi="Times New Roman"/>
          <w:sz w:val="24"/>
          <w:szCs w:val="24"/>
        </w:rPr>
        <w:t>) of the 4</w:t>
      </w:r>
      <w:r w:rsidR="00C27B40" w:rsidRPr="005D2725">
        <w:rPr>
          <w:rFonts w:ascii="Times New Roman" w:hAnsi="Times New Roman"/>
          <w:sz w:val="24"/>
          <w:szCs w:val="24"/>
          <w:vertAlign w:val="superscript"/>
        </w:rPr>
        <w:t>th</w:t>
      </w:r>
      <w:r w:rsidR="00C27B40" w:rsidRPr="005D2725">
        <w:rPr>
          <w:rFonts w:ascii="Times New Roman" w:hAnsi="Times New Roman"/>
          <w:sz w:val="24"/>
          <w:szCs w:val="24"/>
        </w:rPr>
        <w:t xml:space="preserve"> Schedule of Income Tax Act dealing with Chargeable Income arising from Short term insurance </w:t>
      </w:r>
      <w:r w:rsidRPr="005D2725">
        <w:rPr>
          <w:rFonts w:ascii="Times New Roman" w:hAnsi="Times New Roman"/>
          <w:sz w:val="24"/>
          <w:szCs w:val="24"/>
        </w:rPr>
        <w:t>Business provides</w:t>
      </w:r>
      <w:r w:rsidR="00C27B40" w:rsidRPr="005D2725">
        <w:rPr>
          <w:rFonts w:ascii="Times New Roman" w:hAnsi="Times New Roman"/>
          <w:sz w:val="24"/>
          <w:szCs w:val="24"/>
        </w:rPr>
        <w:t>;</w:t>
      </w:r>
    </w:p>
    <w:p w:rsidR="00C27B40" w:rsidRPr="005D2725" w:rsidRDefault="00C27B40" w:rsidP="005D2725">
      <w:pPr>
        <w:spacing w:after="0" w:line="360" w:lineRule="auto"/>
        <w:ind w:left="1440" w:right="1428"/>
        <w:jc w:val="both"/>
        <w:rPr>
          <w:rFonts w:ascii="Times New Roman" w:hAnsi="Times New Roman"/>
          <w:i/>
          <w:sz w:val="24"/>
          <w:szCs w:val="24"/>
        </w:rPr>
      </w:pPr>
      <w:proofErr w:type="gramStart"/>
      <w:r w:rsidRPr="005D2725">
        <w:rPr>
          <w:rFonts w:ascii="Times New Roman" w:hAnsi="Times New Roman"/>
          <w:i/>
          <w:sz w:val="24"/>
          <w:szCs w:val="24"/>
        </w:rPr>
        <w:t>“ The</w:t>
      </w:r>
      <w:proofErr w:type="gramEnd"/>
      <w:r w:rsidRPr="005D2725">
        <w:rPr>
          <w:rFonts w:ascii="Times New Roman" w:hAnsi="Times New Roman"/>
          <w:i/>
          <w:sz w:val="24"/>
          <w:szCs w:val="24"/>
        </w:rPr>
        <w:t xml:space="preserve"> total deduction allowed for a year of income in the production of income from carrying on a short-term insurance business is the sum of –</w:t>
      </w:r>
    </w:p>
    <w:p w:rsidR="00C27B40" w:rsidRPr="005D2725" w:rsidRDefault="00C27B40" w:rsidP="005D2725">
      <w:pPr>
        <w:spacing w:after="0" w:line="360" w:lineRule="auto"/>
        <w:ind w:left="1440" w:right="1428"/>
        <w:jc w:val="both"/>
        <w:rPr>
          <w:rFonts w:ascii="Times New Roman" w:hAnsi="Times New Roman"/>
          <w:i/>
          <w:sz w:val="24"/>
          <w:szCs w:val="24"/>
        </w:rPr>
      </w:pPr>
      <w:r w:rsidRPr="005D2725">
        <w:rPr>
          <w:rFonts w:ascii="Times New Roman" w:hAnsi="Times New Roman"/>
          <w:i/>
          <w:sz w:val="24"/>
          <w:szCs w:val="24"/>
        </w:rPr>
        <w:t>(</w:t>
      </w:r>
      <w:proofErr w:type="gramStart"/>
      <w:r w:rsidRPr="005D2725">
        <w:rPr>
          <w:rFonts w:ascii="Times New Roman" w:hAnsi="Times New Roman"/>
          <w:i/>
          <w:sz w:val="24"/>
          <w:szCs w:val="24"/>
        </w:rPr>
        <w:t>c )</w:t>
      </w:r>
      <w:proofErr w:type="gramEnd"/>
      <w:r w:rsidRPr="005D2725">
        <w:rPr>
          <w:rFonts w:ascii="Times New Roman" w:hAnsi="Times New Roman"/>
          <w:i/>
          <w:sz w:val="24"/>
          <w:szCs w:val="24"/>
        </w:rPr>
        <w:t xml:space="preserve"> the amount of expenditures and losses incurred by the person during the year of income in carrying on that business which are allowable as deduction under this Act other than expenditure or losses referred to in paragraph (a) and (b).”</w:t>
      </w:r>
    </w:p>
    <w:p w:rsidR="00C27B40" w:rsidRPr="005D2725" w:rsidRDefault="00A6304A" w:rsidP="005D2725">
      <w:pPr>
        <w:spacing w:after="0" w:line="360" w:lineRule="auto"/>
        <w:jc w:val="both"/>
        <w:rPr>
          <w:rFonts w:ascii="Times New Roman" w:hAnsi="Times New Roman"/>
          <w:sz w:val="24"/>
          <w:szCs w:val="24"/>
        </w:rPr>
      </w:pPr>
      <w:r w:rsidRPr="005D2725">
        <w:rPr>
          <w:rFonts w:ascii="Times New Roman" w:hAnsi="Times New Roman"/>
          <w:sz w:val="24"/>
          <w:szCs w:val="24"/>
        </w:rPr>
        <w:t>Contingency reserves are</w:t>
      </w:r>
      <w:r w:rsidR="00C27B40" w:rsidRPr="005D2725">
        <w:rPr>
          <w:rFonts w:ascii="Times New Roman" w:hAnsi="Times New Roman"/>
          <w:sz w:val="24"/>
          <w:szCs w:val="24"/>
        </w:rPr>
        <w:t xml:space="preserve"> provided for in section 47 (1) (c) of the Insurance </w:t>
      </w:r>
      <w:r w:rsidR="00651B6E" w:rsidRPr="005D2725">
        <w:rPr>
          <w:rFonts w:ascii="Times New Roman" w:hAnsi="Times New Roman"/>
          <w:sz w:val="24"/>
          <w:szCs w:val="24"/>
        </w:rPr>
        <w:t xml:space="preserve">Act which refers to insurance </w:t>
      </w:r>
      <w:r w:rsidR="00C27B40" w:rsidRPr="005D2725">
        <w:rPr>
          <w:rFonts w:ascii="Times New Roman" w:hAnsi="Times New Roman"/>
          <w:sz w:val="24"/>
          <w:szCs w:val="24"/>
        </w:rPr>
        <w:t>reserves as follows;</w:t>
      </w:r>
    </w:p>
    <w:p w:rsidR="00C27B40" w:rsidRPr="005D2725" w:rsidRDefault="009B48BE" w:rsidP="005D2725">
      <w:pPr>
        <w:spacing w:after="0" w:line="360" w:lineRule="auto"/>
        <w:ind w:left="1440" w:right="1428"/>
        <w:jc w:val="both"/>
        <w:rPr>
          <w:rFonts w:ascii="Times New Roman" w:hAnsi="Times New Roman"/>
          <w:i/>
          <w:sz w:val="24"/>
          <w:szCs w:val="24"/>
        </w:rPr>
      </w:pPr>
      <w:r w:rsidRPr="005D2725">
        <w:rPr>
          <w:rFonts w:ascii="Times New Roman" w:hAnsi="Times New Roman"/>
          <w:sz w:val="24"/>
          <w:szCs w:val="24"/>
        </w:rPr>
        <w:t>“</w:t>
      </w:r>
      <w:r w:rsidRPr="005D2725">
        <w:rPr>
          <w:rFonts w:ascii="Times New Roman" w:hAnsi="Times New Roman"/>
          <w:i/>
          <w:sz w:val="24"/>
          <w:szCs w:val="24"/>
        </w:rPr>
        <w:t>An</w:t>
      </w:r>
      <w:r w:rsidR="00C27B40" w:rsidRPr="005D2725">
        <w:rPr>
          <w:rFonts w:ascii="Times New Roman" w:hAnsi="Times New Roman"/>
          <w:i/>
          <w:sz w:val="24"/>
          <w:szCs w:val="24"/>
        </w:rPr>
        <w:t xml:space="preserve"> insurer shall establish and maintain in respect of each class of insurance</w:t>
      </w:r>
      <w:r w:rsidRPr="005D2725">
        <w:rPr>
          <w:rFonts w:ascii="Times New Roman" w:hAnsi="Times New Roman"/>
          <w:i/>
          <w:sz w:val="24"/>
          <w:szCs w:val="24"/>
        </w:rPr>
        <w:t xml:space="preserve"> the following reserves;</w:t>
      </w:r>
    </w:p>
    <w:p w:rsidR="009B48BE" w:rsidRPr="005D2725" w:rsidRDefault="009B48BE" w:rsidP="005D2725">
      <w:pPr>
        <w:pStyle w:val="ListParagraph"/>
        <w:numPr>
          <w:ilvl w:val="0"/>
          <w:numId w:val="8"/>
        </w:numPr>
        <w:spacing w:after="0" w:line="360" w:lineRule="auto"/>
        <w:ind w:left="1440" w:firstLine="0"/>
        <w:jc w:val="both"/>
        <w:rPr>
          <w:rFonts w:ascii="Times New Roman" w:hAnsi="Times New Roman"/>
          <w:i/>
          <w:sz w:val="24"/>
          <w:szCs w:val="24"/>
        </w:rPr>
      </w:pPr>
      <w:r w:rsidRPr="005D2725">
        <w:rPr>
          <w:rFonts w:ascii="Times New Roman" w:hAnsi="Times New Roman"/>
          <w:i/>
          <w:sz w:val="24"/>
          <w:szCs w:val="24"/>
        </w:rPr>
        <w:t>Reserves for unexpired risks.</w:t>
      </w:r>
    </w:p>
    <w:p w:rsidR="009B48BE" w:rsidRPr="005D2725" w:rsidRDefault="009B48BE" w:rsidP="005D2725">
      <w:pPr>
        <w:pStyle w:val="ListParagraph"/>
        <w:numPr>
          <w:ilvl w:val="0"/>
          <w:numId w:val="8"/>
        </w:numPr>
        <w:spacing w:after="0" w:line="360" w:lineRule="auto"/>
        <w:ind w:left="1440" w:hanging="90"/>
        <w:jc w:val="both"/>
        <w:rPr>
          <w:rFonts w:ascii="Times New Roman" w:hAnsi="Times New Roman"/>
          <w:i/>
          <w:sz w:val="24"/>
          <w:szCs w:val="24"/>
        </w:rPr>
      </w:pPr>
      <w:r w:rsidRPr="005D2725">
        <w:rPr>
          <w:rFonts w:ascii="Times New Roman" w:hAnsi="Times New Roman"/>
          <w:i/>
          <w:sz w:val="24"/>
          <w:szCs w:val="24"/>
        </w:rPr>
        <w:t>Reserves for outstanding claims</w:t>
      </w:r>
    </w:p>
    <w:p w:rsidR="009B48BE" w:rsidRPr="005D2725" w:rsidRDefault="009B48BE" w:rsidP="005D2725">
      <w:pPr>
        <w:pStyle w:val="ListParagraph"/>
        <w:numPr>
          <w:ilvl w:val="0"/>
          <w:numId w:val="8"/>
        </w:numPr>
        <w:tabs>
          <w:tab w:val="left" w:pos="1260"/>
        </w:tabs>
        <w:spacing w:after="0" w:line="360" w:lineRule="auto"/>
        <w:ind w:left="1440" w:right="1428" w:firstLine="0"/>
        <w:jc w:val="both"/>
        <w:rPr>
          <w:rFonts w:ascii="Times New Roman" w:hAnsi="Times New Roman"/>
          <w:i/>
          <w:sz w:val="24"/>
          <w:szCs w:val="24"/>
        </w:rPr>
      </w:pPr>
      <w:r w:rsidRPr="005D2725">
        <w:rPr>
          <w:rFonts w:ascii="Times New Roman" w:hAnsi="Times New Roman"/>
          <w:i/>
          <w:sz w:val="24"/>
          <w:szCs w:val="24"/>
        </w:rPr>
        <w:t>Contingency reserves to cover fluctuations in securities and variations in statistical estimates.”</w:t>
      </w:r>
    </w:p>
    <w:p w:rsidR="00C27B40" w:rsidRPr="005D2725" w:rsidRDefault="009B48BE" w:rsidP="005D2725">
      <w:pPr>
        <w:spacing w:after="0" w:line="360" w:lineRule="auto"/>
        <w:jc w:val="both"/>
        <w:rPr>
          <w:rFonts w:ascii="Times New Roman" w:hAnsi="Times New Roman"/>
          <w:sz w:val="24"/>
          <w:szCs w:val="24"/>
        </w:rPr>
      </w:pPr>
      <w:r w:rsidRPr="005D2725">
        <w:rPr>
          <w:rFonts w:ascii="Times New Roman" w:hAnsi="Times New Roman"/>
          <w:sz w:val="24"/>
          <w:szCs w:val="24"/>
        </w:rPr>
        <w:t>The Appellant contended that the contingency reserves</w:t>
      </w:r>
      <w:r w:rsidR="00A6304A" w:rsidRPr="005D2725">
        <w:rPr>
          <w:rFonts w:ascii="Times New Roman" w:hAnsi="Times New Roman"/>
          <w:sz w:val="24"/>
          <w:szCs w:val="24"/>
        </w:rPr>
        <w:t xml:space="preserve"> under the Insurance Act</w:t>
      </w:r>
      <w:r w:rsidRPr="005D2725">
        <w:rPr>
          <w:rFonts w:ascii="Times New Roman" w:hAnsi="Times New Roman"/>
          <w:sz w:val="24"/>
          <w:szCs w:val="24"/>
        </w:rPr>
        <w:t xml:space="preserve"> were a legal requirement for a specific purpose namely to fill in the gap in event of need like compensation or other monetary needs</w:t>
      </w:r>
      <w:r w:rsidR="00DC67B6" w:rsidRPr="005D2725">
        <w:rPr>
          <w:rFonts w:ascii="Times New Roman" w:hAnsi="Times New Roman"/>
          <w:sz w:val="24"/>
          <w:szCs w:val="24"/>
        </w:rPr>
        <w:t xml:space="preserve">. </w:t>
      </w:r>
      <w:r w:rsidRPr="005D2725">
        <w:rPr>
          <w:rFonts w:ascii="Times New Roman" w:hAnsi="Times New Roman"/>
          <w:sz w:val="24"/>
          <w:szCs w:val="24"/>
        </w:rPr>
        <w:t xml:space="preserve"> That in that case it was not an earning or profit as would attract tax. That that</w:t>
      </w:r>
      <w:r w:rsidR="00703D27" w:rsidRPr="005D2725">
        <w:rPr>
          <w:rFonts w:ascii="Times New Roman" w:hAnsi="Times New Roman"/>
          <w:sz w:val="24"/>
          <w:szCs w:val="24"/>
        </w:rPr>
        <w:t xml:space="preserve"> being the case it was deductable in arriving at the taxable profits of the Appellant, which was an Insurance Company governed by the provisions of the Insurance Act, Cap 213.</w:t>
      </w:r>
    </w:p>
    <w:p w:rsidR="00703D27" w:rsidRPr="005D2725" w:rsidRDefault="00703D27" w:rsidP="005D2725">
      <w:pPr>
        <w:spacing w:after="0" w:line="360" w:lineRule="auto"/>
        <w:jc w:val="both"/>
        <w:rPr>
          <w:rFonts w:ascii="Times New Roman" w:hAnsi="Times New Roman"/>
          <w:sz w:val="24"/>
          <w:szCs w:val="24"/>
        </w:rPr>
      </w:pPr>
    </w:p>
    <w:p w:rsidR="00703D27" w:rsidRPr="005D2725" w:rsidRDefault="00703D27" w:rsidP="005D2725">
      <w:pPr>
        <w:spacing w:after="0" w:line="360" w:lineRule="auto"/>
        <w:jc w:val="both"/>
        <w:rPr>
          <w:rFonts w:ascii="Times New Roman" w:hAnsi="Times New Roman"/>
          <w:sz w:val="24"/>
          <w:szCs w:val="24"/>
        </w:rPr>
      </w:pPr>
      <w:r w:rsidRPr="005D2725">
        <w:rPr>
          <w:rFonts w:ascii="Times New Roman" w:hAnsi="Times New Roman"/>
          <w:sz w:val="24"/>
          <w:szCs w:val="24"/>
        </w:rPr>
        <w:t>To deal with the matter, one has to consider what happens with the Contingency reserve at the end of the year. Can one say that because of the legal requirement of section 47 of the Insu</w:t>
      </w:r>
      <w:r w:rsidR="00DC67B6" w:rsidRPr="005D2725">
        <w:rPr>
          <w:rFonts w:ascii="Times New Roman" w:hAnsi="Times New Roman"/>
          <w:sz w:val="24"/>
          <w:szCs w:val="24"/>
        </w:rPr>
        <w:t>rance Act, the money so reserved</w:t>
      </w:r>
      <w:r w:rsidRPr="005D2725">
        <w:rPr>
          <w:rFonts w:ascii="Times New Roman" w:hAnsi="Times New Roman"/>
          <w:sz w:val="24"/>
          <w:szCs w:val="24"/>
        </w:rPr>
        <w:t xml:space="preserve"> </w:t>
      </w:r>
      <w:r w:rsidR="00DC67B6" w:rsidRPr="005D2725">
        <w:rPr>
          <w:rFonts w:ascii="Times New Roman" w:hAnsi="Times New Roman"/>
          <w:sz w:val="24"/>
          <w:szCs w:val="24"/>
        </w:rPr>
        <w:t xml:space="preserve">had </w:t>
      </w:r>
      <w:r w:rsidR="002071F0" w:rsidRPr="005D2725">
        <w:rPr>
          <w:rFonts w:ascii="Times New Roman" w:hAnsi="Times New Roman"/>
          <w:sz w:val="24"/>
          <w:szCs w:val="24"/>
        </w:rPr>
        <w:t>been lost</w:t>
      </w:r>
      <w:r w:rsidR="00DC67B6" w:rsidRPr="005D2725">
        <w:rPr>
          <w:rFonts w:ascii="Times New Roman" w:hAnsi="Times New Roman"/>
          <w:sz w:val="24"/>
          <w:szCs w:val="24"/>
        </w:rPr>
        <w:t xml:space="preserve"> by the </w:t>
      </w:r>
      <w:r w:rsidR="002071F0" w:rsidRPr="005D2725">
        <w:rPr>
          <w:rFonts w:ascii="Times New Roman" w:hAnsi="Times New Roman"/>
          <w:sz w:val="24"/>
          <w:szCs w:val="24"/>
        </w:rPr>
        <w:t xml:space="preserve">Appellant? </w:t>
      </w:r>
      <w:r w:rsidR="008B0EFF" w:rsidRPr="005D2725">
        <w:rPr>
          <w:rFonts w:ascii="Times New Roman" w:hAnsi="Times New Roman"/>
          <w:sz w:val="24"/>
          <w:szCs w:val="24"/>
        </w:rPr>
        <w:t>In my</w:t>
      </w:r>
      <w:r w:rsidRPr="005D2725">
        <w:rPr>
          <w:rFonts w:ascii="Times New Roman" w:hAnsi="Times New Roman"/>
          <w:sz w:val="24"/>
          <w:szCs w:val="24"/>
        </w:rPr>
        <w:t xml:space="preserve"> view the amount standing to the credit of the Contingency Reserve could not be said to have gone out of the hands or control of </w:t>
      </w:r>
      <w:r w:rsidR="00DC67B6" w:rsidRPr="005D2725">
        <w:rPr>
          <w:rFonts w:ascii="Times New Roman" w:hAnsi="Times New Roman"/>
          <w:sz w:val="24"/>
          <w:szCs w:val="24"/>
        </w:rPr>
        <w:t>the Appellant and therefore beco</w:t>
      </w:r>
      <w:r w:rsidRPr="005D2725">
        <w:rPr>
          <w:rFonts w:ascii="Times New Roman" w:hAnsi="Times New Roman"/>
          <w:sz w:val="24"/>
          <w:szCs w:val="24"/>
        </w:rPr>
        <w:t>me subject of ownership by someone else. It is true the Act did impose certain restrictions of the money by the Appellant but that did not mean that the amounts had ceased to belong to the Appellant.</w:t>
      </w:r>
    </w:p>
    <w:p w:rsidR="00703D27" w:rsidRPr="005D2725" w:rsidRDefault="00703D27" w:rsidP="005D2725">
      <w:pPr>
        <w:spacing w:after="0" w:line="360" w:lineRule="auto"/>
        <w:jc w:val="both"/>
        <w:rPr>
          <w:rFonts w:ascii="Times New Roman" w:hAnsi="Times New Roman"/>
          <w:sz w:val="24"/>
          <w:szCs w:val="24"/>
        </w:rPr>
      </w:pPr>
      <w:r w:rsidRPr="005D2725">
        <w:rPr>
          <w:rFonts w:ascii="Times New Roman" w:hAnsi="Times New Roman"/>
          <w:sz w:val="24"/>
          <w:szCs w:val="24"/>
        </w:rPr>
        <w:t xml:space="preserve">The money did not only remain that of the Appellant, but he could even invest it </w:t>
      </w:r>
      <w:r w:rsidR="00DC67B6" w:rsidRPr="005D2725">
        <w:rPr>
          <w:rFonts w:ascii="Times New Roman" w:hAnsi="Times New Roman"/>
          <w:sz w:val="24"/>
          <w:szCs w:val="24"/>
        </w:rPr>
        <w:t>for profit. This is borne out by</w:t>
      </w:r>
      <w:r w:rsidRPr="005D2725">
        <w:rPr>
          <w:rFonts w:ascii="Times New Roman" w:hAnsi="Times New Roman"/>
          <w:sz w:val="24"/>
          <w:szCs w:val="24"/>
        </w:rPr>
        <w:t xml:space="preserve"> the evidence of the Managing Director of the Appellant Mr. </w:t>
      </w:r>
      <w:proofErr w:type="spellStart"/>
      <w:r w:rsidRPr="005D2725">
        <w:rPr>
          <w:rFonts w:ascii="Times New Roman" w:hAnsi="Times New Roman"/>
          <w:sz w:val="24"/>
          <w:szCs w:val="24"/>
        </w:rPr>
        <w:t>Azim</w:t>
      </w:r>
      <w:proofErr w:type="spellEnd"/>
      <w:r w:rsidRPr="005D2725">
        <w:rPr>
          <w:rFonts w:ascii="Times New Roman" w:hAnsi="Times New Roman"/>
          <w:sz w:val="24"/>
          <w:szCs w:val="24"/>
        </w:rPr>
        <w:t xml:space="preserve"> </w:t>
      </w:r>
      <w:proofErr w:type="spellStart"/>
      <w:r w:rsidRPr="005D2725">
        <w:rPr>
          <w:rFonts w:ascii="Times New Roman" w:hAnsi="Times New Roman"/>
          <w:sz w:val="24"/>
          <w:szCs w:val="24"/>
        </w:rPr>
        <w:t>Fahrani</w:t>
      </w:r>
      <w:proofErr w:type="spellEnd"/>
      <w:r w:rsidRPr="005D2725">
        <w:rPr>
          <w:rFonts w:ascii="Times New Roman" w:hAnsi="Times New Roman"/>
          <w:sz w:val="24"/>
          <w:szCs w:val="24"/>
        </w:rPr>
        <w:t xml:space="preserve"> who </w:t>
      </w:r>
      <w:r w:rsidRPr="005D2725">
        <w:rPr>
          <w:rFonts w:ascii="Times New Roman" w:hAnsi="Times New Roman"/>
          <w:sz w:val="24"/>
          <w:szCs w:val="24"/>
        </w:rPr>
        <w:lastRenderedPageBreak/>
        <w:t>when asked by the Tribunal at what stage the contingent reserves were converted to income replied in these words;</w:t>
      </w:r>
    </w:p>
    <w:p w:rsidR="00703D27" w:rsidRPr="005D2725" w:rsidRDefault="00703D27" w:rsidP="005D2725">
      <w:pPr>
        <w:spacing w:after="0" w:line="360" w:lineRule="auto"/>
        <w:ind w:left="1440" w:right="1428"/>
        <w:jc w:val="both"/>
        <w:rPr>
          <w:rFonts w:ascii="Times New Roman" w:hAnsi="Times New Roman"/>
          <w:i/>
          <w:sz w:val="24"/>
          <w:szCs w:val="24"/>
        </w:rPr>
      </w:pPr>
      <w:proofErr w:type="gramStart"/>
      <w:r w:rsidRPr="005D2725">
        <w:rPr>
          <w:rFonts w:ascii="Times New Roman" w:hAnsi="Times New Roman"/>
          <w:sz w:val="24"/>
          <w:szCs w:val="24"/>
        </w:rPr>
        <w:t>“</w:t>
      </w:r>
      <w:r w:rsidRPr="005D2725">
        <w:rPr>
          <w:rFonts w:ascii="Times New Roman" w:hAnsi="Times New Roman"/>
          <w:i/>
          <w:sz w:val="24"/>
          <w:szCs w:val="24"/>
        </w:rPr>
        <w:t>Until such a time when the insurance Company goes out of business.</w:t>
      </w:r>
      <w:proofErr w:type="gramEnd"/>
      <w:r w:rsidRPr="005D2725">
        <w:rPr>
          <w:rFonts w:ascii="Times New Roman" w:hAnsi="Times New Roman"/>
          <w:i/>
          <w:sz w:val="24"/>
          <w:szCs w:val="24"/>
        </w:rPr>
        <w:t xml:space="preserve"> Otherwise, it may not happen. We use contingent reserves to invest.”</w:t>
      </w:r>
    </w:p>
    <w:p w:rsidR="009B48BE" w:rsidRPr="005D2725" w:rsidRDefault="00FB6042" w:rsidP="005D2725">
      <w:pPr>
        <w:spacing w:after="0" w:line="360" w:lineRule="auto"/>
        <w:jc w:val="both"/>
        <w:rPr>
          <w:rFonts w:ascii="Times New Roman" w:hAnsi="Times New Roman"/>
          <w:sz w:val="24"/>
          <w:szCs w:val="24"/>
        </w:rPr>
      </w:pPr>
      <w:r w:rsidRPr="005D2725">
        <w:rPr>
          <w:rFonts w:ascii="Times New Roman" w:hAnsi="Times New Roman"/>
          <w:sz w:val="24"/>
          <w:szCs w:val="24"/>
        </w:rPr>
        <w:t>Investment in this case was directly connected with the Appellant’s business. It was utilized and enjoyed by her. The fact that the Appellant was requ</w:t>
      </w:r>
      <w:r w:rsidR="00CB22C2" w:rsidRPr="005D2725">
        <w:rPr>
          <w:rFonts w:ascii="Times New Roman" w:hAnsi="Times New Roman"/>
          <w:sz w:val="24"/>
          <w:szCs w:val="24"/>
        </w:rPr>
        <w:t>ired by the Act under section 48</w:t>
      </w:r>
      <w:r w:rsidRPr="005D2725">
        <w:rPr>
          <w:rFonts w:ascii="Times New Roman" w:hAnsi="Times New Roman"/>
          <w:sz w:val="24"/>
          <w:szCs w:val="24"/>
        </w:rPr>
        <w:t xml:space="preserve"> of the Insurance Act to invest, did not in any way affect this position.</w:t>
      </w:r>
    </w:p>
    <w:p w:rsidR="00FB6042" w:rsidRPr="005D2725" w:rsidRDefault="00FB6042" w:rsidP="005D2725">
      <w:pPr>
        <w:spacing w:after="0" w:line="360" w:lineRule="auto"/>
        <w:jc w:val="both"/>
        <w:rPr>
          <w:rFonts w:ascii="Times New Roman" w:hAnsi="Times New Roman"/>
          <w:sz w:val="24"/>
          <w:szCs w:val="24"/>
        </w:rPr>
      </w:pPr>
    </w:p>
    <w:p w:rsidR="00FB6042" w:rsidRPr="005D2725" w:rsidRDefault="00FB6042" w:rsidP="005D2725">
      <w:pPr>
        <w:spacing w:after="0" w:line="360" w:lineRule="auto"/>
        <w:jc w:val="both"/>
        <w:rPr>
          <w:rFonts w:ascii="Times New Roman" w:hAnsi="Times New Roman"/>
          <w:sz w:val="24"/>
          <w:szCs w:val="24"/>
        </w:rPr>
      </w:pPr>
      <w:r w:rsidRPr="005D2725">
        <w:rPr>
          <w:rFonts w:ascii="Times New Roman" w:hAnsi="Times New Roman"/>
          <w:sz w:val="24"/>
          <w:szCs w:val="24"/>
        </w:rPr>
        <w:t xml:space="preserve">The Appellant continued to be the owner of the investment and even where the benefit derived by the Appellant from the investment was </w:t>
      </w:r>
      <w:r w:rsidR="002071F0" w:rsidRPr="005D2725">
        <w:rPr>
          <w:rFonts w:ascii="Times New Roman" w:hAnsi="Times New Roman"/>
          <w:sz w:val="24"/>
          <w:szCs w:val="24"/>
        </w:rPr>
        <w:t>limited;</w:t>
      </w:r>
      <w:r w:rsidRPr="005D2725">
        <w:rPr>
          <w:rFonts w:ascii="Times New Roman" w:hAnsi="Times New Roman"/>
          <w:sz w:val="24"/>
          <w:szCs w:val="24"/>
        </w:rPr>
        <w:t xml:space="preserve"> it was still the Appellant’s investment. The mere fact that the Act required the Appellant to make an appropriation out of her revenues for particular purposes and also that it was a compulsory appropriation which the Appellant had to make, did not mean that for t</w:t>
      </w:r>
      <w:r w:rsidR="00DC67B6" w:rsidRPr="005D2725">
        <w:rPr>
          <w:rFonts w:ascii="Times New Roman" w:hAnsi="Times New Roman"/>
          <w:sz w:val="24"/>
          <w:szCs w:val="24"/>
        </w:rPr>
        <w:t>he purpose of income tax such</w:t>
      </w:r>
      <w:r w:rsidRPr="005D2725">
        <w:rPr>
          <w:rFonts w:ascii="Times New Roman" w:hAnsi="Times New Roman"/>
          <w:sz w:val="24"/>
          <w:szCs w:val="24"/>
        </w:rPr>
        <w:t xml:space="preserve"> appropriation w</w:t>
      </w:r>
      <w:r w:rsidR="008B0EFF" w:rsidRPr="005D2725">
        <w:rPr>
          <w:rFonts w:ascii="Times New Roman" w:hAnsi="Times New Roman"/>
          <w:sz w:val="24"/>
          <w:szCs w:val="24"/>
        </w:rPr>
        <w:t>ould necessarily be deducted to arrive</w:t>
      </w:r>
      <w:r w:rsidRPr="005D2725">
        <w:rPr>
          <w:rFonts w:ascii="Times New Roman" w:hAnsi="Times New Roman"/>
          <w:sz w:val="24"/>
          <w:szCs w:val="24"/>
        </w:rPr>
        <w:t xml:space="preserve"> at the profits and gains of the Appellant’s business.</w:t>
      </w:r>
    </w:p>
    <w:p w:rsidR="00FB6042" w:rsidRPr="005D2725" w:rsidRDefault="00FB6042" w:rsidP="005D2725">
      <w:pPr>
        <w:spacing w:after="0" w:line="360" w:lineRule="auto"/>
        <w:jc w:val="both"/>
        <w:rPr>
          <w:rFonts w:ascii="Times New Roman" w:hAnsi="Times New Roman"/>
          <w:sz w:val="24"/>
          <w:szCs w:val="24"/>
        </w:rPr>
      </w:pPr>
    </w:p>
    <w:p w:rsidR="00FB6042" w:rsidRPr="005D2725" w:rsidRDefault="00FB6042" w:rsidP="005D2725">
      <w:pPr>
        <w:spacing w:after="0" w:line="360" w:lineRule="auto"/>
        <w:jc w:val="both"/>
        <w:rPr>
          <w:rFonts w:ascii="Times New Roman" w:hAnsi="Times New Roman"/>
          <w:sz w:val="24"/>
          <w:szCs w:val="24"/>
        </w:rPr>
      </w:pPr>
      <w:r w:rsidRPr="005D2725">
        <w:rPr>
          <w:rFonts w:ascii="Times New Roman" w:hAnsi="Times New Roman"/>
          <w:sz w:val="24"/>
          <w:szCs w:val="24"/>
        </w:rPr>
        <w:t xml:space="preserve">It still remained that the amount appropriated towards the Contingency reserves was </w:t>
      </w:r>
      <w:r w:rsidR="00AE648A" w:rsidRPr="005D2725">
        <w:rPr>
          <w:rFonts w:ascii="Times New Roman" w:hAnsi="Times New Roman"/>
          <w:sz w:val="24"/>
          <w:szCs w:val="24"/>
        </w:rPr>
        <w:t>collected and</w:t>
      </w:r>
      <w:r w:rsidRPr="005D2725">
        <w:rPr>
          <w:rFonts w:ascii="Times New Roman" w:hAnsi="Times New Roman"/>
          <w:sz w:val="24"/>
          <w:szCs w:val="24"/>
        </w:rPr>
        <w:t xml:space="preserve"> received by the Appellant as Premium for insurance cover of her clients. The amount remained at the disposal of the Insurer in this case the Appellant and for her benefit. The purpose for which the</w:t>
      </w:r>
      <w:r w:rsidR="00AE648A" w:rsidRPr="005D2725">
        <w:rPr>
          <w:rFonts w:ascii="Times New Roman" w:hAnsi="Times New Roman"/>
          <w:sz w:val="24"/>
          <w:szCs w:val="24"/>
        </w:rPr>
        <w:t xml:space="preserve"> Contingency</w:t>
      </w:r>
      <w:r w:rsidRPr="005D2725">
        <w:rPr>
          <w:rFonts w:ascii="Times New Roman" w:hAnsi="Times New Roman"/>
          <w:sz w:val="24"/>
          <w:szCs w:val="24"/>
        </w:rPr>
        <w:t xml:space="preserve"> reserve could be used was all </w:t>
      </w:r>
      <w:r w:rsidR="00AE648A" w:rsidRPr="005D2725">
        <w:rPr>
          <w:rFonts w:ascii="Times New Roman" w:hAnsi="Times New Roman"/>
          <w:sz w:val="24"/>
          <w:szCs w:val="24"/>
        </w:rPr>
        <w:t>for the Appellant’s business payment for</w:t>
      </w:r>
      <w:r w:rsidR="00DC67B6" w:rsidRPr="005D2725">
        <w:rPr>
          <w:rFonts w:ascii="Times New Roman" w:hAnsi="Times New Roman"/>
          <w:sz w:val="24"/>
          <w:szCs w:val="24"/>
        </w:rPr>
        <w:t xml:space="preserve"> compensation and other</w:t>
      </w:r>
      <w:r w:rsidR="00AE648A" w:rsidRPr="005D2725">
        <w:rPr>
          <w:rFonts w:ascii="Times New Roman" w:hAnsi="Times New Roman"/>
          <w:sz w:val="24"/>
          <w:szCs w:val="24"/>
        </w:rPr>
        <w:t xml:space="preserve"> </w:t>
      </w:r>
      <w:r w:rsidRPr="005D2725">
        <w:rPr>
          <w:rFonts w:ascii="Times New Roman" w:hAnsi="Times New Roman"/>
          <w:sz w:val="24"/>
          <w:szCs w:val="24"/>
        </w:rPr>
        <w:t>liabilities envisaged in insurance was</w:t>
      </w:r>
      <w:r w:rsidR="00DC67B6" w:rsidRPr="005D2725">
        <w:rPr>
          <w:rFonts w:ascii="Times New Roman" w:hAnsi="Times New Roman"/>
          <w:sz w:val="24"/>
          <w:szCs w:val="24"/>
        </w:rPr>
        <w:t xml:space="preserve"> all normal business  of an Insurance Company like that of the Appellant</w:t>
      </w:r>
      <w:r w:rsidRPr="005D2725">
        <w:rPr>
          <w:rFonts w:ascii="Times New Roman" w:hAnsi="Times New Roman"/>
          <w:sz w:val="24"/>
          <w:szCs w:val="24"/>
        </w:rPr>
        <w:t>.</w:t>
      </w:r>
      <w:r w:rsidR="00AE648A" w:rsidRPr="005D2725">
        <w:rPr>
          <w:rFonts w:ascii="Times New Roman" w:hAnsi="Times New Roman"/>
          <w:sz w:val="24"/>
          <w:szCs w:val="24"/>
        </w:rPr>
        <w:t xml:space="preserve"> </w:t>
      </w:r>
    </w:p>
    <w:p w:rsidR="00DC67B6" w:rsidRPr="005D2725" w:rsidRDefault="00DC67B6" w:rsidP="005D2725">
      <w:pPr>
        <w:spacing w:after="0" w:line="360" w:lineRule="auto"/>
        <w:jc w:val="both"/>
        <w:rPr>
          <w:rFonts w:ascii="Times New Roman" w:hAnsi="Times New Roman"/>
          <w:sz w:val="24"/>
          <w:szCs w:val="24"/>
        </w:rPr>
      </w:pPr>
    </w:p>
    <w:p w:rsidR="00AE648A" w:rsidRPr="005D2725" w:rsidRDefault="00AE648A" w:rsidP="005D2725">
      <w:pPr>
        <w:spacing w:after="0" w:line="360" w:lineRule="auto"/>
        <w:jc w:val="both"/>
        <w:rPr>
          <w:rFonts w:ascii="Times New Roman" w:hAnsi="Times New Roman"/>
          <w:sz w:val="24"/>
          <w:szCs w:val="24"/>
        </w:rPr>
      </w:pPr>
      <w:r w:rsidRPr="005D2725">
        <w:rPr>
          <w:rFonts w:ascii="Times New Roman" w:hAnsi="Times New Roman"/>
          <w:sz w:val="24"/>
          <w:szCs w:val="24"/>
        </w:rPr>
        <w:t xml:space="preserve">In the case of </w:t>
      </w:r>
      <w:r w:rsidRPr="005D2725">
        <w:rPr>
          <w:rFonts w:ascii="Times New Roman" w:hAnsi="Times New Roman"/>
          <w:b/>
          <w:i/>
          <w:sz w:val="24"/>
          <w:szCs w:val="24"/>
        </w:rPr>
        <w:t xml:space="preserve">Associated Power Co. Ltd </w:t>
      </w:r>
      <w:proofErr w:type="spellStart"/>
      <w:r w:rsidRPr="005D2725">
        <w:rPr>
          <w:rFonts w:ascii="Times New Roman" w:hAnsi="Times New Roman"/>
          <w:b/>
          <w:i/>
          <w:sz w:val="24"/>
          <w:szCs w:val="24"/>
        </w:rPr>
        <w:t>vs</w:t>
      </w:r>
      <w:proofErr w:type="spellEnd"/>
      <w:r w:rsidRPr="005D2725">
        <w:rPr>
          <w:rFonts w:ascii="Times New Roman" w:hAnsi="Times New Roman"/>
          <w:b/>
          <w:i/>
          <w:sz w:val="24"/>
          <w:szCs w:val="24"/>
        </w:rPr>
        <w:t xml:space="preserve"> Commissioner of Income Tax [1996]</w:t>
      </w:r>
      <w:r w:rsidRPr="005D2725">
        <w:rPr>
          <w:rFonts w:ascii="Times New Roman" w:hAnsi="Times New Roman"/>
          <w:sz w:val="24"/>
          <w:szCs w:val="24"/>
        </w:rPr>
        <w:t xml:space="preserve"> </w:t>
      </w:r>
      <w:r w:rsidRPr="005D2725">
        <w:rPr>
          <w:rFonts w:ascii="Times New Roman" w:hAnsi="Times New Roman"/>
          <w:b/>
          <w:i/>
          <w:sz w:val="24"/>
          <w:szCs w:val="24"/>
        </w:rPr>
        <w:t>218 TIR 185/ 1996 AIR 894,1996 SCC(7) 221</w:t>
      </w:r>
      <w:r w:rsidRPr="005D2725">
        <w:rPr>
          <w:rFonts w:ascii="Times New Roman" w:hAnsi="Times New Roman"/>
          <w:sz w:val="24"/>
          <w:szCs w:val="24"/>
        </w:rPr>
        <w:t xml:space="preserve"> court disallowed the argument that contingency reserves were expenditures wholly and conclusively laid out for the </w:t>
      </w:r>
      <w:proofErr w:type="spellStart"/>
      <w:r w:rsidR="008B0EFF" w:rsidRPr="005D2725">
        <w:rPr>
          <w:rFonts w:ascii="Times New Roman" w:hAnsi="Times New Roman"/>
          <w:sz w:val="24"/>
          <w:szCs w:val="24"/>
        </w:rPr>
        <w:t>assessee’s</w:t>
      </w:r>
      <w:proofErr w:type="spellEnd"/>
      <w:r w:rsidR="008B0EFF" w:rsidRPr="005D2725">
        <w:rPr>
          <w:rFonts w:ascii="Times New Roman" w:hAnsi="Times New Roman"/>
          <w:sz w:val="24"/>
          <w:szCs w:val="24"/>
        </w:rPr>
        <w:t xml:space="preserve"> business and should</w:t>
      </w:r>
      <w:r w:rsidRPr="005D2725">
        <w:rPr>
          <w:rFonts w:ascii="Times New Roman" w:hAnsi="Times New Roman"/>
          <w:sz w:val="24"/>
          <w:szCs w:val="24"/>
        </w:rPr>
        <w:t xml:space="preserve"> be allowed as a deduction. The court held that the money had been set apart for meeting unknown future liabilities. It was not a provision but a reserve. There had been no expenditure in the real sense of the term. Furthermore, that though the amount of reserves could be utilized for certain purposes, the nature of the purposes as indicated within the law were not general. They were specific. For those reasons, the appropriation to the contingency reserve account was not an allowable deduction.</w:t>
      </w:r>
    </w:p>
    <w:p w:rsidR="00AE648A" w:rsidRPr="005D2725" w:rsidRDefault="00AE648A" w:rsidP="005D2725">
      <w:pPr>
        <w:spacing w:after="0" w:line="360" w:lineRule="auto"/>
        <w:jc w:val="both"/>
        <w:rPr>
          <w:rFonts w:ascii="Times New Roman" w:hAnsi="Times New Roman"/>
          <w:sz w:val="24"/>
          <w:szCs w:val="24"/>
        </w:rPr>
      </w:pPr>
    </w:p>
    <w:p w:rsidR="00CB22C2" w:rsidRPr="005D2725" w:rsidRDefault="00FB6042" w:rsidP="005D2725">
      <w:pPr>
        <w:spacing w:after="0" w:line="360" w:lineRule="auto"/>
        <w:jc w:val="both"/>
        <w:rPr>
          <w:rFonts w:ascii="Times New Roman" w:hAnsi="Times New Roman"/>
          <w:sz w:val="24"/>
          <w:szCs w:val="24"/>
        </w:rPr>
      </w:pPr>
      <w:r w:rsidRPr="005D2725">
        <w:rPr>
          <w:rFonts w:ascii="Times New Roman" w:hAnsi="Times New Roman"/>
          <w:sz w:val="24"/>
          <w:szCs w:val="24"/>
        </w:rPr>
        <w:t>From the foregoing it is clear that setting aside contingency reserves was not diversion of income before it reached the Appellant, but rather a case of setting aside</w:t>
      </w:r>
      <w:r w:rsidR="00CB22C2" w:rsidRPr="005D2725">
        <w:rPr>
          <w:rFonts w:ascii="Times New Roman" w:hAnsi="Times New Roman"/>
          <w:sz w:val="24"/>
          <w:szCs w:val="24"/>
        </w:rPr>
        <w:t xml:space="preserve"> a portion of the Appellant’s income under force of law for the use and benefit of the Appellant. In other words, the amount appropriated into contingency reserves still formed part of the real income of the Appellant.</w:t>
      </w:r>
    </w:p>
    <w:p w:rsidR="00CB22C2" w:rsidRPr="005D2725" w:rsidRDefault="00CB22C2" w:rsidP="005D2725">
      <w:pPr>
        <w:spacing w:after="0" w:line="360" w:lineRule="auto"/>
        <w:jc w:val="both"/>
        <w:rPr>
          <w:rFonts w:ascii="Times New Roman" w:hAnsi="Times New Roman"/>
          <w:sz w:val="24"/>
          <w:szCs w:val="24"/>
        </w:rPr>
      </w:pPr>
    </w:p>
    <w:p w:rsidR="00FB6042" w:rsidRPr="005D2725" w:rsidRDefault="00CB22C2" w:rsidP="005D2725">
      <w:pPr>
        <w:spacing w:after="0" w:line="360" w:lineRule="auto"/>
        <w:jc w:val="both"/>
        <w:rPr>
          <w:rFonts w:ascii="Times New Roman" w:hAnsi="Times New Roman"/>
          <w:sz w:val="24"/>
          <w:szCs w:val="24"/>
        </w:rPr>
      </w:pPr>
      <w:r w:rsidRPr="005D2725">
        <w:rPr>
          <w:rFonts w:ascii="Times New Roman" w:hAnsi="Times New Roman"/>
          <w:sz w:val="24"/>
          <w:szCs w:val="24"/>
        </w:rPr>
        <w:t xml:space="preserve">Furthermore, much of this money remained un-utilized and would as in the words of the Managing Director of the Appellant, be </w:t>
      </w:r>
      <w:r w:rsidRPr="005D2725">
        <w:rPr>
          <w:rFonts w:ascii="Times New Roman" w:hAnsi="Times New Roman"/>
          <w:b/>
          <w:i/>
          <w:sz w:val="24"/>
          <w:szCs w:val="24"/>
        </w:rPr>
        <w:t>invested</w:t>
      </w:r>
      <w:r w:rsidRPr="005D2725">
        <w:rPr>
          <w:rFonts w:ascii="Times New Roman" w:hAnsi="Times New Roman"/>
          <w:sz w:val="24"/>
          <w:szCs w:val="24"/>
        </w:rPr>
        <w:t xml:space="preserve">. </w:t>
      </w:r>
      <w:r w:rsidR="004979E0" w:rsidRPr="005D2725">
        <w:rPr>
          <w:rFonts w:ascii="Times New Roman" w:hAnsi="Times New Roman"/>
          <w:sz w:val="24"/>
          <w:szCs w:val="24"/>
        </w:rPr>
        <w:t xml:space="preserve">Once it becomes </w:t>
      </w:r>
      <w:r w:rsidRPr="005D2725">
        <w:rPr>
          <w:rFonts w:ascii="Times New Roman" w:hAnsi="Times New Roman"/>
          <w:sz w:val="24"/>
          <w:szCs w:val="24"/>
        </w:rPr>
        <w:t>an investment</w:t>
      </w:r>
      <w:r w:rsidR="004979E0" w:rsidRPr="005D2725">
        <w:rPr>
          <w:rFonts w:ascii="Times New Roman" w:hAnsi="Times New Roman"/>
          <w:sz w:val="24"/>
          <w:szCs w:val="24"/>
        </w:rPr>
        <w:t xml:space="preserve"> it is</w:t>
      </w:r>
      <w:r w:rsidRPr="005D2725">
        <w:rPr>
          <w:rFonts w:ascii="Times New Roman" w:hAnsi="Times New Roman"/>
          <w:sz w:val="24"/>
          <w:szCs w:val="24"/>
        </w:rPr>
        <w:t xml:space="preserve"> put out of the ambit of expenditures and as such c</w:t>
      </w:r>
      <w:r w:rsidR="004979E0" w:rsidRPr="005D2725">
        <w:rPr>
          <w:rFonts w:ascii="Times New Roman" w:hAnsi="Times New Roman"/>
          <w:sz w:val="24"/>
          <w:szCs w:val="24"/>
        </w:rPr>
        <w:t>an</w:t>
      </w:r>
      <w:r w:rsidRPr="005D2725">
        <w:rPr>
          <w:rFonts w:ascii="Times New Roman" w:hAnsi="Times New Roman"/>
          <w:sz w:val="24"/>
          <w:szCs w:val="24"/>
        </w:rPr>
        <w:t>not be an allowable deduction.</w:t>
      </w:r>
    </w:p>
    <w:p w:rsidR="00D74045" w:rsidRPr="005D2725" w:rsidRDefault="00D74045" w:rsidP="005D2725">
      <w:pPr>
        <w:spacing w:after="0" w:line="360" w:lineRule="auto"/>
        <w:jc w:val="both"/>
        <w:rPr>
          <w:rFonts w:ascii="Times New Roman" w:hAnsi="Times New Roman"/>
          <w:sz w:val="24"/>
          <w:szCs w:val="24"/>
        </w:rPr>
      </w:pPr>
    </w:p>
    <w:p w:rsidR="00D74045" w:rsidRPr="005D2725" w:rsidRDefault="00D74045" w:rsidP="005D2725">
      <w:pPr>
        <w:spacing w:after="0" w:line="360" w:lineRule="auto"/>
        <w:jc w:val="both"/>
        <w:rPr>
          <w:rFonts w:ascii="Times New Roman" w:hAnsi="Times New Roman"/>
          <w:sz w:val="24"/>
          <w:szCs w:val="24"/>
        </w:rPr>
      </w:pPr>
      <w:r w:rsidRPr="005D2725">
        <w:rPr>
          <w:rFonts w:ascii="Times New Roman" w:hAnsi="Times New Roman"/>
          <w:sz w:val="24"/>
          <w:szCs w:val="24"/>
        </w:rPr>
        <w:t xml:space="preserve">I want to conclude that what </w:t>
      </w:r>
      <w:proofErr w:type="gramStart"/>
      <w:r w:rsidRPr="005D2725">
        <w:rPr>
          <w:rFonts w:ascii="Times New Roman" w:hAnsi="Times New Roman"/>
          <w:sz w:val="24"/>
          <w:szCs w:val="24"/>
        </w:rPr>
        <w:t>is</w:t>
      </w:r>
      <w:proofErr w:type="gramEnd"/>
      <w:r w:rsidRPr="005D2725">
        <w:rPr>
          <w:rFonts w:ascii="Times New Roman" w:hAnsi="Times New Roman"/>
          <w:sz w:val="24"/>
          <w:szCs w:val="24"/>
        </w:rPr>
        <w:t xml:space="preserve"> deducted must be sums of money that were used in the production of income. In this case contingency reserves were not used in the production of income but were the income themselves.</w:t>
      </w:r>
    </w:p>
    <w:p w:rsidR="00533DA1" w:rsidRPr="005D2725" w:rsidRDefault="00CB22C2" w:rsidP="005D2725">
      <w:pPr>
        <w:spacing w:after="0" w:line="360" w:lineRule="auto"/>
        <w:jc w:val="both"/>
        <w:rPr>
          <w:rFonts w:ascii="Times New Roman" w:hAnsi="Times New Roman"/>
          <w:sz w:val="24"/>
          <w:szCs w:val="24"/>
        </w:rPr>
      </w:pPr>
      <w:r w:rsidRPr="005D2725">
        <w:rPr>
          <w:rFonts w:ascii="Times New Roman" w:hAnsi="Times New Roman"/>
          <w:sz w:val="24"/>
          <w:szCs w:val="24"/>
        </w:rPr>
        <w:t>In conclusion Contingency reserves</w:t>
      </w:r>
      <w:r w:rsidR="00DC67B6" w:rsidRPr="005D2725">
        <w:rPr>
          <w:rFonts w:ascii="Times New Roman" w:hAnsi="Times New Roman"/>
          <w:sz w:val="24"/>
          <w:szCs w:val="24"/>
        </w:rPr>
        <w:t xml:space="preserve"> for</w:t>
      </w:r>
      <w:r w:rsidR="00D74045" w:rsidRPr="005D2725">
        <w:rPr>
          <w:rFonts w:ascii="Times New Roman" w:hAnsi="Times New Roman"/>
          <w:sz w:val="24"/>
          <w:szCs w:val="24"/>
        </w:rPr>
        <w:t xml:space="preserve"> Insurance</w:t>
      </w:r>
      <w:r w:rsidR="00DC67B6" w:rsidRPr="005D2725">
        <w:rPr>
          <w:rFonts w:ascii="Times New Roman" w:hAnsi="Times New Roman"/>
          <w:sz w:val="24"/>
          <w:szCs w:val="24"/>
        </w:rPr>
        <w:t xml:space="preserve"> Company</w:t>
      </w:r>
      <w:r w:rsidRPr="005D2725">
        <w:rPr>
          <w:rFonts w:ascii="Times New Roman" w:hAnsi="Times New Roman"/>
          <w:sz w:val="24"/>
          <w:szCs w:val="24"/>
        </w:rPr>
        <w:t xml:space="preserve"> are not allowable deductions</w:t>
      </w:r>
      <w:r w:rsidR="00DC67B6" w:rsidRPr="005D2725">
        <w:rPr>
          <w:rFonts w:ascii="Times New Roman" w:hAnsi="Times New Roman"/>
          <w:sz w:val="24"/>
          <w:szCs w:val="24"/>
        </w:rPr>
        <w:t xml:space="preserve"> for purposes of tax</w:t>
      </w:r>
      <w:r w:rsidRPr="005D2725">
        <w:rPr>
          <w:rFonts w:ascii="Times New Roman" w:hAnsi="Times New Roman"/>
          <w:sz w:val="24"/>
          <w:szCs w:val="24"/>
        </w:rPr>
        <w:t>.</w:t>
      </w:r>
      <w:r w:rsidRPr="005D2725">
        <w:rPr>
          <w:rFonts w:ascii="Times New Roman" w:hAnsi="Times New Roman"/>
          <w:b/>
          <w:sz w:val="24"/>
          <w:szCs w:val="24"/>
        </w:rPr>
        <w:t xml:space="preserve"> </w:t>
      </w:r>
    </w:p>
    <w:p w:rsidR="004A6363" w:rsidRPr="005D2725" w:rsidRDefault="004A6363" w:rsidP="005D2725">
      <w:pPr>
        <w:spacing w:after="0" w:line="360" w:lineRule="auto"/>
        <w:jc w:val="both"/>
        <w:rPr>
          <w:rFonts w:ascii="Times New Roman" w:hAnsi="Times New Roman"/>
          <w:sz w:val="24"/>
          <w:szCs w:val="24"/>
        </w:rPr>
      </w:pPr>
      <w:r w:rsidRPr="005D2725">
        <w:rPr>
          <w:rFonts w:ascii="Times New Roman" w:hAnsi="Times New Roman"/>
          <w:sz w:val="24"/>
          <w:szCs w:val="24"/>
        </w:rPr>
        <w:t xml:space="preserve"> </w:t>
      </w:r>
    </w:p>
    <w:p w:rsidR="004A6363" w:rsidRPr="005D2725" w:rsidRDefault="004A6363" w:rsidP="005D2725">
      <w:pPr>
        <w:spacing w:after="0" w:line="360" w:lineRule="auto"/>
        <w:jc w:val="both"/>
        <w:rPr>
          <w:rFonts w:ascii="Times New Roman" w:hAnsi="Times New Roman"/>
          <w:sz w:val="24"/>
          <w:szCs w:val="24"/>
        </w:rPr>
      </w:pPr>
      <w:r w:rsidRPr="005D2725">
        <w:rPr>
          <w:rFonts w:ascii="Times New Roman" w:hAnsi="Times New Roman"/>
          <w:sz w:val="24"/>
          <w:szCs w:val="24"/>
        </w:rPr>
        <w:t>The foregoing in my view disposes off grounds one, two and four of the Appeal.</w:t>
      </w:r>
    </w:p>
    <w:p w:rsidR="00CB22C2" w:rsidRPr="005D2725" w:rsidRDefault="00CB22C2" w:rsidP="005D2725">
      <w:pPr>
        <w:spacing w:after="0" w:line="360" w:lineRule="auto"/>
        <w:jc w:val="both"/>
        <w:rPr>
          <w:rFonts w:ascii="Times New Roman" w:hAnsi="Times New Roman"/>
          <w:sz w:val="24"/>
          <w:szCs w:val="24"/>
        </w:rPr>
      </w:pPr>
    </w:p>
    <w:p w:rsidR="00533DA1" w:rsidRPr="005D2725" w:rsidRDefault="004C55D5" w:rsidP="005D2725">
      <w:pPr>
        <w:spacing w:after="0" w:line="360" w:lineRule="auto"/>
        <w:jc w:val="both"/>
        <w:rPr>
          <w:rFonts w:ascii="Times New Roman" w:hAnsi="Times New Roman"/>
          <w:sz w:val="24"/>
          <w:szCs w:val="24"/>
        </w:rPr>
      </w:pPr>
      <w:r w:rsidRPr="005D2725">
        <w:rPr>
          <w:rFonts w:ascii="Times New Roman" w:hAnsi="Times New Roman"/>
          <w:sz w:val="24"/>
          <w:szCs w:val="24"/>
        </w:rPr>
        <w:t>On the</w:t>
      </w:r>
      <w:r w:rsidR="00347CB4" w:rsidRPr="005D2725">
        <w:rPr>
          <w:rFonts w:ascii="Times New Roman" w:hAnsi="Times New Roman"/>
          <w:sz w:val="24"/>
          <w:szCs w:val="24"/>
        </w:rPr>
        <w:t xml:space="preserve"> third ground of appeal that the Tribunal erred in law and fact to rule that reserves are post profits items and therefore not deductible under the Income Tax </w:t>
      </w:r>
      <w:r w:rsidR="007B3C7A" w:rsidRPr="005D2725">
        <w:rPr>
          <w:rFonts w:ascii="Times New Roman" w:hAnsi="Times New Roman"/>
          <w:sz w:val="24"/>
          <w:szCs w:val="24"/>
        </w:rPr>
        <w:t>the Appellant contended that this was an error because contingency reserves were allowable deductions and therefore could not have been subjected to tax. Counsel for the Appellant submitted that the Contingency reserves were put aside before profit is calculated.</w:t>
      </w:r>
    </w:p>
    <w:p w:rsidR="007B3C7A" w:rsidRPr="005D2725" w:rsidRDefault="007B3C7A" w:rsidP="005D2725">
      <w:pPr>
        <w:spacing w:after="0" w:line="360" w:lineRule="auto"/>
        <w:jc w:val="both"/>
        <w:rPr>
          <w:rFonts w:ascii="Times New Roman" w:hAnsi="Times New Roman"/>
          <w:sz w:val="24"/>
          <w:szCs w:val="24"/>
        </w:rPr>
      </w:pPr>
      <w:r w:rsidRPr="005D2725">
        <w:rPr>
          <w:rFonts w:ascii="Times New Roman" w:hAnsi="Times New Roman"/>
          <w:sz w:val="24"/>
          <w:szCs w:val="24"/>
        </w:rPr>
        <w:t>She further submitted that contingency reserves were expenses and profit could only be obtained after their removal. She referred court to the Income Statement of the Appellant of the year ending 31</w:t>
      </w:r>
      <w:r w:rsidRPr="005D2725">
        <w:rPr>
          <w:rFonts w:ascii="Times New Roman" w:hAnsi="Times New Roman"/>
          <w:sz w:val="24"/>
          <w:szCs w:val="24"/>
          <w:vertAlign w:val="superscript"/>
        </w:rPr>
        <w:t>st</w:t>
      </w:r>
      <w:r w:rsidRPr="005D2725">
        <w:rPr>
          <w:rFonts w:ascii="Times New Roman" w:hAnsi="Times New Roman"/>
          <w:sz w:val="24"/>
          <w:szCs w:val="24"/>
        </w:rPr>
        <w:t xml:space="preserve"> December 2008.  She submitted that both the 2% of the gross premium income and the 15% of the Net profits were all profits before tax.</w:t>
      </w:r>
    </w:p>
    <w:p w:rsidR="00FB6D6F" w:rsidRPr="005D2725" w:rsidRDefault="00FB6D6F" w:rsidP="005D2725">
      <w:pPr>
        <w:spacing w:after="0" w:line="360" w:lineRule="auto"/>
        <w:jc w:val="both"/>
        <w:rPr>
          <w:rFonts w:ascii="Times New Roman" w:hAnsi="Times New Roman"/>
          <w:sz w:val="24"/>
          <w:szCs w:val="24"/>
        </w:rPr>
      </w:pPr>
    </w:p>
    <w:p w:rsidR="00FB6D6F" w:rsidRPr="005D2725" w:rsidRDefault="00FB6D6F" w:rsidP="005D2725">
      <w:pPr>
        <w:spacing w:after="0" w:line="360" w:lineRule="auto"/>
        <w:jc w:val="both"/>
        <w:rPr>
          <w:rFonts w:ascii="Times New Roman" w:hAnsi="Times New Roman"/>
          <w:sz w:val="24"/>
          <w:szCs w:val="24"/>
        </w:rPr>
      </w:pPr>
      <w:r w:rsidRPr="005D2725">
        <w:rPr>
          <w:rFonts w:ascii="Times New Roman" w:hAnsi="Times New Roman"/>
          <w:sz w:val="24"/>
          <w:szCs w:val="24"/>
        </w:rPr>
        <w:t xml:space="preserve">I have studied the evidence on record and I am of the considered opinion that the 2% referred to under section 47 (2) (c) of the Insurance Act is a sum of money that is appropriated in reserves before tax because it is from gross premium income. As for the 15%, it is an appropriation after tax. </w:t>
      </w:r>
    </w:p>
    <w:p w:rsidR="00FB6D6F" w:rsidRPr="005D2725" w:rsidRDefault="00FB6D6F" w:rsidP="005D2725">
      <w:pPr>
        <w:spacing w:after="0" w:line="360" w:lineRule="auto"/>
        <w:jc w:val="both"/>
        <w:rPr>
          <w:rFonts w:ascii="Times New Roman" w:hAnsi="Times New Roman"/>
          <w:sz w:val="24"/>
          <w:szCs w:val="24"/>
        </w:rPr>
      </w:pPr>
      <w:r w:rsidRPr="005D2725">
        <w:rPr>
          <w:rFonts w:ascii="Times New Roman" w:hAnsi="Times New Roman"/>
          <w:sz w:val="24"/>
          <w:szCs w:val="24"/>
        </w:rPr>
        <w:lastRenderedPageBreak/>
        <w:t>The majority of reserves unless specifically provided for by legislation are items that come after tax because these are retained earnings which arise out of the profitable operations. And this is so because if a company makes losses, no reserves are made so therefore no reserves are recorded.</w:t>
      </w:r>
      <w:r w:rsidR="000E4459" w:rsidRPr="005D2725">
        <w:rPr>
          <w:rFonts w:ascii="Times New Roman" w:hAnsi="Times New Roman"/>
          <w:sz w:val="24"/>
          <w:szCs w:val="24"/>
        </w:rPr>
        <w:t xml:space="preserve"> </w:t>
      </w:r>
      <w:r w:rsidRPr="005D2725">
        <w:rPr>
          <w:rFonts w:ascii="Times New Roman" w:hAnsi="Times New Roman"/>
          <w:sz w:val="24"/>
          <w:szCs w:val="24"/>
        </w:rPr>
        <w:t>These reserves which are portions of profit are earned through a company’s normal operation and then set aside for any particular purpose or strengthening of the company. That is why a reserve account is an asset and forms the most liquid asset in a business.</w:t>
      </w:r>
    </w:p>
    <w:p w:rsidR="00FB6D6F" w:rsidRPr="005D2725" w:rsidRDefault="00FB6D6F" w:rsidP="005D2725">
      <w:pPr>
        <w:spacing w:after="0" w:line="360" w:lineRule="auto"/>
        <w:jc w:val="both"/>
        <w:rPr>
          <w:rFonts w:ascii="Times New Roman" w:hAnsi="Times New Roman"/>
          <w:sz w:val="24"/>
          <w:szCs w:val="24"/>
        </w:rPr>
      </w:pPr>
    </w:p>
    <w:p w:rsidR="00FB6D6F" w:rsidRPr="005D2725" w:rsidRDefault="00FB6D6F" w:rsidP="005D2725">
      <w:pPr>
        <w:spacing w:after="0" w:line="360" w:lineRule="auto"/>
        <w:jc w:val="both"/>
        <w:rPr>
          <w:rFonts w:ascii="Times New Roman" w:hAnsi="Times New Roman"/>
          <w:sz w:val="24"/>
          <w:szCs w:val="24"/>
        </w:rPr>
      </w:pPr>
      <w:r w:rsidRPr="005D2725">
        <w:rPr>
          <w:rFonts w:ascii="Times New Roman" w:hAnsi="Times New Roman"/>
          <w:sz w:val="24"/>
          <w:szCs w:val="24"/>
        </w:rPr>
        <w:t>For those reasons, the Tribunal was correct when it held that monies that are put aside for a Contingency Reserve Fund are done after profits have been taxed.</w:t>
      </w:r>
    </w:p>
    <w:p w:rsidR="00D74045" w:rsidRPr="005D2725" w:rsidRDefault="00D74045" w:rsidP="005D2725">
      <w:pPr>
        <w:spacing w:after="0" w:line="360" w:lineRule="auto"/>
        <w:jc w:val="both"/>
        <w:rPr>
          <w:rFonts w:ascii="Times New Roman" w:hAnsi="Times New Roman"/>
          <w:sz w:val="24"/>
          <w:szCs w:val="24"/>
        </w:rPr>
      </w:pPr>
    </w:p>
    <w:p w:rsidR="00D74045" w:rsidRPr="005D2725" w:rsidRDefault="00F90D04" w:rsidP="005D2725">
      <w:pPr>
        <w:spacing w:after="0" w:line="360" w:lineRule="auto"/>
        <w:jc w:val="both"/>
        <w:rPr>
          <w:rFonts w:ascii="Times New Roman" w:hAnsi="Times New Roman"/>
          <w:sz w:val="24"/>
          <w:szCs w:val="24"/>
        </w:rPr>
      </w:pPr>
      <w:r w:rsidRPr="005D2725">
        <w:rPr>
          <w:rFonts w:ascii="Times New Roman" w:hAnsi="Times New Roman"/>
          <w:sz w:val="24"/>
          <w:szCs w:val="24"/>
        </w:rPr>
        <w:t>Turning to the last ground of Appeal the Appellant asked court to find that the Tribunal erred in law when they held that there was no evidence adduced by the Applicant to prove that the assessment for the year 2008 was time barred.</w:t>
      </w:r>
    </w:p>
    <w:p w:rsidR="00997381" w:rsidRPr="005D2725" w:rsidRDefault="00997381" w:rsidP="005D2725">
      <w:pPr>
        <w:spacing w:after="0" w:line="360" w:lineRule="auto"/>
        <w:jc w:val="both"/>
        <w:rPr>
          <w:rFonts w:ascii="Times New Roman" w:hAnsi="Times New Roman"/>
          <w:sz w:val="24"/>
          <w:szCs w:val="24"/>
        </w:rPr>
      </w:pPr>
      <w:r w:rsidRPr="005D2725">
        <w:rPr>
          <w:rFonts w:ascii="Times New Roman" w:hAnsi="Times New Roman"/>
          <w:sz w:val="24"/>
          <w:szCs w:val="24"/>
        </w:rPr>
        <w:t xml:space="preserve">Matters of time are in section 95 and 97 of the Income Tax Act. </w:t>
      </w:r>
    </w:p>
    <w:p w:rsidR="000E4459" w:rsidRPr="005D2725" w:rsidRDefault="000E4459" w:rsidP="005D2725">
      <w:pPr>
        <w:spacing w:after="0" w:line="360" w:lineRule="auto"/>
        <w:jc w:val="both"/>
        <w:rPr>
          <w:rFonts w:ascii="Times New Roman" w:hAnsi="Times New Roman"/>
          <w:sz w:val="24"/>
          <w:szCs w:val="24"/>
        </w:rPr>
      </w:pPr>
      <w:r w:rsidRPr="005D2725">
        <w:rPr>
          <w:rFonts w:ascii="Times New Roman" w:hAnsi="Times New Roman"/>
          <w:sz w:val="24"/>
          <w:szCs w:val="24"/>
        </w:rPr>
        <w:t>Section 95</w:t>
      </w:r>
      <w:r w:rsidR="00997381" w:rsidRPr="005D2725">
        <w:rPr>
          <w:rFonts w:ascii="Times New Roman" w:hAnsi="Times New Roman"/>
          <w:sz w:val="24"/>
          <w:szCs w:val="24"/>
        </w:rPr>
        <w:t xml:space="preserve"> on the assessment reads;</w:t>
      </w:r>
    </w:p>
    <w:p w:rsidR="00997381" w:rsidRPr="005D2725" w:rsidRDefault="000E4459" w:rsidP="005D2725">
      <w:pPr>
        <w:spacing w:after="0" w:line="360" w:lineRule="auto"/>
        <w:jc w:val="both"/>
        <w:rPr>
          <w:rFonts w:ascii="Times New Roman" w:hAnsi="Times New Roman"/>
          <w:sz w:val="24"/>
          <w:szCs w:val="24"/>
        </w:rPr>
      </w:pPr>
      <w:r w:rsidRPr="005D2725">
        <w:rPr>
          <w:rFonts w:ascii="Times New Roman" w:hAnsi="Times New Roman"/>
          <w:sz w:val="24"/>
          <w:szCs w:val="24"/>
        </w:rPr>
        <w:t xml:space="preserve">                   </w:t>
      </w:r>
      <w:r w:rsidRPr="005D2725">
        <w:rPr>
          <w:rFonts w:ascii="Times New Roman" w:hAnsi="Times New Roman"/>
          <w:b/>
          <w:i/>
          <w:sz w:val="24"/>
          <w:szCs w:val="24"/>
        </w:rPr>
        <w:t>“95</w:t>
      </w:r>
      <w:r w:rsidR="00997381" w:rsidRPr="005D2725">
        <w:rPr>
          <w:rFonts w:ascii="Times New Roman" w:hAnsi="Times New Roman"/>
          <w:b/>
          <w:i/>
          <w:sz w:val="24"/>
          <w:szCs w:val="24"/>
        </w:rPr>
        <w:t>. Assessments</w:t>
      </w:r>
    </w:p>
    <w:p w:rsidR="00997381" w:rsidRPr="005D2725" w:rsidRDefault="00997381" w:rsidP="005D2725">
      <w:pPr>
        <w:pStyle w:val="ListParagraph"/>
        <w:numPr>
          <w:ilvl w:val="0"/>
          <w:numId w:val="6"/>
        </w:numPr>
        <w:spacing w:line="360" w:lineRule="auto"/>
        <w:ind w:left="1440" w:right="1440" w:firstLine="0"/>
        <w:jc w:val="both"/>
        <w:rPr>
          <w:rFonts w:ascii="Times New Roman" w:hAnsi="Times New Roman"/>
          <w:i/>
          <w:sz w:val="24"/>
          <w:szCs w:val="24"/>
        </w:rPr>
      </w:pPr>
      <w:r w:rsidRPr="005D2725">
        <w:rPr>
          <w:rFonts w:ascii="Times New Roman" w:hAnsi="Times New Roman"/>
          <w:i/>
          <w:sz w:val="24"/>
          <w:szCs w:val="24"/>
        </w:rPr>
        <w:t xml:space="preserve">Subject to Section 96, the Commissioner shall, </w:t>
      </w:r>
      <w:proofErr w:type="gramStart"/>
      <w:r w:rsidRPr="005D2725">
        <w:rPr>
          <w:rFonts w:ascii="Times New Roman" w:hAnsi="Times New Roman"/>
          <w:i/>
          <w:sz w:val="24"/>
          <w:szCs w:val="24"/>
        </w:rPr>
        <w:t>based</w:t>
      </w:r>
      <w:proofErr w:type="gramEnd"/>
      <w:r w:rsidRPr="005D2725">
        <w:rPr>
          <w:rFonts w:ascii="Times New Roman" w:hAnsi="Times New Roman"/>
          <w:i/>
          <w:sz w:val="24"/>
          <w:szCs w:val="24"/>
        </w:rPr>
        <w:t xml:space="preserve"> on the taxpayer’s return of income and any other information available, make an assessment of the chargeable income of a tax payer and the tax payable on it for a year of income within five years from the date the returns were furnished.”</w:t>
      </w:r>
    </w:p>
    <w:p w:rsidR="00997381" w:rsidRPr="005D2725" w:rsidRDefault="00997381" w:rsidP="005D2725">
      <w:pPr>
        <w:spacing w:after="0" w:line="360" w:lineRule="auto"/>
        <w:jc w:val="both"/>
        <w:rPr>
          <w:rFonts w:ascii="Times New Roman" w:hAnsi="Times New Roman"/>
          <w:sz w:val="24"/>
          <w:szCs w:val="24"/>
        </w:rPr>
      </w:pPr>
      <w:r w:rsidRPr="005D2725">
        <w:rPr>
          <w:rFonts w:ascii="Times New Roman" w:hAnsi="Times New Roman"/>
          <w:sz w:val="24"/>
          <w:szCs w:val="24"/>
        </w:rPr>
        <w:t>Section 97 of the same Act provides as follows;</w:t>
      </w:r>
    </w:p>
    <w:p w:rsidR="00997381" w:rsidRPr="005D2725" w:rsidRDefault="00997381" w:rsidP="005D2725">
      <w:pPr>
        <w:tabs>
          <w:tab w:val="left" w:pos="648"/>
        </w:tabs>
        <w:spacing w:line="360" w:lineRule="auto"/>
        <w:ind w:left="1440" w:right="1440"/>
        <w:jc w:val="both"/>
        <w:rPr>
          <w:rFonts w:ascii="Times New Roman" w:hAnsi="Times New Roman"/>
          <w:i/>
          <w:sz w:val="24"/>
          <w:szCs w:val="24"/>
        </w:rPr>
      </w:pPr>
      <w:r w:rsidRPr="005D2725">
        <w:rPr>
          <w:rFonts w:ascii="Times New Roman" w:hAnsi="Times New Roman"/>
          <w:sz w:val="24"/>
          <w:szCs w:val="24"/>
        </w:rPr>
        <w:t>“(</w:t>
      </w:r>
      <w:r w:rsidRPr="005D2725">
        <w:rPr>
          <w:rFonts w:ascii="Times New Roman" w:hAnsi="Times New Roman"/>
          <w:i/>
          <w:sz w:val="24"/>
          <w:szCs w:val="24"/>
        </w:rPr>
        <w:t>1) Subject to subsections (2) and (3), the Commissioner may, within three years after service of a notice of assessment, make an additional assessment amending an assessment previously made.</w:t>
      </w:r>
    </w:p>
    <w:p w:rsidR="00997381" w:rsidRPr="005D2725" w:rsidRDefault="00997381" w:rsidP="005D2725">
      <w:pPr>
        <w:pStyle w:val="ListParagraph"/>
        <w:numPr>
          <w:ilvl w:val="0"/>
          <w:numId w:val="6"/>
        </w:numPr>
        <w:tabs>
          <w:tab w:val="left" w:pos="1440"/>
        </w:tabs>
        <w:spacing w:line="360" w:lineRule="auto"/>
        <w:ind w:left="1440" w:right="1440" w:firstLine="0"/>
        <w:jc w:val="both"/>
        <w:rPr>
          <w:rFonts w:ascii="Times New Roman" w:hAnsi="Times New Roman"/>
          <w:i/>
          <w:sz w:val="24"/>
          <w:szCs w:val="24"/>
        </w:rPr>
      </w:pPr>
      <w:r w:rsidRPr="005D2725">
        <w:rPr>
          <w:rFonts w:ascii="Times New Roman" w:hAnsi="Times New Roman"/>
          <w:i/>
          <w:sz w:val="24"/>
          <w:szCs w:val="24"/>
        </w:rPr>
        <w:t>Where the need to make an additional assessment arises by reason of fraud or any gross or willful neglect by, or on behalf of the tax payer, or the discovery of new information in relation to the tax payable for any year of income, the Commissioner may make an assessment for that year at any time.</w:t>
      </w:r>
    </w:p>
    <w:p w:rsidR="00997381" w:rsidRPr="005D2725" w:rsidRDefault="00997381" w:rsidP="005D2725">
      <w:pPr>
        <w:pStyle w:val="ListParagraph"/>
        <w:numPr>
          <w:ilvl w:val="0"/>
          <w:numId w:val="6"/>
        </w:numPr>
        <w:tabs>
          <w:tab w:val="left" w:pos="648"/>
        </w:tabs>
        <w:spacing w:line="360" w:lineRule="auto"/>
        <w:ind w:left="1440" w:right="1440" w:firstLine="0"/>
        <w:jc w:val="both"/>
        <w:rPr>
          <w:rFonts w:ascii="Times New Roman" w:hAnsi="Times New Roman"/>
          <w:i/>
          <w:sz w:val="24"/>
          <w:szCs w:val="24"/>
        </w:rPr>
      </w:pPr>
      <w:r w:rsidRPr="005D2725">
        <w:rPr>
          <w:rFonts w:ascii="Times New Roman" w:hAnsi="Times New Roman"/>
          <w:i/>
          <w:sz w:val="24"/>
          <w:szCs w:val="24"/>
        </w:rPr>
        <w:lastRenderedPageBreak/>
        <w:t>The Commissioner shall not make an additional assessment amending an assessment in respect of an amount, if any previous assessment for the year of income in question has in respect of that amount, been amended or reduced pursuant to an order of the High Court of the Court of Appeal unless such order was obtained by fraud or any gross or willful neglect.”</w:t>
      </w:r>
    </w:p>
    <w:p w:rsidR="00997381" w:rsidRPr="005D2725" w:rsidRDefault="00997381" w:rsidP="005D2725">
      <w:pPr>
        <w:spacing w:after="0" w:line="360" w:lineRule="auto"/>
        <w:jc w:val="both"/>
        <w:rPr>
          <w:rFonts w:ascii="Times New Roman" w:hAnsi="Times New Roman"/>
          <w:sz w:val="24"/>
          <w:szCs w:val="24"/>
        </w:rPr>
      </w:pPr>
      <w:r w:rsidRPr="005D2725">
        <w:rPr>
          <w:rFonts w:ascii="Times New Roman" w:hAnsi="Times New Roman"/>
          <w:sz w:val="24"/>
          <w:szCs w:val="24"/>
        </w:rPr>
        <w:t>While the assessment must be made five years from the date the returns were furnished, an additional assessment can be made amending the previous one within three years from the time the first one was made. The issue before this court would then be whether the original assessment was made within five years and if there was an additional assessment, within three years from the first one.</w:t>
      </w:r>
    </w:p>
    <w:p w:rsidR="00997381" w:rsidRPr="005D2725" w:rsidRDefault="008B0EFF" w:rsidP="005D2725">
      <w:pPr>
        <w:spacing w:after="0" w:line="360" w:lineRule="auto"/>
        <w:jc w:val="both"/>
        <w:rPr>
          <w:rFonts w:ascii="Times New Roman" w:hAnsi="Times New Roman"/>
          <w:sz w:val="24"/>
          <w:szCs w:val="24"/>
        </w:rPr>
      </w:pPr>
      <w:r w:rsidRPr="005D2725">
        <w:rPr>
          <w:rFonts w:ascii="Times New Roman" w:hAnsi="Times New Roman"/>
          <w:sz w:val="24"/>
          <w:szCs w:val="24"/>
        </w:rPr>
        <w:t>Ther</w:t>
      </w:r>
      <w:r w:rsidR="00997381" w:rsidRPr="005D2725">
        <w:rPr>
          <w:rFonts w:ascii="Times New Roman" w:hAnsi="Times New Roman"/>
          <w:sz w:val="24"/>
          <w:szCs w:val="24"/>
        </w:rPr>
        <w:t>e are issues of time and therefore called for hearing through evidence to establish the time the Appellant submitted her returns.</w:t>
      </w:r>
    </w:p>
    <w:p w:rsidR="00997381" w:rsidRPr="005D2725" w:rsidRDefault="00997381" w:rsidP="005D2725">
      <w:pPr>
        <w:spacing w:after="0" w:line="360" w:lineRule="auto"/>
        <w:jc w:val="both"/>
        <w:rPr>
          <w:rFonts w:ascii="Times New Roman" w:hAnsi="Times New Roman"/>
          <w:sz w:val="24"/>
          <w:szCs w:val="24"/>
        </w:rPr>
      </w:pPr>
      <w:r w:rsidRPr="005D2725">
        <w:rPr>
          <w:rFonts w:ascii="Times New Roman" w:hAnsi="Times New Roman"/>
          <w:sz w:val="24"/>
          <w:szCs w:val="24"/>
        </w:rPr>
        <w:t>It therefore had to be an issue before the Tribunal so as to enable both parties to present through evidence what they wanted the Tribunal to believe on limitation of time.</w:t>
      </w:r>
    </w:p>
    <w:p w:rsidR="00997381" w:rsidRPr="005D2725" w:rsidRDefault="00997381" w:rsidP="005D2725">
      <w:pPr>
        <w:spacing w:after="0" w:line="360" w:lineRule="auto"/>
        <w:jc w:val="both"/>
        <w:rPr>
          <w:rFonts w:ascii="Times New Roman" w:hAnsi="Times New Roman"/>
          <w:sz w:val="24"/>
          <w:szCs w:val="24"/>
        </w:rPr>
      </w:pPr>
    </w:p>
    <w:p w:rsidR="00F90D04" w:rsidRPr="005D2725" w:rsidRDefault="00F90D04" w:rsidP="005D2725">
      <w:pPr>
        <w:spacing w:after="0" w:line="360" w:lineRule="auto"/>
        <w:jc w:val="both"/>
        <w:rPr>
          <w:rFonts w:ascii="Times New Roman" w:hAnsi="Times New Roman"/>
          <w:sz w:val="24"/>
          <w:szCs w:val="24"/>
        </w:rPr>
      </w:pPr>
      <w:r w:rsidRPr="005D2725">
        <w:rPr>
          <w:rFonts w:ascii="Times New Roman" w:hAnsi="Times New Roman"/>
          <w:sz w:val="24"/>
          <w:szCs w:val="24"/>
        </w:rPr>
        <w:t>To answer this one has to look at the issue</w:t>
      </w:r>
      <w:r w:rsidR="00C846AF" w:rsidRPr="005D2725">
        <w:rPr>
          <w:rFonts w:ascii="Times New Roman" w:hAnsi="Times New Roman"/>
          <w:sz w:val="24"/>
          <w:szCs w:val="24"/>
        </w:rPr>
        <w:t>s</w:t>
      </w:r>
      <w:r w:rsidRPr="005D2725">
        <w:rPr>
          <w:rFonts w:ascii="Times New Roman" w:hAnsi="Times New Roman"/>
          <w:sz w:val="24"/>
          <w:szCs w:val="24"/>
        </w:rPr>
        <w:t xml:space="preserve"> that were before the Tribunal</w:t>
      </w:r>
      <w:r w:rsidR="00C846AF" w:rsidRPr="005D2725">
        <w:rPr>
          <w:rFonts w:ascii="Times New Roman" w:hAnsi="Times New Roman"/>
          <w:sz w:val="24"/>
          <w:szCs w:val="24"/>
        </w:rPr>
        <w:t>. These were three issues namely;</w:t>
      </w:r>
    </w:p>
    <w:p w:rsidR="00C846AF" w:rsidRPr="005D2725" w:rsidRDefault="00C846AF" w:rsidP="005D2725">
      <w:pPr>
        <w:pStyle w:val="ListParagraph"/>
        <w:numPr>
          <w:ilvl w:val="0"/>
          <w:numId w:val="9"/>
        </w:numPr>
        <w:spacing w:after="0" w:line="360" w:lineRule="auto"/>
        <w:jc w:val="both"/>
        <w:rPr>
          <w:rFonts w:ascii="Times New Roman" w:hAnsi="Times New Roman"/>
          <w:sz w:val="24"/>
          <w:szCs w:val="24"/>
        </w:rPr>
      </w:pPr>
      <w:r w:rsidRPr="005D2725">
        <w:rPr>
          <w:rFonts w:ascii="Times New Roman" w:hAnsi="Times New Roman"/>
          <w:sz w:val="24"/>
          <w:szCs w:val="24"/>
        </w:rPr>
        <w:t>Whether amounts transferred by the Applicant to the Contingency reserves as per the Insurance Act fall within paragraph 3 (d) of the 4</w:t>
      </w:r>
      <w:r w:rsidRPr="005D2725">
        <w:rPr>
          <w:rFonts w:ascii="Times New Roman" w:hAnsi="Times New Roman"/>
          <w:sz w:val="24"/>
          <w:szCs w:val="24"/>
          <w:vertAlign w:val="superscript"/>
        </w:rPr>
        <w:t>th</w:t>
      </w:r>
      <w:r w:rsidRPr="005D2725">
        <w:rPr>
          <w:rFonts w:ascii="Times New Roman" w:hAnsi="Times New Roman"/>
          <w:sz w:val="24"/>
          <w:szCs w:val="24"/>
        </w:rPr>
        <w:t xml:space="preserve"> Schedule of the Income Tax Act and qualify as allowable deductions under the Income Tax Act?</w:t>
      </w:r>
    </w:p>
    <w:p w:rsidR="00C846AF" w:rsidRPr="005D2725" w:rsidRDefault="00C846AF" w:rsidP="005D2725">
      <w:pPr>
        <w:pStyle w:val="ListParagraph"/>
        <w:numPr>
          <w:ilvl w:val="0"/>
          <w:numId w:val="9"/>
        </w:numPr>
        <w:spacing w:after="0" w:line="360" w:lineRule="auto"/>
        <w:jc w:val="both"/>
        <w:rPr>
          <w:rFonts w:ascii="Times New Roman" w:hAnsi="Times New Roman"/>
          <w:sz w:val="24"/>
          <w:szCs w:val="24"/>
        </w:rPr>
      </w:pPr>
      <w:r w:rsidRPr="005D2725">
        <w:rPr>
          <w:rFonts w:ascii="Times New Roman" w:hAnsi="Times New Roman"/>
          <w:sz w:val="24"/>
          <w:szCs w:val="24"/>
        </w:rPr>
        <w:t>Whether assessments issued by the Respondent are justified?</w:t>
      </w:r>
    </w:p>
    <w:p w:rsidR="00C846AF" w:rsidRPr="005D2725" w:rsidRDefault="00C846AF" w:rsidP="005D2725">
      <w:pPr>
        <w:pStyle w:val="ListParagraph"/>
        <w:numPr>
          <w:ilvl w:val="0"/>
          <w:numId w:val="9"/>
        </w:numPr>
        <w:spacing w:after="0" w:line="360" w:lineRule="auto"/>
        <w:jc w:val="both"/>
        <w:rPr>
          <w:rFonts w:ascii="Times New Roman" w:hAnsi="Times New Roman"/>
          <w:sz w:val="24"/>
          <w:szCs w:val="24"/>
        </w:rPr>
      </w:pPr>
      <w:r w:rsidRPr="005D2725">
        <w:rPr>
          <w:rFonts w:ascii="Times New Roman" w:hAnsi="Times New Roman"/>
          <w:sz w:val="24"/>
          <w:szCs w:val="24"/>
        </w:rPr>
        <w:t>What are the costs and remedies available to the Applicant?</w:t>
      </w:r>
    </w:p>
    <w:p w:rsidR="00C846AF" w:rsidRPr="005D2725" w:rsidRDefault="00C846AF" w:rsidP="005D2725">
      <w:pPr>
        <w:spacing w:after="0" w:line="360" w:lineRule="auto"/>
        <w:jc w:val="both"/>
        <w:rPr>
          <w:rFonts w:ascii="Times New Roman" w:hAnsi="Times New Roman"/>
          <w:sz w:val="24"/>
          <w:szCs w:val="24"/>
        </w:rPr>
      </w:pPr>
    </w:p>
    <w:p w:rsidR="00C846AF" w:rsidRPr="005D2725" w:rsidRDefault="00C846AF" w:rsidP="005D2725">
      <w:pPr>
        <w:spacing w:after="0" w:line="360" w:lineRule="auto"/>
        <w:jc w:val="both"/>
        <w:rPr>
          <w:rFonts w:ascii="Times New Roman" w:hAnsi="Times New Roman"/>
          <w:sz w:val="24"/>
          <w:szCs w:val="24"/>
        </w:rPr>
      </w:pPr>
      <w:r w:rsidRPr="005D2725">
        <w:rPr>
          <w:rFonts w:ascii="Times New Roman" w:hAnsi="Times New Roman"/>
          <w:sz w:val="24"/>
          <w:szCs w:val="24"/>
        </w:rPr>
        <w:t xml:space="preserve">The foregoing issues were the ones that the Tribunal was asked to look into by the Appellant. Those being the issues the evidence that was drawn out of the witnesses must have been geared towards the issues that were under investigation. I have gone through the evidence. The only time AW1 Ronald </w:t>
      </w:r>
      <w:proofErr w:type="spellStart"/>
      <w:r w:rsidRPr="005D2725">
        <w:rPr>
          <w:rFonts w:ascii="Times New Roman" w:hAnsi="Times New Roman"/>
          <w:sz w:val="24"/>
          <w:szCs w:val="24"/>
        </w:rPr>
        <w:t>Akankwasa</w:t>
      </w:r>
      <w:proofErr w:type="spellEnd"/>
      <w:r w:rsidRPr="005D2725">
        <w:rPr>
          <w:rFonts w:ascii="Times New Roman" w:hAnsi="Times New Roman"/>
          <w:sz w:val="24"/>
          <w:szCs w:val="24"/>
        </w:rPr>
        <w:t xml:space="preserve"> talked of time that would otherwise be relevant to </w:t>
      </w:r>
      <w:r w:rsidR="008B0EFF" w:rsidRPr="005D2725">
        <w:rPr>
          <w:rFonts w:ascii="Times New Roman" w:hAnsi="Times New Roman"/>
          <w:sz w:val="24"/>
          <w:szCs w:val="24"/>
        </w:rPr>
        <w:t xml:space="preserve">limitation </w:t>
      </w:r>
      <w:r w:rsidRPr="005D2725">
        <w:rPr>
          <w:rFonts w:ascii="Times New Roman" w:hAnsi="Times New Roman"/>
          <w:sz w:val="24"/>
          <w:szCs w:val="24"/>
        </w:rPr>
        <w:t>was when he stated the month that an audit was done. He said;</w:t>
      </w:r>
    </w:p>
    <w:p w:rsidR="00C846AF" w:rsidRPr="005D2725" w:rsidRDefault="00C846AF" w:rsidP="005D2725">
      <w:pPr>
        <w:spacing w:after="0" w:line="360" w:lineRule="auto"/>
        <w:ind w:left="1440" w:right="1428"/>
        <w:jc w:val="both"/>
        <w:rPr>
          <w:rFonts w:ascii="Times New Roman" w:hAnsi="Times New Roman"/>
          <w:sz w:val="24"/>
          <w:szCs w:val="24"/>
        </w:rPr>
      </w:pPr>
      <w:proofErr w:type="gramStart"/>
      <w:r w:rsidRPr="005D2725">
        <w:rPr>
          <w:rFonts w:ascii="Times New Roman" w:hAnsi="Times New Roman"/>
          <w:sz w:val="24"/>
          <w:szCs w:val="24"/>
        </w:rPr>
        <w:t xml:space="preserve">“ </w:t>
      </w:r>
      <w:r w:rsidRPr="005D2725">
        <w:rPr>
          <w:rFonts w:ascii="Times New Roman" w:hAnsi="Times New Roman"/>
          <w:i/>
          <w:sz w:val="24"/>
          <w:szCs w:val="24"/>
        </w:rPr>
        <w:t>The</w:t>
      </w:r>
      <w:proofErr w:type="gramEnd"/>
      <w:r w:rsidRPr="005D2725">
        <w:rPr>
          <w:rFonts w:ascii="Times New Roman" w:hAnsi="Times New Roman"/>
          <w:i/>
          <w:sz w:val="24"/>
          <w:szCs w:val="24"/>
        </w:rPr>
        <w:t xml:space="preserve"> audit was carried out in October 2013 by the Respondent</w:t>
      </w:r>
      <w:r w:rsidRPr="005D2725">
        <w:rPr>
          <w:rFonts w:ascii="Times New Roman" w:hAnsi="Times New Roman"/>
          <w:sz w:val="24"/>
          <w:szCs w:val="24"/>
        </w:rPr>
        <w:t>.”</w:t>
      </w:r>
    </w:p>
    <w:p w:rsidR="00C846AF" w:rsidRPr="005D2725" w:rsidRDefault="00C846AF" w:rsidP="005D2725">
      <w:pPr>
        <w:spacing w:after="0" w:line="360" w:lineRule="auto"/>
        <w:jc w:val="both"/>
        <w:rPr>
          <w:rFonts w:ascii="Times New Roman" w:hAnsi="Times New Roman"/>
          <w:sz w:val="24"/>
          <w:szCs w:val="24"/>
        </w:rPr>
      </w:pPr>
      <w:r w:rsidRPr="005D2725">
        <w:rPr>
          <w:rFonts w:ascii="Times New Roman" w:hAnsi="Times New Roman"/>
          <w:sz w:val="24"/>
          <w:szCs w:val="24"/>
        </w:rPr>
        <w:t xml:space="preserve">The second witness was </w:t>
      </w:r>
      <w:proofErr w:type="spellStart"/>
      <w:r w:rsidRPr="005D2725">
        <w:rPr>
          <w:rFonts w:ascii="Times New Roman" w:hAnsi="Times New Roman"/>
          <w:sz w:val="24"/>
          <w:szCs w:val="24"/>
        </w:rPr>
        <w:t>Azim</w:t>
      </w:r>
      <w:proofErr w:type="spellEnd"/>
      <w:r w:rsidRPr="005D2725">
        <w:rPr>
          <w:rFonts w:ascii="Times New Roman" w:hAnsi="Times New Roman"/>
          <w:sz w:val="24"/>
          <w:szCs w:val="24"/>
        </w:rPr>
        <w:t xml:space="preserve"> </w:t>
      </w:r>
      <w:proofErr w:type="spellStart"/>
      <w:r w:rsidRPr="005D2725">
        <w:rPr>
          <w:rFonts w:ascii="Times New Roman" w:hAnsi="Times New Roman"/>
          <w:sz w:val="24"/>
          <w:szCs w:val="24"/>
        </w:rPr>
        <w:t>Fahrani</w:t>
      </w:r>
      <w:proofErr w:type="spellEnd"/>
      <w:r w:rsidRPr="005D2725">
        <w:rPr>
          <w:rFonts w:ascii="Times New Roman" w:hAnsi="Times New Roman"/>
          <w:sz w:val="24"/>
          <w:szCs w:val="24"/>
        </w:rPr>
        <w:t>. He did not give any evidence that concerned time limitation.</w:t>
      </w:r>
    </w:p>
    <w:p w:rsidR="00C846AF" w:rsidRPr="005D2725" w:rsidRDefault="00C846AF" w:rsidP="005D2725">
      <w:pPr>
        <w:spacing w:after="0" w:line="360" w:lineRule="auto"/>
        <w:jc w:val="both"/>
        <w:rPr>
          <w:rFonts w:ascii="Times New Roman" w:hAnsi="Times New Roman"/>
          <w:sz w:val="24"/>
          <w:szCs w:val="24"/>
        </w:rPr>
      </w:pPr>
      <w:r w:rsidRPr="005D2725">
        <w:rPr>
          <w:rFonts w:ascii="Times New Roman" w:hAnsi="Times New Roman"/>
          <w:sz w:val="24"/>
          <w:szCs w:val="24"/>
        </w:rPr>
        <w:lastRenderedPageBreak/>
        <w:t>For this matter to be resolved properly the Appellant had to adduce evidence on the dates that they submitted their returns that led to the assessment. When this court asked Counsel when they had made their submissions she replied;</w:t>
      </w:r>
    </w:p>
    <w:p w:rsidR="00C846AF" w:rsidRPr="005D2725" w:rsidRDefault="008B0EFF" w:rsidP="005D2725">
      <w:pPr>
        <w:spacing w:after="0" w:line="360" w:lineRule="auto"/>
        <w:ind w:left="1440" w:right="1428"/>
        <w:jc w:val="both"/>
        <w:rPr>
          <w:rFonts w:ascii="Times New Roman" w:hAnsi="Times New Roman"/>
          <w:i/>
          <w:sz w:val="24"/>
          <w:szCs w:val="24"/>
        </w:rPr>
      </w:pPr>
      <w:r w:rsidRPr="005D2725">
        <w:rPr>
          <w:rFonts w:ascii="Times New Roman" w:hAnsi="Times New Roman"/>
          <w:i/>
          <w:sz w:val="24"/>
          <w:szCs w:val="24"/>
        </w:rPr>
        <w:t xml:space="preserve">“My Lord unfortunately I do not have the </w:t>
      </w:r>
      <w:proofErr w:type="spellStart"/>
      <w:r w:rsidRPr="005D2725">
        <w:rPr>
          <w:rFonts w:ascii="Times New Roman" w:hAnsi="Times New Roman"/>
          <w:i/>
          <w:sz w:val="24"/>
          <w:szCs w:val="24"/>
        </w:rPr>
        <w:t>documetation</w:t>
      </w:r>
      <w:proofErr w:type="spellEnd"/>
      <w:r w:rsidR="00C846AF" w:rsidRPr="005D2725">
        <w:rPr>
          <w:rFonts w:ascii="Times New Roman" w:hAnsi="Times New Roman"/>
          <w:i/>
          <w:sz w:val="24"/>
          <w:szCs w:val="24"/>
        </w:rPr>
        <w:t>.”</w:t>
      </w:r>
    </w:p>
    <w:p w:rsidR="00533DA1" w:rsidRPr="005D2725" w:rsidRDefault="00533DA1" w:rsidP="005D2725">
      <w:pPr>
        <w:spacing w:after="0" w:line="360" w:lineRule="auto"/>
        <w:jc w:val="both"/>
        <w:rPr>
          <w:rFonts w:ascii="Times New Roman" w:hAnsi="Times New Roman"/>
          <w:sz w:val="24"/>
          <w:szCs w:val="24"/>
        </w:rPr>
      </w:pPr>
    </w:p>
    <w:p w:rsidR="00E636B4" w:rsidRPr="005D2725" w:rsidRDefault="00E636B4" w:rsidP="005D2725">
      <w:pPr>
        <w:spacing w:after="0" w:line="360" w:lineRule="auto"/>
        <w:jc w:val="both"/>
        <w:rPr>
          <w:rFonts w:ascii="Times New Roman" w:hAnsi="Times New Roman"/>
          <w:sz w:val="24"/>
          <w:szCs w:val="24"/>
        </w:rPr>
      </w:pPr>
      <w:r w:rsidRPr="005D2725">
        <w:rPr>
          <w:rFonts w:ascii="Times New Roman" w:hAnsi="Times New Roman"/>
          <w:sz w:val="24"/>
          <w:szCs w:val="24"/>
        </w:rPr>
        <w:t>In the absence of those dates, the Tribunal could not have been able to calculate and come up with an answer based on the evidence that the assessment had been done out of time.</w:t>
      </w:r>
    </w:p>
    <w:p w:rsidR="005E3C51" w:rsidRPr="005D2725" w:rsidRDefault="00E636B4" w:rsidP="005D2725">
      <w:pPr>
        <w:spacing w:after="0" w:line="360" w:lineRule="auto"/>
        <w:jc w:val="both"/>
        <w:rPr>
          <w:rFonts w:ascii="Times New Roman" w:hAnsi="Times New Roman"/>
          <w:sz w:val="24"/>
          <w:szCs w:val="24"/>
        </w:rPr>
      </w:pPr>
      <w:r w:rsidRPr="005D2725">
        <w:rPr>
          <w:rFonts w:ascii="Times New Roman" w:hAnsi="Times New Roman"/>
          <w:sz w:val="24"/>
          <w:szCs w:val="24"/>
        </w:rPr>
        <w:t>Furthermore, the issue of time was not one of those included in the statement disputing the assessment. That being the case, even the Respondent was denied the chance to adduce evidence in support of their position. There was therefore no evidence adduced by the Appellant</w:t>
      </w:r>
      <w:r w:rsidR="008B0EFF" w:rsidRPr="005D2725">
        <w:rPr>
          <w:rFonts w:ascii="Times New Roman" w:hAnsi="Times New Roman"/>
          <w:sz w:val="24"/>
          <w:szCs w:val="24"/>
        </w:rPr>
        <w:t>.</w:t>
      </w:r>
      <w:r w:rsidRPr="005D2725">
        <w:rPr>
          <w:rFonts w:ascii="Times New Roman" w:hAnsi="Times New Roman"/>
          <w:sz w:val="24"/>
          <w:szCs w:val="24"/>
        </w:rPr>
        <w:t xml:space="preserve"> </w:t>
      </w:r>
    </w:p>
    <w:p w:rsidR="008B0EFF" w:rsidRPr="005D2725" w:rsidRDefault="008B0EFF" w:rsidP="005D2725">
      <w:pPr>
        <w:spacing w:after="0" w:line="360" w:lineRule="auto"/>
        <w:jc w:val="both"/>
        <w:rPr>
          <w:rFonts w:ascii="Times New Roman" w:hAnsi="Times New Roman"/>
          <w:sz w:val="24"/>
          <w:szCs w:val="24"/>
        </w:rPr>
      </w:pPr>
    </w:p>
    <w:p w:rsidR="008B0EFF" w:rsidRPr="005D2725" w:rsidRDefault="008B0EFF" w:rsidP="005D2725">
      <w:pPr>
        <w:spacing w:after="0" w:line="360" w:lineRule="auto"/>
        <w:jc w:val="both"/>
        <w:rPr>
          <w:rFonts w:ascii="Times New Roman" w:hAnsi="Times New Roman"/>
          <w:b/>
          <w:i/>
          <w:sz w:val="24"/>
          <w:szCs w:val="24"/>
        </w:rPr>
      </w:pPr>
      <w:r w:rsidRPr="005D2725">
        <w:rPr>
          <w:rFonts w:ascii="Times New Roman" w:hAnsi="Times New Roman"/>
          <w:sz w:val="24"/>
          <w:szCs w:val="24"/>
        </w:rPr>
        <w:t xml:space="preserve"> I accordingly find that the Appellant by pursuing the claim of limitation of time when she did not make any pleadings as to that effect and also failed to adduce evidence as to the entitlements of that defence, has no justification to fault the Tax Appeals Tribunal for its finding that there was no evidence to prove time bar</w:t>
      </w:r>
      <w:r w:rsidRPr="005D2725">
        <w:rPr>
          <w:rFonts w:ascii="Times New Roman" w:hAnsi="Times New Roman"/>
          <w:b/>
          <w:i/>
          <w:sz w:val="24"/>
          <w:szCs w:val="24"/>
        </w:rPr>
        <w:t xml:space="preserve">; Uganda Revenue Authority </w:t>
      </w:r>
      <w:proofErr w:type="spellStart"/>
      <w:r w:rsidRPr="005D2725">
        <w:rPr>
          <w:rFonts w:ascii="Times New Roman" w:hAnsi="Times New Roman"/>
          <w:b/>
          <w:i/>
          <w:sz w:val="24"/>
          <w:szCs w:val="24"/>
        </w:rPr>
        <w:t>vs</w:t>
      </w:r>
      <w:proofErr w:type="spellEnd"/>
      <w:r w:rsidRPr="005D2725">
        <w:rPr>
          <w:rFonts w:ascii="Times New Roman" w:hAnsi="Times New Roman"/>
          <w:b/>
          <w:i/>
          <w:sz w:val="24"/>
          <w:szCs w:val="24"/>
        </w:rPr>
        <w:t xml:space="preserve"> </w:t>
      </w:r>
      <w:proofErr w:type="spellStart"/>
      <w:r w:rsidRPr="005D2725">
        <w:rPr>
          <w:rFonts w:ascii="Times New Roman" w:hAnsi="Times New Roman"/>
          <w:b/>
          <w:i/>
          <w:sz w:val="24"/>
          <w:szCs w:val="24"/>
        </w:rPr>
        <w:t>Wanume</w:t>
      </w:r>
      <w:proofErr w:type="spellEnd"/>
      <w:r w:rsidRPr="005D2725">
        <w:rPr>
          <w:rFonts w:ascii="Times New Roman" w:hAnsi="Times New Roman"/>
          <w:b/>
          <w:i/>
          <w:sz w:val="24"/>
          <w:szCs w:val="24"/>
        </w:rPr>
        <w:t xml:space="preserve"> David </w:t>
      </w:r>
      <w:proofErr w:type="spellStart"/>
      <w:r w:rsidRPr="005D2725">
        <w:rPr>
          <w:rFonts w:ascii="Times New Roman" w:hAnsi="Times New Roman"/>
          <w:b/>
          <w:i/>
          <w:sz w:val="24"/>
          <w:szCs w:val="24"/>
        </w:rPr>
        <w:t>Kitamirike</w:t>
      </w:r>
      <w:proofErr w:type="spellEnd"/>
      <w:r w:rsidRPr="005D2725">
        <w:rPr>
          <w:rFonts w:ascii="Times New Roman" w:hAnsi="Times New Roman"/>
          <w:b/>
          <w:i/>
          <w:sz w:val="24"/>
          <w:szCs w:val="24"/>
        </w:rPr>
        <w:t xml:space="preserve"> Civil Appeal No. 43 of 2010.</w:t>
      </w:r>
    </w:p>
    <w:p w:rsidR="008B0EFF" w:rsidRPr="005D2725" w:rsidRDefault="008B0EFF" w:rsidP="005D2725">
      <w:pPr>
        <w:spacing w:after="0" w:line="360" w:lineRule="auto"/>
        <w:jc w:val="both"/>
        <w:rPr>
          <w:rFonts w:ascii="Times New Roman" w:hAnsi="Times New Roman"/>
          <w:sz w:val="24"/>
          <w:szCs w:val="24"/>
        </w:rPr>
      </w:pPr>
      <w:r w:rsidRPr="005D2725">
        <w:rPr>
          <w:rFonts w:ascii="Times New Roman" w:hAnsi="Times New Roman"/>
          <w:sz w:val="24"/>
          <w:szCs w:val="24"/>
        </w:rPr>
        <w:t>The ground of Appeal fails.</w:t>
      </w:r>
    </w:p>
    <w:p w:rsidR="005E3C51" w:rsidRPr="005D2725" w:rsidRDefault="005E3C51" w:rsidP="005D2725">
      <w:pPr>
        <w:spacing w:after="0" w:line="360" w:lineRule="auto"/>
        <w:jc w:val="both"/>
        <w:rPr>
          <w:rFonts w:ascii="Times New Roman" w:hAnsi="Times New Roman"/>
          <w:sz w:val="24"/>
          <w:szCs w:val="24"/>
        </w:rPr>
      </w:pPr>
      <w:r w:rsidRPr="005D2725">
        <w:rPr>
          <w:rFonts w:ascii="Times New Roman" w:hAnsi="Times New Roman"/>
          <w:sz w:val="24"/>
          <w:szCs w:val="24"/>
        </w:rPr>
        <w:t>The sum total is that after subjecting the evidence as a whole to that fresh and exhaustive scrutiny, it is my finding that the Appellant’s criticism of the Tax Appeals Tribunal that it did not properly scrutinize and evaluate the evidence adduced at hearing and by implication that, if it had done so would have rejected the Respondent’s pleas and accepted the Appellant’s instead unjustified.</w:t>
      </w:r>
    </w:p>
    <w:p w:rsidR="005E3C51" w:rsidRPr="005D2725" w:rsidRDefault="005E3C51" w:rsidP="005D2725">
      <w:pPr>
        <w:spacing w:after="0" w:line="360" w:lineRule="auto"/>
        <w:jc w:val="both"/>
        <w:rPr>
          <w:rFonts w:ascii="Times New Roman" w:hAnsi="Times New Roman"/>
          <w:sz w:val="24"/>
          <w:szCs w:val="24"/>
        </w:rPr>
      </w:pPr>
      <w:r w:rsidRPr="005D2725">
        <w:rPr>
          <w:rFonts w:ascii="Times New Roman" w:hAnsi="Times New Roman"/>
          <w:sz w:val="24"/>
          <w:szCs w:val="24"/>
        </w:rPr>
        <w:t>This Appeal therefore lacks merit and is dismissed with costs.</w:t>
      </w:r>
    </w:p>
    <w:p w:rsidR="00533DA1" w:rsidRPr="005D2725" w:rsidRDefault="00533DA1" w:rsidP="005D2725">
      <w:pPr>
        <w:spacing w:after="0" w:line="360" w:lineRule="auto"/>
        <w:jc w:val="both"/>
        <w:rPr>
          <w:rFonts w:ascii="Times New Roman" w:hAnsi="Times New Roman"/>
          <w:sz w:val="24"/>
          <w:szCs w:val="24"/>
        </w:rPr>
      </w:pPr>
    </w:p>
    <w:p w:rsidR="00533DA1" w:rsidRPr="005D2725" w:rsidRDefault="00533DA1" w:rsidP="005D2725">
      <w:pPr>
        <w:spacing w:after="0" w:line="360" w:lineRule="auto"/>
        <w:jc w:val="both"/>
        <w:rPr>
          <w:rFonts w:ascii="Times New Roman" w:hAnsi="Times New Roman"/>
          <w:sz w:val="24"/>
          <w:szCs w:val="24"/>
        </w:rPr>
      </w:pPr>
    </w:p>
    <w:p w:rsidR="005420BD" w:rsidRPr="005D2725" w:rsidRDefault="009A6B1B" w:rsidP="005D2725">
      <w:pPr>
        <w:tabs>
          <w:tab w:val="left" w:pos="648"/>
        </w:tabs>
        <w:spacing w:line="360" w:lineRule="auto"/>
        <w:jc w:val="both"/>
        <w:rPr>
          <w:rFonts w:ascii="Times New Roman" w:hAnsi="Times New Roman"/>
          <w:b/>
          <w:sz w:val="24"/>
          <w:szCs w:val="24"/>
        </w:rPr>
      </w:pPr>
      <w:r w:rsidRPr="005D2725">
        <w:rPr>
          <w:rFonts w:ascii="Times New Roman" w:hAnsi="Times New Roman"/>
          <w:b/>
          <w:sz w:val="24"/>
          <w:szCs w:val="24"/>
        </w:rPr>
        <w:t>Dated at Kampala this   20</w:t>
      </w:r>
      <w:r w:rsidRPr="005D2725">
        <w:rPr>
          <w:rFonts w:ascii="Times New Roman" w:hAnsi="Times New Roman"/>
          <w:b/>
          <w:sz w:val="24"/>
          <w:szCs w:val="24"/>
          <w:vertAlign w:val="superscript"/>
        </w:rPr>
        <w:t xml:space="preserve">th </w:t>
      </w:r>
      <w:r w:rsidRPr="005D2725">
        <w:rPr>
          <w:rFonts w:ascii="Times New Roman" w:hAnsi="Times New Roman"/>
          <w:b/>
          <w:sz w:val="24"/>
          <w:szCs w:val="24"/>
        </w:rPr>
        <w:t xml:space="preserve">day of February </w:t>
      </w:r>
      <w:r w:rsidR="005420BD" w:rsidRPr="005D2725">
        <w:rPr>
          <w:rFonts w:ascii="Times New Roman" w:hAnsi="Times New Roman"/>
          <w:b/>
          <w:sz w:val="24"/>
          <w:szCs w:val="24"/>
        </w:rPr>
        <w:t>2019</w:t>
      </w:r>
    </w:p>
    <w:p w:rsidR="00E636B4" w:rsidRPr="005D2725" w:rsidRDefault="00E636B4" w:rsidP="005D2725">
      <w:pPr>
        <w:tabs>
          <w:tab w:val="left" w:pos="648"/>
        </w:tabs>
        <w:spacing w:after="0" w:line="360" w:lineRule="auto"/>
        <w:jc w:val="both"/>
        <w:rPr>
          <w:rFonts w:ascii="Times New Roman" w:hAnsi="Times New Roman"/>
          <w:b/>
          <w:sz w:val="24"/>
          <w:szCs w:val="24"/>
        </w:rPr>
      </w:pPr>
    </w:p>
    <w:p w:rsidR="00E636B4" w:rsidRPr="005D2725" w:rsidRDefault="00E636B4" w:rsidP="005D2725">
      <w:pPr>
        <w:tabs>
          <w:tab w:val="left" w:pos="648"/>
        </w:tabs>
        <w:spacing w:after="0" w:line="360" w:lineRule="auto"/>
        <w:jc w:val="both"/>
        <w:rPr>
          <w:rFonts w:ascii="Times New Roman" w:hAnsi="Times New Roman"/>
          <w:b/>
          <w:sz w:val="24"/>
          <w:szCs w:val="24"/>
        </w:rPr>
      </w:pPr>
    </w:p>
    <w:p w:rsidR="005420BD" w:rsidRPr="005D2725" w:rsidRDefault="005420BD" w:rsidP="005D2725">
      <w:pPr>
        <w:tabs>
          <w:tab w:val="left" w:pos="648"/>
        </w:tabs>
        <w:spacing w:after="0" w:line="360" w:lineRule="auto"/>
        <w:jc w:val="both"/>
        <w:rPr>
          <w:rFonts w:ascii="Times New Roman" w:hAnsi="Times New Roman"/>
          <w:b/>
          <w:sz w:val="24"/>
          <w:szCs w:val="24"/>
        </w:rPr>
      </w:pPr>
      <w:r w:rsidRPr="005D2725">
        <w:rPr>
          <w:rFonts w:ascii="Times New Roman" w:hAnsi="Times New Roman"/>
          <w:b/>
          <w:sz w:val="24"/>
          <w:szCs w:val="24"/>
        </w:rPr>
        <w:t>HON. JUSTICE DAVID WANGUTUSI</w:t>
      </w:r>
    </w:p>
    <w:p w:rsidR="005420BD" w:rsidRPr="005D2725" w:rsidRDefault="00607645" w:rsidP="005D2725">
      <w:pPr>
        <w:tabs>
          <w:tab w:val="left" w:pos="648"/>
        </w:tabs>
        <w:spacing w:after="0" w:line="360" w:lineRule="auto"/>
        <w:jc w:val="both"/>
        <w:rPr>
          <w:rFonts w:ascii="Times New Roman" w:hAnsi="Times New Roman"/>
          <w:b/>
          <w:sz w:val="24"/>
          <w:szCs w:val="24"/>
        </w:rPr>
      </w:pPr>
      <w:r w:rsidRPr="005D2725">
        <w:rPr>
          <w:rFonts w:ascii="Times New Roman" w:hAnsi="Times New Roman"/>
          <w:b/>
          <w:sz w:val="24"/>
          <w:szCs w:val="24"/>
        </w:rPr>
        <w:t>JUDGE</w:t>
      </w:r>
    </w:p>
    <w:sectPr w:rsidR="005420BD" w:rsidRPr="005D2725" w:rsidSect="00321C5E">
      <w:footerReference w:type="default" r:id="rId8"/>
      <w:pgSz w:w="12240" w:h="15840"/>
      <w:pgMar w:top="1247" w:right="1418" w:bottom="1304" w:left="147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1BB" w:rsidRDefault="007851BB" w:rsidP="00DE3E99">
      <w:pPr>
        <w:spacing w:after="0" w:line="240" w:lineRule="auto"/>
      </w:pPr>
      <w:r>
        <w:separator/>
      </w:r>
    </w:p>
  </w:endnote>
  <w:endnote w:type="continuationSeparator" w:id="0">
    <w:p w:rsidR="007851BB" w:rsidRDefault="007851BB" w:rsidP="00DE3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7583"/>
      <w:docPartObj>
        <w:docPartGallery w:val="Page Numbers (Bottom of Page)"/>
        <w:docPartUnique/>
      </w:docPartObj>
    </w:sdtPr>
    <w:sdtEndPr/>
    <w:sdtContent>
      <w:p w:rsidR="00C846AF" w:rsidRDefault="007851BB">
        <w:pPr>
          <w:pStyle w:val="Footer"/>
          <w:jc w:val="right"/>
        </w:pPr>
        <w:r>
          <w:fldChar w:fldCharType="begin"/>
        </w:r>
        <w:r>
          <w:instrText xml:space="preserve"> PAGE   \* MERGEFORMAT </w:instrText>
        </w:r>
        <w:r>
          <w:fldChar w:fldCharType="separate"/>
        </w:r>
        <w:r w:rsidR="003119BB">
          <w:rPr>
            <w:noProof/>
          </w:rPr>
          <w:t>12</w:t>
        </w:r>
        <w:r>
          <w:rPr>
            <w:noProof/>
          </w:rPr>
          <w:fldChar w:fldCharType="end"/>
        </w:r>
      </w:p>
    </w:sdtContent>
  </w:sdt>
  <w:p w:rsidR="00C846AF" w:rsidRDefault="00C84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1BB" w:rsidRDefault="007851BB" w:rsidP="00DE3E99">
      <w:pPr>
        <w:spacing w:after="0" w:line="240" w:lineRule="auto"/>
      </w:pPr>
      <w:r>
        <w:separator/>
      </w:r>
    </w:p>
  </w:footnote>
  <w:footnote w:type="continuationSeparator" w:id="0">
    <w:p w:rsidR="007851BB" w:rsidRDefault="007851BB" w:rsidP="00DE3E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44861"/>
    <w:multiLevelType w:val="hybridMultilevel"/>
    <w:tmpl w:val="031EEB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2339B1"/>
    <w:multiLevelType w:val="hybridMultilevel"/>
    <w:tmpl w:val="706A103C"/>
    <w:lvl w:ilvl="0" w:tplc="A5E24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2837E5"/>
    <w:multiLevelType w:val="hybridMultilevel"/>
    <w:tmpl w:val="0CAC68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BB1E5A"/>
    <w:multiLevelType w:val="hybridMultilevel"/>
    <w:tmpl w:val="DA9632CA"/>
    <w:lvl w:ilvl="0" w:tplc="377CFC4E">
      <w:start w:val="1"/>
      <w:numFmt w:val="lowerLetter"/>
      <w:lvlText w:val="(%1)"/>
      <w:lvlJc w:val="left"/>
      <w:pPr>
        <w:ind w:left="1080" w:hanging="720"/>
      </w:pPr>
      <w:rPr>
        <w:rFonts w:ascii="Bookman Old Style" w:eastAsia="Calibri" w:hAnsi="Bookman Old Style"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2E7BA8"/>
    <w:multiLevelType w:val="hybridMultilevel"/>
    <w:tmpl w:val="15BAEA7E"/>
    <w:lvl w:ilvl="0" w:tplc="1A626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4E5DDF"/>
    <w:multiLevelType w:val="hybridMultilevel"/>
    <w:tmpl w:val="8F22A68C"/>
    <w:lvl w:ilvl="0" w:tplc="79D67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4D53C0"/>
    <w:multiLevelType w:val="hybridMultilevel"/>
    <w:tmpl w:val="A66625F2"/>
    <w:lvl w:ilvl="0" w:tplc="3D1005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1764CE"/>
    <w:multiLevelType w:val="hybridMultilevel"/>
    <w:tmpl w:val="1632D6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892FE9"/>
    <w:multiLevelType w:val="hybridMultilevel"/>
    <w:tmpl w:val="FF2CEF70"/>
    <w:lvl w:ilvl="0" w:tplc="9DB47F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5"/>
  </w:num>
  <w:num w:numId="5">
    <w:abstractNumId w:val="3"/>
  </w:num>
  <w:num w:numId="6">
    <w:abstractNumId w:val="1"/>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DD1"/>
    <w:rsid w:val="00007C8F"/>
    <w:rsid w:val="00013DB2"/>
    <w:rsid w:val="000261D5"/>
    <w:rsid w:val="00032E81"/>
    <w:rsid w:val="00061AAE"/>
    <w:rsid w:val="0009315C"/>
    <w:rsid w:val="000B3669"/>
    <w:rsid w:val="000C24DB"/>
    <w:rsid w:val="000D08A7"/>
    <w:rsid w:val="000E4459"/>
    <w:rsid w:val="000F7AE3"/>
    <w:rsid w:val="00107FA9"/>
    <w:rsid w:val="001357AD"/>
    <w:rsid w:val="00167F2E"/>
    <w:rsid w:val="00184745"/>
    <w:rsid w:val="001B1637"/>
    <w:rsid w:val="001C412C"/>
    <w:rsid w:val="001C5AA5"/>
    <w:rsid w:val="001C622D"/>
    <w:rsid w:val="001E3767"/>
    <w:rsid w:val="002071F0"/>
    <w:rsid w:val="002430C1"/>
    <w:rsid w:val="00243D7E"/>
    <w:rsid w:val="00253C31"/>
    <w:rsid w:val="00260C8C"/>
    <w:rsid w:val="00282A0E"/>
    <w:rsid w:val="002E56C0"/>
    <w:rsid w:val="003119BB"/>
    <w:rsid w:val="00316FA5"/>
    <w:rsid w:val="00321C5E"/>
    <w:rsid w:val="00333BC3"/>
    <w:rsid w:val="0033730D"/>
    <w:rsid w:val="003465FD"/>
    <w:rsid w:val="00347CB4"/>
    <w:rsid w:val="00354DBE"/>
    <w:rsid w:val="00360586"/>
    <w:rsid w:val="00395BAA"/>
    <w:rsid w:val="004000A3"/>
    <w:rsid w:val="004302A1"/>
    <w:rsid w:val="00460D92"/>
    <w:rsid w:val="00473386"/>
    <w:rsid w:val="004762D2"/>
    <w:rsid w:val="004775C9"/>
    <w:rsid w:val="004979E0"/>
    <w:rsid w:val="004A016E"/>
    <w:rsid w:val="004A14F0"/>
    <w:rsid w:val="004A6363"/>
    <w:rsid w:val="004C55D5"/>
    <w:rsid w:val="004D274A"/>
    <w:rsid w:val="004D7173"/>
    <w:rsid w:val="004F448A"/>
    <w:rsid w:val="00522849"/>
    <w:rsid w:val="005239EE"/>
    <w:rsid w:val="00533DA1"/>
    <w:rsid w:val="005420BD"/>
    <w:rsid w:val="00571677"/>
    <w:rsid w:val="005745CE"/>
    <w:rsid w:val="005B5AD2"/>
    <w:rsid w:val="005B7840"/>
    <w:rsid w:val="005D2725"/>
    <w:rsid w:val="005D78B2"/>
    <w:rsid w:val="005D7C6A"/>
    <w:rsid w:val="005E3C51"/>
    <w:rsid w:val="00607645"/>
    <w:rsid w:val="00636C87"/>
    <w:rsid w:val="00651B6E"/>
    <w:rsid w:val="006B313A"/>
    <w:rsid w:val="006B4165"/>
    <w:rsid w:val="006F3DD1"/>
    <w:rsid w:val="006F684F"/>
    <w:rsid w:val="00703D27"/>
    <w:rsid w:val="0071352C"/>
    <w:rsid w:val="00727CF3"/>
    <w:rsid w:val="00751206"/>
    <w:rsid w:val="00755727"/>
    <w:rsid w:val="0076748E"/>
    <w:rsid w:val="007813BA"/>
    <w:rsid w:val="007851BB"/>
    <w:rsid w:val="007B3C7A"/>
    <w:rsid w:val="007E19ED"/>
    <w:rsid w:val="007E361D"/>
    <w:rsid w:val="0080176A"/>
    <w:rsid w:val="00811D5E"/>
    <w:rsid w:val="00813650"/>
    <w:rsid w:val="008207CE"/>
    <w:rsid w:val="00831256"/>
    <w:rsid w:val="00841D3B"/>
    <w:rsid w:val="00857029"/>
    <w:rsid w:val="008B0EFF"/>
    <w:rsid w:val="0090124E"/>
    <w:rsid w:val="00913373"/>
    <w:rsid w:val="00942F82"/>
    <w:rsid w:val="009509A6"/>
    <w:rsid w:val="00956480"/>
    <w:rsid w:val="00997381"/>
    <w:rsid w:val="009A6B1B"/>
    <w:rsid w:val="009B48BE"/>
    <w:rsid w:val="00A53227"/>
    <w:rsid w:val="00A5426C"/>
    <w:rsid w:val="00A57415"/>
    <w:rsid w:val="00A629FC"/>
    <w:rsid w:val="00A6304A"/>
    <w:rsid w:val="00AB4A71"/>
    <w:rsid w:val="00AD4843"/>
    <w:rsid w:val="00AD5DB0"/>
    <w:rsid w:val="00AE648A"/>
    <w:rsid w:val="00AF701C"/>
    <w:rsid w:val="00B37121"/>
    <w:rsid w:val="00B44D21"/>
    <w:rsid w:val="00B57F58"/>
    <w:rsid w:val="00B83B3D"/>
    <w:rsid w:val="00BA15E3"/>
    <w:rsid w:val="00BA3C0E"/>
    <w:rsid w:val="00BB65F5"/>
    <w:rsid w:val="00BC27BB"/>
    <w:rsid w:val="00C1291D"/>
    <w:rsid w:val="00C14CCC"/>
    <w:rsid w:val="00C2409D"/>
    <w:rsid w:val="00C27B40"/>
    <w:rsid w:val="00C5233E"/>
    <w:rsid w:val="00C57AD1"/>
    <w:rsid w:val="00C846AF"/>
    <w:rsid w:val="00C87CD3"/>
    <w:rsid w:val="00C970E1"/>
    <w:rsid w:val="00C9783C"/>
    <w:rsid w:val="00CA6B57"/>
    <w:rsid w:val="00CB22C2"/>
    <w:rsid w:val="00CB5F71"/>
    <w:rsid w:val="00CD4D01"/>
    <w:rsid w:val="00CE6DF7"/>
    <w:rsid w:val="00D214AB"/>
    <w:rsid w:val="00D31AB6"/>
    <w:rsid w:val="00D333E0"/>
    <w:rsid w:val="00D34BB6"/>
    <w:rsid w:val="00D74045"/>
    <w:rsid w:val="00D77484"/>
    <w:rsid w:val="00D8362A"/>
    <w:rsid w:val="00DC18CE"/>
    <w:rsid w:val="00DC4230"/>
    <w:rsid w:val="00DC67B6"/>
    <w:rsid w:val="00DE0BEA"/>
    <w:rsid w:val="00DE3E99"/>
    <w:rsid w:val="00E02F15"/>
    <w:rsid w:val="00E636B4"/>
    <w:rsid w:val="00E637FD"/>
    <w:rsid w:val="00EA559D"/>
    <w:rsid w:val="00EA6A5F"/>
    <w:rsid w:val="00EF219C"/>
    <w:rsid w:val="00F75E94"/>
    <w:rsid w:val="00F90D04"/>
    <w:rsid w:val="00FB08BE"/>
    <w:rsid w:val="00FB6042"/>
    <w:rsid w:val="00FB6D6F"/>
    <w:rsid w:val="00FC0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DD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DE3E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E99"/>
    <w:rPr>
      <w:rFonts w:ascii="Calibri" w:eastAsia="Calibri" w:hAnsi="Calibri" w:cs="Times New Roman"/>
    </w:rPr>
  </w:style>
  <w:style w:type="paragraph" w:styleId="Footer">
    <w:name w:val="footer"/>
    <w:basedOn w:val="Normal"/>
    <w:link w:val="FooterChar"/>
    <w:uiPriority w:val="99"/>
    <w:unhideWhenUsed/>
    <w:rsid w:val="00DE3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E9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DD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DE3E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E99"/>
    <w:rPr>
      <w:rFonts w:ascii="Calibri" w:eastAsia="Calibri" w:hAnsi="Calibri" w:cs="Times New Roman"/>
    </w:rPr>
  </w:style>
  <w:style w:type="paragraph" w:styleId="Footer">
    <w:name w:val="footer"/>
    <w:basedOn w:val="Normal"/>
    <w:link w:val="FooterChar"/>
    <w:uiPriority w:val="99"/>
    <w:unhideWhenUsed/>
    <w:rsid w:val="00DE3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E9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202252">
      <w:bodyDiv w:val="1"/>
      <w:marLeft w:val="0"/>
      <w:marRight w:val="0"/>
      <w:marTop w:val="0"/>
      <w:marBottom w:val="0"/>
      <w:divBdr>
        <w:top w:val="none" w:sz="0" w:space="0" w:color="auto"/>
        <w:left w:val="none" w:sz="0" w:space="0" w:color="auto"/>
        <w:bottom w:val="none" w:sz="0" w:space="0" w:color="auto"/>
        <w:right w:val="none" w:sz="0" w:space="0" w:color="auto"/>
      </w:divBdr>
      <w:divsChild>
        <w:div w:id="453257642">
          <w:marLeft w:val="0"/>
          <w:marRight w:val="0"/>
          <w:marTop w:val="0"/>
          <w:marBottom w:val="0"/>
          <w:divBdr>
            <w:top w:val="none" w:sz="0" w:space="0" w:color="auto"/>
            <w:left w:val="none" w:sz="0" w:space="0" w:color="auto"/>
            <w:bottom w:val="none" w:sz="0" w:space="0" w:color="auto"/>
            <w:right w:val="none" w:sz="0" w:space="0" w:color="auto"/>
          </w:divBdr>
        </w:div>
        <w:div w:id="2110546019">
          <w:marLeft w:val="0"/>
          <w:marRight w:val="0"/>
          <w:marTop w:val="0"/>
          <w:marBottom w:val="0"/>
          <w:divBdr>
            <w:top w:val="none" w:sz="0" w:space="0" w:color="auto"/>
            <w:left w:val="none" w:sz="0" w:space="0" w:color="auto"/>
            <w:bottom w:val="none" w:sz="0" w:space="0" w:color="auto"/>
            <w:right w:val="none" w:sz="0" w:space="0" w:color="auto"/>
          </w:divBdr>
        </w:div>
        <w:div w:id="1621181370">
          <w:marLeft w:val="0"/>
          <w:marRight w:val="0"/>
          <w:marTop w:val="0"/>
          <w:marBottom w:val="0"/>
          <w:divBdr>
            <w:top w:val="none" w:sz="0" w:space="0" w:color="auto"/>
            <w:left w:val="none" w:sz="0" w:space="0" w:color="auto"/>
            <w:bottom w:val="none" w:sz="0" w:space="0" w:color="auto"/>
            <w:right w:val="none" w:sz="0" w:space="0" w:color="auto"/>
          </w:divBdr>
        </w:div>
        <w:div w:id="1370301122">
          <w:marLeft w:val="0"/>
          <w:marRight w:val="0"/>
          <w:marTop w:val="0"/>
          <w:marBottom w:val="0"/>
          <w:divBdr>
            <w:top w:val="none" w:sz="0" w:space="0" w:color="auto"/>
            <w:left w:val="none" w:sz="0" w:space="0" w:color="auto"/>
            <w:bottom w:val="none" w:sz="0" w:space="0" w:color="auto"/>
            <w:right w:val="none" w:sz="0" w:space="0" w:color="auto"/>
          </w:divBdr>
        </w:div>
        <w:div w:id="213586637">
          <w:marLeft w:val="0"/>
          <w:marRight w:val="0"/>
          <w:marTop w:val="0"/>
          <w:marBottom w:val="0"/>
          <w:divBdr>
            <w:top w:val="none" w:sz="0" w:space="0" w:color="auto"/>
            <w:left w:val="none" w:sz="0" w:space="0" w:color="auto"/>
            <w:bottom w:val="none" w:sz="0" w:space="0" w:color="auto"/>
            <w:right w:val="none" w:sz="0" w:space="0" w:color="auto"/>
          </w:divBdr>
        </w:div>
        <w:div w:id="1636981385">
          <w:marLeft w:val="0"/>
          <w:marRight w:val="0"/>
          <w:marTop w:val="0"/>
          <w:marBottom w:val="0"/>
          <w:divBdr>
            <w:top w:val="none" w:sz="0" w:space="0" w:color="auto"/>
            <w:left w:val="none" w:sz="0" w:space="0" w:color="auto"/>
            <w:bottom w:val="none" w:sz="0" w:space="0" w:color="auto"/>
            <w:right w:val="none" w:sz="0" w:space="0" w:color="auto"/>
          </w:divBdr>
        </w:div>
        <w:div w:id="1569072092">
          <w:marLeft w:val="0"/>
          <w:marRight w:val="0"/>
          <w:marTop w:val="0"/>
          <w:marBottom w:val="0"/>
          <w:divBdr>
            <w:top w:val="none" w:sz="0" w:space="0" w:color="auto"/>
            <w:left w:val="none" w:sz="0" w:space="0" w:color="auto"/>
            <w:bottom w:val="none" w:sz="0" w:space="0" w:color="auto"/>
            <w:right w:val="none" w:sz="0" w:space="0" w:color="auto"/>
          </w:divBdr>
        </w:div>
        <w:div w:id="1340696803">
          <w:marLeft w:val="0"/>
          <w:marRight w:val="0"/>
          <w:marTop w:val="0"/>
          <w:marBottom w:val="0"/>
          <w:divBdr>
            <w:top w:val="none" w:sz="0" w:space="0" w:color="auto"/>
            <w:left w:val="none" w:sz="0" w:space="0" w:color="auto"/>
            <w:bottom w:val="none" w:sz="0" w:space="0" w:color="auto"/>
            <w:right w:val="none" w:sz="0" w:space="0" w:color="auto"/>
          </w:divBdr>
        </w:div>
        <w:div w:id="27992093">
          <w:marLeft w:val="0"/>
          <w:marRight w:val="0"/>
          <w:marTop w:val="0"/>
          <w:marBottom w:val="0"/>
          <w:divBdr>
            <w:top w:val="none" w:sz="0" w:space="0" w:color="auto"/>
            <w:left w:val="none" w:sz="0" w:space="0" w:color="auto"/>
            <w:bottom w:val="none" w:sz="0" w:space="0" w:color="auto"/>
            <w:right w:val="none" w:sz="0" w:space="0" w:color="auto"/>
          </w:divBdr>
        </w:div>
        <w:div w:id="468205121">
          <w:marLeft w:val="0"/>
          <w:marRight w:val="0"/>
          <w:marTop w:val="0"/>
          <w:marBottom w:val="0"/>
          <w:divBdr>
            <w:top w:val="none" w:sz="0" w:space="0" w:color="auto"/>
            <w:left w:val="none" w:sz="0" w:space="0" w:color="auto"/>
            <w:bottom w:val="none" w:sz="0" w:space="0" w:color="auto"/>
            <w:right w:val="none" w:sz="0" w:space="0" w:color="auto"/>
          </w:divBdr>
        </w:div>
        <w:div w:id="1502160215">
          <w:marLeft w:val="0"/>
          <w:marRight w:val="0"/>
          <w:marTop w:val="0"/>
          <w:marBottom w:val="0"/>
          <w:divBdr>
            <w:top w:val="none" w:sz="0" w:space="0" w:color="auto"/>
            <w:left w:val="none" w:sz="0" w:space="0" w:color="auto"/>
            <w:bottom w:val="none" w:sz="0" w:space="0" w:color="auto"/>
            <w:right w:val="none" w:sz="0" w:space="0" w:color="auto"/>
          </w:divBdr>
        </w:div>
        <w:div w:id="312955162">
          <w:marLeft w:val="0"/>
          <w:marRight w:val="0"/>
          <w:marTop w:val="0"/>
          <w:marBottom w:val="0"/>
          <w:divBdr>
            <w:top w:val="none" w:sz="0" w:space="0" w:color="auto"/>
            <w:left w:val="none" w:sz="0" w:space="0" w:color="auto"/>
            <w:bottom w:val="none" w:sz="0" w:space="0" w:color="auto"/>
            <w:right w:val="none" w:sz="0" w:space="0" w:color="auto"/>
          </w:divBdr>
        </w:div>
        <w:div w:id="1898977692">
          <w:marLeft w:val="0"/>
          <w:marRight w:val="0"/>
          <w:marTop w:val="0"/>
          <w:marBottom w:val="0"/>
          <w:divBdr>
            <w:top w:val="none" w:sz="0" w:space="0" w:color="auto"/>
            <w:left w:val="none" w:sz="0" w:space="0" w:color="auto"/>
            <w:bottom w:val="none" w:sz="0" w:space="0" w:color="auto"/>
            <w:right w:val="none" w:sz="0" w:space="0" w:color="auto"/>
          </w:divBdr>
        </w:div>
        <w:div w:id="1969432306">
          <w:marLeft w:val="0"/>
          <w:marRight w:val="0"/>
          <w:marTop w:val="0"/>
          <w:marBottom w:val="0"/>
          <w:divBdr>
            <w:top w:val="none" w:sz="0" w:space="0" w:color="auto"/>
            <w:left w:val="none" w:sz="0" w:space="0" w:color="auto"/>
            <w:bottom w:val="none" w:sz="0" w:space="0" w:color="auto"/>
            <w:right w:val="none" w:sz="0" w:space="0" w:color="auto"/>
          </w:divBdr>
        </w:div>
        <w:div w:id="752244995">
          <w:marLeft w:val="0"/>
          <w:marRight w:val="0"/>
          <w:marTop w:val="0"/>
          <w:marBottom w:val="0"/>
          <w:divBdr>
            <w:top w:val="none" w:sz="0" w:space="0" w:color="auto"/>
            <w:left w:val="none" w:sz="0" w:space="0" w:color="auto"/>
            <w:bottom w:val="none" w:sz="0" w:space="0" w:color="auto"/>
            <w:right w:val="none" w:sz="0" w:space="0" w:color="auto"/>
          </w:divBdr>
        </w:div>
        <w:div w:id="1921451883">
          <w:marLeft w:val="0"/>
          <w:marRight w:val="0"/>
          <w:marTop w:val="0"/>
          <w:marBottom w:val="0"/>
          <w:divBdr>
            <w:top w:val="none" w:sz="0" w:space="0" w:color="auto"/>
            <w:left w:val="none" w:sz="0" w:space="0" w:color="auto"/>
            <w:bottom w:val="none" w:sz="0" w:space="0" w:color="auto"/>
            <w:right w:val="none" w:sz="0" w:space="0" w:color="auto"/>
          </w:divBdr>
        </w:div>
        <w:div w:id="438648284">
          <w:marLeft w:val="0"/>
          <w:marRight w:val="0"/>
          <w:marTop w:val="0"/>
          <w:marBottom w:val="0"/>
          <w:divBdr>
            <w:top w:val="none" w:sz="0" w:space="0" w:color="auto"/>
            <w:left w:val="none" w:sz="0" w:space="0" w:color="auto"/>
            <w:bottom w:val="none" w:sz="0" w:space="0" w:color="auto"/>
            <w:right w:val="none" w:sz="0" w:space="0" w:color="auto"/>
          </w:divBdr>
        </w:div>
        <w:div w:id="1006635072">
          <w:marLeft w:val="0"/>
          <w:marRight w:val="0"/>
          <w:marTop w:val="0"/>
          <w:marBottom w:val="0"/>
          <w:divBdr>
            <w:top w:val="none" w:sz="0" w:space="0" w:color="auto"/>
            <w:left w:val="none" w:sz="0" w:space="0" w:color="auto"/>
            <w:bottom w:val="none" w:sz="0" w:space="0" w:color="auto"/>
            <w:right w:val="none" w:sz="0" w:space="0" w:color="auto"/>
          </w:divBdr>
        </w:div>
        <w:div w:id="2130006265">
          <w:marLeft w:val="0"/>
          <w:marRight w:val="0"/>
          <w:marTop w:val="0"/>
          <w:marBottom w:val="0"/>
          <w:divBdr>
            <w:top w:val="none" w:sz="0" w:space="0" w:color="auto"/>
            <w:left w:val="none" w:sz="0" w:space="0" w:color="auto"/>
            <w:bottom w:val="none" w:sz="0" w:space="0" w:color="auto"/>
            <w:right w:val="none" w:sz="0" w:space="0" w:color="auto"/>
          </w:divBdr>
        </w:div>
        <w:div w:id="2084451288">
          <w:marLeft w:val="0"/>
          <w:marRight w:val="0"/>
          <w:marTop w:val="0"/>
          <w:marBottom w:val="0"/>
          <w:divBdr>
            <w:top w:val="none" w:sz="0" w:space="0" w:color="auto"/>
            <w:left w:val="none" w:sz="0" w:space="0" w:color="auto"/>
            <w:bottom w:val="none" w:sz="0" w:space="0" w:color="auto"/>
            <w:right w:val="none" w:sz="0" w:space="0" w:color="auto"/>
          </w:divBdr>
        </w:div>
        <w:div w:id="1927155804">
          <w:marLeft w:val="0"/>
          <w:marRight w:val="0"/>
          <w:marTop w:val="0"/>
          <w:marBottom w:val="0"/>
          <w:divBdr>
            <w:top w:val="none" w:sz="0" w:space="0" w:color="auto"/>
            <w:left w:val="none" w:sz="0" w:space="0" w:color="auto"/>
            <w:bottom w:val="none" w:sz="0" w:space="0" w:color="auto"/>
            <w:right w:val="none" w:sz="0" w:space="0" w:color="auto"/>
          </w:divBdr>
        </w:div>
        <w:div w:id="743531457">
          <w:marLeft w:val="0"/>
          <w:marRight w:val="0"/>
          <w:marTop w:val="0"/>
          <w:marBottom w:val="0"/>
          <w:divBdr>
            <w:top w:val="none" w:sz="0" w:space="0" w:color="auto"/>
            <w:left w:val="none" w:sz="0" w:space="0" w:color="auto"/>
            <w:bottom w:val="none" w:sz="0" w:space="0" w:color="auto"/>
            <w:right w:val="none" w:sz="0" w:space="0" w:color="auto"/>
          </w:divBdr>
        </w:div>
        <w:div w:id="55402263">
          <w:marLeft w:val="0"/>
          <w:marRight w:val="0"/>
          <w:marTop w:val="0"/>
          <w:marBottom w:val="0"/>
          <w:divBdr>
            <w:top w:val="none" w:sz="0" w:space="0" w:color="auto"/>
            <w:left w:val="none" w:sz="0" w:space="0" w:color="auto"/>
            <w:bottom w:val="none" w:sz="0" w:space="0" w:color="auto"/>
            <w:right w:val="none" w:sz="0" w:space="0" w:color="auto"/>
          </w:divBdr>
        </w:div>
        <w:div w:id="662204237">
          <w:marLeft w:val="0"/>
          <w:marRight w:val="0"/>
          <w:marTop w:val="0"/>
          <w:marBottom w:val="0"/>
          <w:divBdr>
            <w:top w:val="none" w:sz="0" w:space="0" w:color="auto"/>
            <w:left w:val="none" w:sz="0" w:space="0" w:color="auto"/>
            <w:bottom w:val="none" w:sz="0" w:space="0" w:color="auto"/>
            <w:right w:val="none" w:sz="0" w:space="0" w:color="auto"/>
          </w:divBdr>
        </w:div>
        <w:div w:id="105738552">
          <w:marLeft w:val="0"/>
          <w:marRight w:val="0"/>
          <w:marTop w:val="0"/>
          <w:marBottom w:val="0"/>
          <w:divBdr>
            <w:top w:val="none" w:sz="0" w:space="0" w:color="auto"/>
            <w:left w:val="none" w:sz="0" w:space="0" w:color="auto"/>
            <w:bottom w:val="none" w:sz="0" w:space="0" w:color="auto"/>
            <w:right w:val="none" w:sz="0" w:space="0" w:color="auto"/>
          </w:divBdr>
        </w:div>
        <w:div w:id="604653031">
          <w:marLeft w:val="0"/>
          <w:marRight w:val="0"/>
          <w:marTop w:val="0"/>
          <w:marBottom w:val="0"/>
          <w:divBdr>
            <w:top w:val="none" w:sz="0" w:space="0" w:color="auto"/>
            <w:left w:val="none" w:sz="0" w:space="0" w:color="auto"/>
            <w:bottom w:val="none" w:sz="0" w:space="0" w:color="auto"/>
            <w:right w:val="none" w:sz="0" w:space="0" w:color="auto"/>
          </w:divBdr>
        </w:div>
        <w:div w:id="1076323000">
          <w:marLeft w:val="0"/>
          <w:marRight w:val="0"/>
          <w:marTop w:val="0"/>
          <w:marBottom w:val="0"/>
          <w:divBdr>
            <w:top w:val="none" w:sz="0" w:space="0" w:color="auto"/>
            <w:left w:val="none" w:sz="0" w:space="0" w:color="auto"/>
            <w:bottom w:val="none" w:sz="0" w:space="0" w:color="auto"/>
            <w:right w:val="none" w:sz="0" w:space="0" w:color="auto"/>
          </w:divBdr>
        </w:div>
        <w:div w:id="1223559391">
          <w:marLeft w:val="0"/>
          <w:marRight w:val="0"/>
          <w:marTop w:val="0"/>
          <w:marBottom w:val="0"/>
          <w:divBdr>
            <w:top w:val="none" w:sz="0" w:space="0" w:color="auto"/>
            <w:left w:val="none" w:sz="0" w:space="0" w:color="auto"/>
            <w:bottom w:val="none" w:sz="0" w:space="0" w:color="auto"/>
            <w:right w:val="none" w:sz="0" w:space="0" w:color="auto"/>
          </w:divBdr>
        </w:div>
        <w:div w:id="1761676184">
          <w:marLeft w:val="0"/>
          <w:marRight w:val="0"/>
          <w:marTop w:val="0"/>
          <w:marBottom w:val="0"/>
          <w:divBdr>
            <w:top w:val="none" w:sz="0" w:space="0" w:color="auto"/>
            <w:left w:val="none" w:sz="0" w:space="0" w:color="auto"/>
            <w:bottom w:val="none" w:sz="0" w:space="0" w:color="auto"/>
            <w:right w:val="none" w:sz="0" w:space="0" w:color="auto"/>
          </w:divBdr>
        </w:div>
        <w:div w:id="1457523043">
          <w:marLeft w:val="0"/>
          <w:marRight w:val="0"/>
          <w:marTop w:val="0"/>
          <w:marBottom w:val="0"/>
          <w:divBdr>
            <w:top w:val="none" w:sz="0" w:space="0" w:color="auto"/>
            <w:left w:val="none" w:sz="0" w:space="0" w:color="auto"/>
            <w:bottom w:val="none" w:sz="0" w:space="0" w:color="auto"/>
            <w:right w:val="none" w:sz="0" w:space="0" w:color="auto"/>
          </w:divBdr>
        </w:div>
        <w:div w:id="564146312">
          <w:marLeft w:val="0"/>
          <w:marRight w:val="0"/>
          <w:marTop w:val="0"/>
          <w:marBottom w:val="0"/>
          <w:divBdr>
            <w:top w:val="none" w:sz="0" w:space="0" w:color="auto"/>
            <w:left w:val="none" w:sz="0" w:space="0" w:color="auto"/>
            <w:bottom w:val="none" w:sz="0" w:space="0" w:color="auto"/>
            <w:right w:val="none" w:sz="0" w:space="0" w:color="auto"/>
          </w:divBdr>
        </w:div>
        <w:div w:id="1863125129">
          <w:marLeft w:val="0"/>
          <w:marRight w:val="0"/>
          <w:marTop w:val="0"/>
          <w:marBottom w:val="0"/>
          <w:divBdr>
            <w:top w:val="none" w:sz="0" w:space="0" w:color="auto"/>
            <w:left w:val="none" w:sz="0" w:space="0" w:color="auto"/>
            <w:bottom w:val="none" w:sz="0" w:space="0" w:color="auto"/>
            <w:right w:val="none" w:sz="0" w:space="0" w:color="auto"/>
          </w:divBdr>
        </w:div>
        <w:div w:id="2096048884">
          <w:marLeft w:val="0"/>
          <w:marRight w:val="0"/>
          <w:marTop w:val="0"/>
          <w:marBottom w:val="0"/>
          <w:divBdr>
            <w:top w:val="none" w:sz="0" w:space="0" w:color="auto"/>
            <w:left w:val="none" w:sz="0" w:space="0" w:color="auto"/>
            <w:bottom w:val="none" w:sz="0" w:space="0" w:color="auto"/>
            <w:right w:val="none" w:sz="0" w:space="0" w:color="auto"/>
          </w:divBdr>
        </w:div>
        <w:div w:id="1665353296">
          <w:marLeft w:val="0"/>
          <w:marRight w:val="0"/>
          <w:marTop w:val="0"/>
          <w:marBottom w:val="0"/>
          <w:divBdr>
            <w:top w:val="none" w:sz="0" w:space="0" w:color="auto"/>
            <w:left w:val="none" w:sz="0" w:space="0" w:color="auto"/>
            <w:bottom w:val="none" w:sz="0" w:space="0" w:color="auto"/>
            <w:right w:val="none" w:sz="0" w:space="0" w:color="auto"/>
          </w:divBdr>
        </w:div>
        <w:div w:id="188955736">
          <w:marLeft w:val="0"/>
          <w:marRight w:val="0"/>
          <w:marTop w:val="0"/>
          <w:marBottom w:val="0"/>
          <w:divBdr>
            <w:top w:val="none" w:sz="0" w:space="0" w:color="auto"/>
            <w:left w:val="none" w:sz="0" w:space="0" w:color="auto"/>
            <w:bottom w:val="none" w:sz="0" w:space="0" w:color="auto"/>
            <w:right w:val="none" w:sz="0" w:space="0" w:color="auto"/>
          </w:divBdr>
        </w:div>
        <w:div w:id="658652017">
          <w:marLeft w:val="0"/>
          <w:marRight w:val="0"/>
          <w:marTop w:val="0"/>
          <w:marBottom w:val="0"/>
          <w:divBdr>
            <w:top w:val="none" w:sz="0" w:space="0" w:color="auto"/>
            <w:left w:val="none" w:sz="0" w:space="0" w:color="auto"/>
            <w:bottom w:val="none" w:sz="0" w:space="0" w:color="auto"/>
            <w:right w:val="none" w:sz="0" w:space="0" w:color="auto"/>
          </w:divBdr>
        </w:div>
        <w:div w:id="120346043">
          <w:marLeft w:val="0"/>
          <w:marRight w:val="0"/>
          <w:marTop w:val="0"/>
          <w:marBottom w:val="0"/>
          <w:divBdr>
            <w:top w:val="none" w:sz="0" w:space="0" w:color="auto"/>
            <w:left w:val="none" w:sz="0" w:space="0" w:color="auto"/>
            <w:bottom w:val="none" w:sz="0" w:space="0" w:color="auto"/>
            <w:right w:val="none" w:sz="0" w:space="0" w:color="auto"/>
          </w:divBdr>
        </w:div>
        <w:div w:id="2027360759">
          <w:marLeft w:val="0"/>
          <w:marRight w:val="0"/>
          <w:marTop w:val="0"/>
          <w:marBottom w:val="0"/>
          <w:divBdr>
            <w:top w:val="none" w:sz="0" w:space="0" w:color="auto"/>
            <w:left w:val="none" w:sz="0" w:space="0" w:color="auto"/>
            <w:bottom w:val="none" w:sz="0" w:space="0" w:color="auto"/>
            <w:right w:val="none" w:sz="0" w:space="0" w:color="auto"/>
          </w:divBdr>
        </w:div>
        <w:div w:id="899360894">
          <w:marLeft w:val="0"/>
          <w:marRight w:val="0"/>
          <w:marTop w:val="0"/>
          <w:marBottom w:val="0"/>
          <w:divBdr>
            <w:top w:val="none" w:sz="0" w:space="0" w:color="auto"/>
            <w:left w:val="none" w:sz="0" w:space="0" w:color="auto"/>
            <w:bottom w:val="none" w:sz="0" w:space="0" w:color="auto"/>
            <w:right w:val="none" w:sz="0" w:space="0" w:color="auto"/>
          </w:divBdr>
        </w:div>
        <w:div w:id="2081974385">
          <w:marLeft w:val="0"/>
          <w:marRight w:val="0"/>
          <w:marTop w:val="0"/>
          <w:marBottom w:val="0"/>
          <w:divBdr>
            <w:top w:val="none" w:sz="0" w:space="0" w:color="auto"/>
            <w:left w:val="none" w:sz="0" w:space="0" w:color="auto"/>
            <w:bottom w:val="none" w:sz="0" w:space="0" w:color="auto"/>
            <w:right w:val="none" w:sz="0" w:space="0" w:color="auto"/>
          </w:divBdr>
        </w:div>
        <w:div w:id="1784420765">
          <w:marLeft w:val="0"/>
          <w:marRight w:val="0"/>
          <w:marTop w:val="0"/>
          <w:marBottom w:val="0"/>
          <w:divBdr>
            <w:top w:val="none" w:sz="0" w:space="0" w:color="auto"/>
            <w:left w:val="none" w:sz="0" w:space="0" w:color="auto"/>
            <w:bottom w:val="none" w:sz="0" w:space="0" w:color="auto"/>
            <w:right w:val="none" w:sz="0" w:space="0" w:color="auto"/>
          </w:divBdr>
        </w:div>
        <w:div w:id="847672591">
          <w:marLeft w:val="0"/>
          <w:marRight w:val="0"/>
          <w:marTop w:val="0"/>
          <w:marBottom w:val="0"/>
          <w:divBdr>
            <w:top w:val="none" w:sz="0" w:space="0" w:color="auto"/>
            <w:left w:val="none" w:sz="0" w:space="0" w:color="auto"/>
            <w:bottom w:val="none" w:sz="0" w:space="0" w:color="auto"/>
            <w:right w:val="none" w:sz="0" w:space="0" w:color="auto"/>
          </w:divBdr>
        </w:div>
        <w:div w:id="1596815749">
          <w:marLeft w:val="0"/>
          <w:marRight w:val="0"/>
          <w:marTop w:val="0"/>
          <w:marBottom w:val="0"/>
          <w:divBdr>
            <w:top w:val="none" w:sz="0" w:space="0" w:color="auto"/>
            <w:left w:val="none" w:sz="0" w:space="0" w:color="auto"/>
            <w:bottom w:val="none" w:sz="0" w:space="0" w:color="auto"/>
            <w:right w:val="none" w:sz="0" w:space="0" w:color="auto"/>
          </w:divBdr>
        </w:div>
        <w:div w:id="385370940">
          <w:marLeft w:val="0"/>
          <w:marRight w:val="0"/>
          <w:marTop w:val="0"/>
          <w:marBottom w:val="0"/>
          <w:divBdr>
            <w:top w:val="none" w:sz="0" w:space="0" w:color="auto"/>
            <w:left w:val="none" w:sz="0" w:space="0" w:color="auto"/>
            <w:bottom w:val="none" w:sz="0" w:space="0" w:color="auto"/>
            <w:right w:val="none" w:sz="0" w:space="0" w:color="auto"/>
          </w:divBdr>
        </w:div>
        <w:div w:id="1831560117">
          <w:marLeft w:val="0"/>
          <w:marRight w:val="0"/>
          <w:marTop w:val="0"/>
          <w:marBottom w:val="0"/>
          <w:divBdr>
            <w:top w:val="none" w:sz="0" w:space="0" w:color="auto"/>
            <w:left w:val="none" w:sz="0" w:space="0" w:color="auto"/>
            <w:bottom w:val="none" w:sz="0" w:space="0" w:color="auto"/>
            <w:right w:val="none" w:sz="0" w:space="0" w:color="auto"/>
          </w:divBdr>
        </w:div>
        <w:div w:id="1134441417">
          <w:marLeft w:val="0"/>
          <w:marRight w:val="0"/>
          <w:marTop w:val="0"/>
          <w:marBottom w:val="0"/>
          <w:divBdr>
            <w:top w:val="none" w:sz="0" w:space="0" w:color="auto"/>
            <w:left w:val="none" w:sz="0" w:space="0" w:color="auto"/>
            <w:bottom w:val="none" w:sz="0" w:space="0" w:color="auto"/>
            <w:right w:val="none" w:sz="0" w:space="0" w:color="auto"/>
          </w:divBdr>
        </w:div>
        <w:div w:id="1033337961">
          <w:marLeft w:val="0"/>
          <w:marRight w:val="0"/>
          <w:marTop w:val="0"/>
          <w:marBottom w:val="0"/>
          <w:divBdr>
            <w:top w:val="none" w:sz="0" w:space="0" w:color="auto"/>
            <w:left w:val="none" w:sz="0" w:space="0" w:color="auto"/>
            <w:bottom w:val="none" w:sz="0" w:space="0" w:color="auto"/>
            <w:right w:val="none" w:sz="0" w:space="0" w:color="auto"/>
          </w:divBdr>
        </w:div>
        <w:div w:id="106974258">
          <w:marLeft w:val="0"/>
          <w:marRight w:val="0"/>
          <w:marTop w:val="0"/>
          <w:marBottom w:val="0"/>
          <w:divBdr>
            <w:top w:val="none" w:sz="0" w:space="0" w:color="auto"/>
            <w:left w:val="none" w:sz="0" w:space="0" w:color="auto"/>
            <w:bottom w:val="none" w:sz="0" w:space="0" w:color="auto"/>
            <w:right w:val="none" w:sz="0" w:space="0" w:color="auto"/>
          </w:divBdr>
        </w:div>
        <w:div w:id="955523164">
          <w:marLeft w:val="0"/>
          <w:marRight w:val="0"/>
          <w:marTop w:val="0"/>
          <w:marBottom w:val="0"/>
          <w:divBdr>
            <w:top w:val="none" w:sz="0" w:space="0" w:color="auto"/>
            <w:left w:val="none" w:sz="0" w:space="0" w:color="auto"/>
            <w:bottom w:val="none" w:sz="0" w:space="0" w:color="auto"/>
            <w:right w:val="none" w:sz="0" w:space="0" w:color="auto"/>
          </w:divBdr>
        </w:div>
        <w:div w:id="23942191">
          <w:marLeft w:val="0"/>
          <w:marRight w:val="0"/>
          <w:marTop w:val="0"/>
          <w:marBottom w:val="0"/>
          <w:divBdr>
            <w:top w:val="none" w:sz="0" w:space="0" w:color="auto"/>
            <w:left w:val="none" w:sz="0" w:space="0" w:color="auto"/>
            <w:bottom w:val="none" w:sz="0" w:space="0" w:color="auto"/>
            <w:right w:val="none" w:sz="0" w:space="0" w:color="auto"/>
          </w:divBdr>
        </w:div>
        <w:div w:id="526677853">
          <w:marLeft w:val="0"/>
          <w:marRight w:val="0"/>
          <w:marTop w:val="0"/>
          <w:marBottom w:val="0"/>
          <w:divBdr>
            <w:top w:val="none" w:sz="0" w:space="0" w:color="auto"/>
            <w:left w:val="none" w:sz="0" w:space="0" w:color="auto"/>
            <w:bottom w:val="none" w:sz="0" w:space="0" w:color="auto"/>
            <w:right w:val="none" w:sz="0" w:space="0" w:color="auto"/>
          </w:divBdr>
        </w:div>
        <w:div w:id="1341351001">
          <w:marLeft w:val="0"/>
          <w:marRight w:val="0"/>
          <w:marTop w:val="0"/>
          <w:marBottom w:val="0"/>
          <w:divBdr>
            <w:top w:val="none" w:sz="0" w:space="0" w:color="auto"/>
            <w:left w:val="none" w:sz="0" w:space="0" w:color="auto"/>
            <w:bottom w:val="none" w:sz="0" w:space="0" w:color="auto"/>
            <w:right w:val="none" w:sz="0" w:space="0" w:color="auto"/>
          </w:divBdr>
        </w:div>
        <w:div w:id="1183857859">
          <w:marLeft w:val="0"/>
          <w:marRight w:val="0"/>
          <w:marTop w:val="0"/>
          <w:marBottom w:val="0"/>
          <w:divBdr>
            <w:top w:val="none" w:sz="0" w:space="0" w:color="auto"/>
            <w:left w:val="none" w:sz="0" w:space="0" w:color="auto"/>
            <w:bottom w:val="none" w:sz="0" w:space="0" w:color="auto"/>
            <w:right w:val="none" w:sz="0" w:space="0" w:color="auto"/>
          </w:divBdr>
        </w:div>
        <w:div w:id="583034934">
          <w:marLeft w:val="0"/>
          <w:marRight w:val="0"/>
          <w:marTop w:val="0"/>
          <w:marBottom w:val="0"/>
          <w:divBdr>
            <w:top w:val="none" w:sz="0" w:space="0" w:color="auto"/>
            <w:left w:val="none" w:sz="0" w:space="0" w:color="auto"/>
            <w:bottom w:val="none" w:sz="0" w:space="0" w:color="auto"/>
            <w:right w:val="none" w:sz="0" w:space="0" w:color="auto"/>
          </w:divBdr>
        </w:div>
        <w:div w:id="2068382477">
          <w:marLeft w:val="0"/>
          <w:marRight w:val="0"/>
          <w:marTop w:val="0"/>
          <w:marBottom w:val="0"/>
          <w:divBdr>
            <w:top w:val="none" w:sz="0" w:space="0" w:color="auto"/>
            <w:left w:val="none" w:sz="0" w:space="0" w:color="auto"/>
            <w:bottom w:val="none" w:sz="0" w:space="0" w:color="auto"/>
            <w:right w:val="none" w:sz="0" w:space="0" w:color="auto"/>
          </w:divBdr>
        </w:div>
        <w:div w:id="146944887">
          <w:marLeft w:val="0"/>
          <w:marRight w:val="0"/>
          <w:marTop w:val="0"/>
          <w:marBottom w:val="0"/>
          <w:divBdr>
            <w:top w:val="none" w:sz="0" w:space="0" w:color="auto"/>
            <w:left w:val="none" w:sz="0" w:space="0" w:color="auto"/>
            <w:bottom w:val="none" w:sz="0" w:space="0" w:color="auto"/>
            <w:right w:val="none" w:sz="0" w:space="0" w:color="auto"/>
          </w:divBdr>
        </w:div>
        <w:div w:id="81731085">
          <w:marLeft w:val="0"/>
          <w:marRight w:val="0"/>
          <w:marTop w:val="0"/>
          <w:marBottom w:val="0"/>
          <w:divBdr>
            <w:top w:val="none" w:sz="0" w:space="0" w:color="auto"/>
            <w:left w:val="none" w:sz="0" w:space="0" w:color="auto"/>
            <w:bottom w:val="none" w:sz="0" w:space="0" w:color="auto"/>
            <w:right w:val="none" w:sz="0" w:space="0" w:color="auto"/>
          </w:divBdr>
        </w:div>
        <w:div w:id="1634484740">
          <w:marLeft w:val="0"/>
          <w:marRight w:val="0"/>
          <w:marTop w:val="0"/>
          <w:marBottom w:val="0"/>
          <w:divBdr>
            <w:top w:val="none" w:sz="0" w:space="0" w:color="auto"/>
            <w:left w:val="none" w:sz="0" w:space="0" w:color="auto"/>
            <w:bottom w:val="none" w:sz="0" w:space="0" w:color="auto"/>
            <w:right w:val="none" w:sz="0" w:space="0" w:color="auto"/>
          </w:divBdr>
        </w:div>
        <w:div w:id="946886920">
          <w:marLeft w:val="0"/>
          <w:marRight w:val="0"/>
          <w:marTop w:val="0"/>
          <w:marBottom w:val="0"/>
          <w:divBdr>
            <w:top w:val="none" w:sz="0" w:space="0" w:color="auto"/>
            <w:left w:val="none" w:sz="0" w:space="0" w:color="auto"/>
            <w:bottom w:val="none" w:sz="0" w:space="0" w:color="auto"/>
            <w:right w:val="none" w:sz="0" w:space="0" w:color="auto"/>
          </w:divBdr>
        </w:div>
        <w:div w:id="884950943">
          <w:marLeft w:val="0"/>
          <w:marRight w:val="0"/>
          <w:marTop w:val="0"/>
          <w:marBottom w:val="0"/>
          <w:divBdr>
            <w:top w:val="none" w:sz="0" w:space="0" w:color="auto"/>
            <w:left w:val="none" w:sz="0" w:space="0" w:color="auto"/>
            <w:bottom w:val="none" w:sz="0" w:space="0" w:color="auto"/>
            <w:right w:val="none" w:sz="0" w:space="0" w:color="auto"/>
          </w:divBdr>
        </w:div>
        <w:div w:id="778337208">
          <w:marLeft w:val="0"/>
          <w:marRight w:val="0"/>
          <w:marTop w:val="0"/>
          <w:marBottom w:val="0"/>
          <w:divBdr>
            <w:top w:val="none" w:sz="0" w:space="0" w:color="auto"/>
            <w:left w:val="none" w:sz="0" w:space="0" w:color="auto"/>
            <w:bottom w:val="none" w:sz="0" w:space="0" w:color="auto"/>
            <w:right w:val="none" w:sz="0" w:space="0" w:color="auto"/>
          </w:divBdr>
        </w:div>
        <w:div w:id="1695695411">
          <w:marLeft w:val="0"/>
          <w:marRight w:val="0"/>
          <w:marTop w:val="0"/>
          <w:marBottom w:val="0"/>
          <w:divBdr>
            <w:top w:val="none" w:sz="0" w:space="0" w:color="auto"/>
            <w:left w:val="none" w:sz="0" w:space="0" w:color="auto"/>
            <w:bottom w:val="none" w:sz="0" w:space="0" w:color="auto"/>
            <w:right w:val="none" w:sz="0" w:space="0" w:color="auto"/>
          </w:divBdr>
        </w:div>
        <w:div w:id="765466952">
          <w:marLeft w:val="0"/>
          <w:marRight w:val="0"/>
          <w:marTop w:val="0"/>
          <w:marBottom w:val="0"/>
          <w:divBdr>
            <w:top w:val="none" w:sz="0" w:space="0" w:color="auto"/>
            <w:left w:val="none" w:sz="0" w:space="0" w:color="auto"/>
            <w:bottom w:val="none" w:sz="0" w:space="0" w:color="auto"/>
            <w:right w:val="none" w:sz="0" w:space="0" w:color="auto"/>
          </w:divBdr>
        </w:div>
        <w:div w:id="1628201775">
          <w:marLeft w:val="0"/>
          <w:marRight w:val="0"/>
          <w:marTop w:val="0"/>
          <w:marBottom w:val="0"/>
          <w:divBdr>
            <w:top w:val="none" w:sz="0" w:space="0" w:color="auto"/>
            <w:left w:val="none" w:sz="0" w:space="0" w:color="auto"/>
            <w:bottom w:val="none" w:sz="0" w:space="0" w:color="auto"/>
            <w:right w:val="none" w:sz="0" w:space="0" w:color="auto"/>
          </w:divBdr>
        </w:div>
        <w:div w:id="359622295">
          <w:marLeft w:val="0"/>
          <w:marRight w:val="0"/>
          <w:marTop w:val="0"/>
          <w:marBottom w:val="0"/>
          <w:divBdr>
            <w:top w:val="none" w:sz="0" w:space="0" w:color="auto"/>
            <w:left w:val="none" w:sz="0" w:space="0" w:color="auto"/>
            <w:bottom w:val="none" w:sz="0" w:space="0" w:color="auto"/>
            <w:right w:val="none" w:sz="0" w:space="0" w:color="auto"/>
          </w:divBdr>
        </w:div>
        <w:div w:id="1467117893">
          <w:marLeft w:val="0"/>
          <w:marRight w:val="0"/>
          <w:marTop w:val="0"/>
          <w:marBottom w:val="0"/>
          <w:divBdr>
            <w:top w:val="none" w:sz="0" w:space="0" w:color="auto"/>
            <w:left w:val="none" w:sz="0" w:space="0" w:color="auto"/>
            <w:bottom w:val="none" w:sz="0" w:space="0" w:color="auto"/>
            <w:right w:val="none" w:sz="0" w:space="0" w:color="auto"/>
          </w:divBdr>
        </w:div>
        <w:div w:id="2124382132">
          <w:marLeft w:val="0"/>
          <w:marRight w:val="0"/>
          <w:marTop w:val="0"/>
          <w:marBottom w:val="0"/>
          <w:divBdr>
            <w:top w:val="none" w:sz="0" w:space="0" w:color="auto"/>
            <w:left w:val="none" w:sz="0" w:space="0" w:color="auto"/>
            <w:bottom w:val="none" w:sz="0" w:space="0" w:color="auto"/>
            <w:right w:val="none" w:sz="0" w:space="0" w:color="auto"/>
          </w:divBdr>
        </w:div>
        <w:div w:id="1297251920">
          <w:marLeft w:val="0"/>
          <w:marRight w:val="0"/>
          <w:marTop w:val="0"/>
          <w:marBottom w:val="0"/>
          <w:divBdr>
            <w:top w:val="none" w:sz="0" w:space="0" w:color="auto"/>
            <w:left w:val="none" w:sz="0" w:space="0" w:color="auto"/>
            <w:bottom w:val="none" w:sz="0" w:space="0" w:color="auto"/>
            <w:right w:val="none" w:sz="0" w:space="0" w:color="auto"/>
          </w:divBdr>
        </w:div>
        <w:div w:id="1805662578">
          <w:marLeft w:val="0"/>
          <w:marRight w:val="0"/>
          <w:marTop w:val="0"/>
          <w:marBottom w:val="0"/>
          <w:divBdr>
            <w:top w:val="none" w:sz="0" w:space="0" w:color="auto"/>
            <w:left w:val="none" w:sz="0" w:space="0" w:color="auto"/>
            <w:bottom w:val="none" w:sz="0" w:space="0" w:color="auto"/>
            <w:right w:val="none" w:sz="0" w:space="0" w:color="auto"/>
          </w:divBdr>
        </w:div>
        <w:div w:id="1640572223">
          <w:marLeft w:val="0"/>
          <w:marRight w:val="0"/>
          <w:marTop w:val="0"/>
          <w:marBottom w:val="0"/>
          <w:divBdr>
            <w:top w:val="none" w:sz="0" w:space="0" w:color="auto"/>
            <w:left w:val="none" w:sz="0" w:space="0" w:color="auto"/>
            <w:bottom w:val="none" w:sz="0" w:space="0" w:color="auto"/>
            <w:right w:val="none" w:sz="0" w:space="0" w:color="auto"/>
          </w:divBdr>
        </w:div>
        <w:div w:id="1724715318">
          <w:marLeft w:val="0"/>
          <w:marRight w:val="0"/>
          <w:marTop w:val="0"/>
          <w:marBottom w:val="0"/>
          <w:divBdr>
            <w:top w:val="none" w:sz="0" w:space="0" w:color="auto"/>
            <w:left w:val="none" w:sz="0" w:space="0" w:color="auto"/>
            <w:bottom w:val="none" w:sz="0" w:space="0" w:color="auto"/>
            <w:right w:val="none" w:sz="0" w:space="0" w:color="auto"/>
          </w:divBdr>
        </w:div>
        <w:div w:id="1240019370">
          <w:marLeft w:val="0"/>
          <w:marRight w:val="0"/>
          <w:marTop w:val="0"/>
          <w:marBottom w:val="0"/>
          <w:divBdr>
            <w:top w:val="none" w:sz="0" w:space="0" w:color="auto"/>
            <w:left w:val="none" w:sz="0" w:space="0" w:color="auto"/>
            <w:bottom w:val="none" w:sz="0" w:space="0" w:color="auto"/>
            <w:right w:val="none" w:sz="0" w:space="0" w:color="auto"/>
          </w:divBdr>
        </w:div>
        <w:div w:id="1739740906">
          <w:marLeft w:val="0"/>
          <w:marRight w:val="0"/>
          <w:marTop w:val="0"/>
          <w:marBottom w:val="0"/>
          <w:divBdr>
            <w:top w:val="none" w:sz="0" w:space="0" w:color="auto"/>
            <w:left w:val="none" w:sz="0" w:space="0" w:color="auto"/>
            <w:bottom w:val="none" w:sz="0" w:space="0" w:color="auto"/>
            <w:right w:val="none" w:sz="0" w:space="0" w:color="auto"/>
          </w:divBdr>
        </w:div>
        <w:div w:id="1881820305">
          <w:marLeft w:val="0"/>
          <w:marRight w:val="0"/>
          <w:marTop w:val="0"/>
          <w:marBottom w:val="0"/>
          <w:divBdr>
            <w:top w:val="none" w:sz="0" w:space="0" w:color="auto"/>
            <w:left w:val="none" w:sz="0" w:space="0" w:color="auto"/>
            <w:bottom w:val="none" w:sz="0" w:space="0" w:color="auto"/>
            <w:right w:val="none" w:sz="0" w:space="0" w:color="auto"/>
          </w:divBdr>
        </w:div>
        <w:div w:id="44375661">
          <w:marLeft w:val="0"/>
          <w:marRight w:val="0"/>
          <w:marTop w:val="0"/>
          <w:marBottom w:val="0"/>
          <w:divBdr>
            <w:top w:val="none" w:sz="0" w:space="0" w:color="auto"/>
            <w:left w:val="none" w:sz="0" w:space="0" w:color="auto"/>
            <w:bottom w:val="none" w:sz="0" w:space="0" w:color="auto"/>
            <w:right w:val="none" w:sz="0" w:space="0" w:color="auto"/>
          </w:divBdr>
        </w:div>
        <w:div w:id="1539122933">
          <w:marLeft w:val="0"/>
          <w:marRight w:val="0"/>
          <w:marTop w:val="0"/>
          <w:marBottom w:val="0"/>
          <w:divBdr>
            <w:top w:val="none" w:sz="0" w:space="0" w:color="auto"/>
            <w:left w:val="none" w:sz="0" w:space="0" w:color="auto"/>
            <w:bottom w:val="none" w:sz="0" w:space="0" w:color="auto"/>
            <w:right w:val="none" w:sz="0" w:space="0" w:color="auto"/>
          </w:divBdr>
        </w:div>
        <w:div w:id="589385958">
          <w:marLeft w:val="0"/>
          <w:marRight w:val="0"/>
          <w:marTop w:val="0"/>
          <w:marBottom w:val="0"/>
          <w:divBdr>
            <w:top w:val="none" w:sz="0" w:space="0" w:color="auto"/>
            <w:left w:val="none" w:sz="0" w:space="0" w:color="auto"/>
            <w:bottom w:val="none" w:sz="0" w:space="0" w:color="auto"/>
            <w:right w:val="none" w:sz="0" w:space="0" w:color="auto"/>
          </w:divBdr>
        </w:div>
        <w:div w:id="452552273">
          <w:marLeft w:val="0"/>
          <w:marRight w:val="0"/>
          <w:marTop w:val="0"/>
          <w:marBottom w:val="0"/>
          <w:divBdr>
            <w:top w:val="none" w:sz="0" w:space="0" w:color="auto"/>
            <w:left w:val="none" w:sz="0" w:space="0" w:color="auto"/>
            <w:bottom w:val="none" w:sz="0" w:space="0" w:color="auto"/>
            <w:right w:val="none" w:sz="0" w:space="0" w:color="auto"/>
          </w:divBdr>
        </w:div>
        <w:div w:id="1724715965">
          <w:marLeft w:val="0"/>
          <w:marRight w:val="0"/>
          <w:marTop w:val="0"/>
          <w:marBottom w:val="0"/>
          <w:divBdr>
            <w:top w:val="none" w:sz="0" w:space="0" w:color="auto"/>
            <w:left w:val="none" w:sz="0" w:space="0" w:color="auto"/>
            <w:bottom w:val="none" w:sz="0" w:space="0" w:color="auto"/>
            <w:right w:val="none" w:sz="0" w:space="0" w:color="auto"/>
          </w:divBdr>
        </w:div>
        <w:div w:id="1097016216">
          <w:marLeft w:val="0"/>
          <w:marRight w:val="0"/>
          <w:marTop w:val="0"/>
          <w:marBottom w:val="0"/>
          <w:divBdr>
            <w:top w:val="none" w:sz="0" w:space="0" w:color="auto"/>
            <w:left w:val="none" w:sz="0" w:space="0" w:color="auto"/>
            <w:bottom w:val="none" w:sz="0" w:space="0" w:color="auto"/>
            <w:right w:val="none" w:sz="0" w:space="0" w:color="auto"/>
          </w:divBdr>
        </w:div>
        <w:div w:id="112406831">
          <w:marLeft w:val="0"/>
          <w:marRight w:val="0"/>
          <w:marTop w:val="0"/>
          <w:marBottom w:val="0"/>
          <w:divBdr>
            <w:top w:val="none" w:sz="0" w:space="0" w:color="auto"/>
            <w:left w:val="none" w:sz="0" w:space="0" w:color="auto"/>
            <w:bottom w:val="none" w:sz="0" w:space="0" w:color="auto"/>
            <w:right w:val="none" w:sz="0" w:space="0" w:color="auto"/>
          </w:divBdr>
        </w:div>
        <w:div w:id="2040885503">
          <w:marLeft w:val="0"/>
          <w:marRight w:val="0"/>
          <w:marTop w:val="0"/>
          <w:marBottom w:val="0"/>
          <w:divBdr>
            <w:top w:val="none" w:sz="0" w:space="0" w:color="auto"/>
            <w:left w:val="none" w:sz="0" w:space="0" w:color="auto"/>
            <w:bottom w:val="none" w:sz="0" w:space="0" w:color="auto"/>
            <w:right w:val="none" w:sz="0" w:space="0" w:color="auto"/>
          </w:divBdr>
        </w:div>
        <w:div w:id="58480919">
          <w:marLeft w:val="0"/>
          <w:marRight w:val="0"/>
          <w:marTop w:val="0"/>
          <w:marBottom w:val="0"/>
          <w:divBdr>
            <w:top w:val="none" w:sz="0" w:space="0" w:color="auto"/>
            <w:left w:val="none" w:sz="0" w:space="0" w:color="auto"/>
            <w:bottom w:val="none" w:sz="0" w:space="0" w:color="auto"/>
            <w:right w:val="none" w:sz="0" w:space="0" w:color="auto"/>
          </w:divBdr>
        </w:div>
        <w:div w:id="1873491883">
          <w:marLeft w:val="0"/>
          <w:marRight w:val="0"/>
          <w:marTop w:val="0"/>
          <w:marBottom w:val="0"/>
          <w:divBdr>
            <w:top w:val="none" w:sz="0" w:space="0" w:color="auto"/>
            <w:left w:val="none" w:sz="0" w:space="0" w:color="auto"/>
            <w:bottom w:val="none" w:sz="0" w:space="0" w:color="auto"/>
            <w:right w:val="none" w:sz="0" w:space="0" w:color="auto"/>
          </w:divBdr>
        </w:div>
        <w:div w:id="662242761">
          <w:marLeft w:val="0"/>
          <w:marRight w:val="0"/>
          <w:marTop w:val="0"/>
          <w:marBottom w:val="0"/>
          <w:divBdr>
            <w:top w:val="none" w:sz="0" w:space="0" w:color="auto"/>
            <w:left w:val="none" w:sz="0" w:space="0" w:color="auto"/>
            <w:bottom w:val="none" w:sz="0" w:space="0" w:color="auto"/>
            <w:right w:val="none" w:sz="0" w:space="0" w:color="auto"/>
          </w:divBdr>
        </w:div>
        <w:div w:id="1975059137">
          <w:marLeft w:val="0"/>
          <w:marRight w:val="0"/>
          <w:marTop w:val="0"/>
          <w:marBottom w:val="0"/>
          <w:divBdr>
            <w:top w:val="none" w:sz="0" w:space="0" w:color="auto"/>
            <w:left w:val="none" w:sz="0" w:space="0" w:color="auto"/>
            <w:bottom w:val="none" w:sz="0" w:space="0" w:color="auto"/>
            <w:right w:val="none" w:sz="0" w:space="0" w:color="auto"/>
          </w:divBdr>
        </w:div>
        <w:div w:id="533620224">
          <w:marLeft w:val="0"/>
          <w:marRight w:val="0"/>
          <w:marTop w:val="0"/>
          <w:marBottom w:val="0"/>
          <w:divBdr>
            <w:top w:val="none" w:sz="0" w:space="0" w:color="auto"/>
            <w:left w:val="none" w:sz="0" w:space="0" w:color="auto"/>
            <w:bottom w:val="none" w:sz="0" w:space="0" w:color="auto"/>
            <w:right w:val="none" w:sz="0" w:space="0" w:color="auto"/>
          </w:divBdr>
        </w:div>
        <w:div w:id="858011638">
          <w:marLeft w:val="0"/>
          <w:marRight w:val="0"/>
          <w:marTop w:val="0"/>
          <w:marBottom w:val="0"/>
          <w:divBdr>
            <w:top w:val="none" w:sz="0" w:space="0" w:color="auto"/>
            <w:left w:val="none" w:sz="0" w:space="0" w:color="auto"/>
            <w:bottom w:val="none" w:sz="0" w:space="0" w:color="auto"/>
            <w:right w:val="none" w:sz="0" w:space="0" w:color="auto"/>
          </w:divBdr>
        </w:div>
        <w:div w:id="1965236844">
          <w:marLeft w:val="0"/>
          <w:marRight w:val="0"/>
          <w:marTop w:val="0"/>
          <w:marBottom w:val="0"/>
          <w:divBdr>
            <w:top w:val="none" w:sz="0" w:space="0" w:color="auto"/>
            <w:left w:val="none" w:sz="0" w:space="0" w:color="auto"/>
            <w:bottom w:val="none" w:sz="0" w:space="0" w:color="auto"/>
            <w:right w:val="none" w:sz="0" w:space="0" w:color="auto"/>
          </w:divBdr>
        </w:div>
        <w:div w:id="335959547">
          <w:marLeft w:val="0"/>
          <w:marRight w:val="0"/>
          <w:marTop w:val="0"/>
          <w:marBottom w:val="0"/>
          <w:divBdr>
            <w:top w:val="none" w:sz="0" w:space="0" w:color="auto"/>
            <w:left w:val="none" w:sz="0" w:space="0" w:color="auto"/>
            <w:bottom w:val="none" w:sz="0" w:space="0" w:color="auto"/>
            <w:right w:val="none" w:sz="0" w:space="0" w:color="auto"/>
          </w:divBdr>
        </w:div>
        <w:div w:id="698625480">
          <w:marLeft w:val="0"/>
          <w:marRight w:val="0"/>
          <w:marTop w:val="0"/>
          <w:marBottom w:val="0"/>
          <w:divBdr>
            <w:top w:val="none" w:sz="0" w:space="0" w:color="auto"/>
            <w:left w:val="none" w:sz="0" w:space="0" w:color="auto"/>
            <w:bottom w:val="none" w:sz="0" w:space="0" w:color="auto"/>
            <w:right w:val="none" w:sz="0" w:space="0" w:color="auto"/>
          </w:divBdr>
        </w:div>
        <w:div w:id="1988433821">
          <w:marLeft w:val="0"/>
          <w:marRight w:val="0"/>
          <w:marTop w:val="0"/>
          <w:marBottom w:val="0"/>
          <w:divBdr>
            <w:top w:val="none" w:sz="0" w:space="0" w:color="auto"/>
            <w:left w:val="none" w:sz="0" w:space="0" w:color="auto"/>
            <w:bottom w:val="none" w:sz="0" w:space="0" w:color="auto"/>
            <w:right w:val="none" w:sz="0" w:space="0" w:color="auto"/>
          </w:divBdr>
        </w:div>
        <w:div w:id="1771657137">
          <w:marLeft w:val="0"/>
          <w:marRight w:val="0"/>
          <w:marTop w:val="0"/>
          <w:marBottom w:val="0"/>
          <w:divBdr>
            <w:top w:val="none" w:sz="0" w:space="0" w:color="auto"/>
            <w:left w:val="none" w:sz="0" w:space="0" w:color="auto"/>
            <w:bottom w:val="none" w:sz="0" w:space="0" w:color="auto"/>
            <w:right w:val="none" w:sz="0" w:space="0" w:color="auto"/>
          </w:divBdr>
        </w:div>
        <w:div w:id="1148471170">
          <w:marLeft w:val="0"/>
          <w:marRight w:val="0"/>
          <w:marTop w:val="0"/>
          <w:marBottom w:val="0"/>
          <w:divBdr>
            <w:top w:val="none" w:sz="0" w:space="0" w:color="auto"/>
            <w:left w:val="none" w:sz="0" w:space="0" w:color="auto"/>
            <w:bottom w:val="none" w:sz="0" w:space="0" w:color="auto"/>
            <w:right w:val="none" w:sz="0" w:space="0" w:color="auto"/>
          </w:divBdr>
        </w:div>
        <w:div w:id="1724987750">
          <w:marLeft w:val="0"/>
          <w:marRight w:val="0"/>
          <w:marTop w:val="0"/>
          <w:marBottom w:val="0"/>
          <w:divBdr>
            <w:top w:val="none" w:sz="0" w:space="0" w:color="auto"/>
            <w:left w:val="none" w:sz="0" w:space="0" w:color="auto"/>
            <w:bottom w:val="none" w:sz="0" w:space="0" w:color="auto"/>
            <w:right w:val="none" w:sz="0" w:space="0" w:color="auto"/>
          </w:divBdr>
        </w:div>
        <w:div w:id="641934076">
          <w:marLeft w:val="0"/>
          <w:marRight w:val="0"/>
          <w:marTop w:val="0"/>
          <w:marBottom w:val="0"/>
          <w:divBdr>
            <w:top w:val="none" w:sz="0" w:space="0" w:color="auto"/>
            <w:left w:val="none" w:sz="0" w:space="0" w:color="auto"/>
            <w:bottom w:val="none" w:sz="0" w:space="0" w:color="auto"/>
            <w:right w:val="none" w:sz="0" w:space="0" w:color="auto"/>
          </w:divBdr>
        </w:div>
        <w:div w:id="994147102">
          <w:marLeft w:val="0"/>
          <w:marRight w:val="0"/>
          <w:marTop w:val="0"/>
          <w:marBottom w:val="0"/>
          <w:divBdr>
            <w:top w:val="none" w:sz="0" w:space="0" w:color="auto"/>
            <w:left w:val="none" w:sz="0" w:space="0" w:color="auto"/>
            <w:bottom w:val="none" w:sz="0" w:space="0" w:color="auto"/>
            <w:right w:val="none" w:sz="0" w:space="0" w:color="auto"/>
          </w:divBdr>
        </w:div>
        <w:div w:id="1301837525">
          <w:marLeft w:val="0"/>
          <w:marRight w:val="0"/>
          <w:marTop w:val="0"/>
          <w:marBottom w:val="0"/>
          <w:divBdr>
            <w:top w:val="none" w:sz="0" w:space="0" w:color="auto"/>
            <w:left w:val="none" w:sz="0" w:space="0" w:color="auto"/>
            <w:bottom w:val="none" w:sz="0" w:space="0" w:color="auto"/>
            <w:right w:val="none" w:sz="0" w:space="0" w:color="auto"/>
          </w:divBdr>
        </w:div>
        <w:div w:id="1951736634">
          <w:marLeft w:val="0"/>
          <w:marRight w:val="0"/>
          <w:marTop w:val="0"/>
          <w:marBottom w:val="0"/>
          <w:divBdr>
            <w:top w:val="none" w:sz="0" w:space="0" w:color="auto"/>
            <w:left w:val="none" w:sz="0" w:space="0" w:color="auto"/>
            <w:bottom w:val="none" w:sz="0" w:space="0" w:color="auto"/>
            <w:right w:val="none" w:sz="0" w:space="0" w:color="auto"/>
          </w:divBdr>
        </w:div>
        <w:div w:id="2002193156">
          <w:marLeft w:val="0"/>
          <w:marRight w:val="0"/>
          <w:marTop w:val="0"/>
          <w:marBottom w:val="0"/>
          <w:divBdr>
            <w:top w:val="none" w:sz="0" w:space="0" w:color="auto"/>
            <w:left w:val="none" w:sz="0" w:space="0" w:color="auto"/>
            <w:bottom w:val="none" w:sz="0" w:space="0" w:color="auto"/>
            <w:right w:val="none" w:sz="0" w:space="0" w:color="auto"/>
          </w:divBdr>
        </w:div>
        <w:div w:id="390427128">
          <w:marLeft w:val="0"/>
          <w:marRight w:val="0"/>
          <w:marTop w:val="0"/>
          <w:marBottom w:val="0"/>
          <w:divBdr>
            <w:top w:val="none" w:sz="0" w:space="0" w:color="auto"/>
            <w:left w:val="none" w:sz="0" w:space="0" w:color="auto"/>
            <w:bottom w:val="none" w:sz="0" w:space="0" w:color="auto"/>
            <w:right w:val="none" w:sz="0" w:space="0" w:color="auto"/>
          </w:divBdr>
        </w:div>
        <w:div w:id="1345354404">
          <w:marLeft w:val="0"/>
          <w:marRight w:val="0"/>
          <w:marTop w:val="0"/>
          <w:marBottom w:val="0"/>
          <w:divBdr>
            <w:top w:val="none" w:sz="0" w:space="0" w:color="auto"/>
            <w:left w:val="none" w:sz="0" w:space="0" w:color="auto"/>
            <w:bottom w:val="none" w:sz="0" w:space="0" w:color="auto"/>
            <w:right w:val="none" w:sz="0" w:space="0" w:color="auto"/>
          </w:divBdr>
        </w:div>
        <w:div w:id="158666551">
          <w:marLeft w:val="0"/>
          <w:marRight w:val="0"/>
          <w:marTop w:val="0"/>
          <w:marBottom w:val="0"/>
          <w:divBdr>
            <w:top w:val="none" w:sz="0" w:space="0" w:color="auto"/>
            <w:left w:val="none" w:sz="0" w:space="0" w:color="auto"/>
            <w:bottom w:val="none" w:sz="0" w:space="0" w:color="auto"/>
            <w:right w:val="none" w:sz="0" w:space="0" w:color="auto"/>
          </w:divBdr>
        </w:div>
        <w:div w:id="953246650">
          <w:marLeft w:val="0"/>
          <w:marRight w:val="0"/>
          <w:marTop w:val="0"/>
          <w:marBottom w:val="0"/>
          <w:divBdr>
            <w:top w:val="none" w:sz="0" w:space="0" w:color="auto"/>
            <w:left w:val="none" w:sz="0" w:space="0" w:color="auto"/>
            <w:bottom w:val="none" w:sz="0" w:space="0" w:color="auto"/>
            <w:right w:val="none" w:sz="0" w:space="0" w:color="auto"/>
          </w:divBdr>
        </w:div>
        <w:div w:id="96802037">
          <w:marLeft w:val="0"/>
          <w:marRight w:val="0"/>
          <w:marTop w:val="0"/>
          <w:marBottom w:val="0"/>
          <w:divBdr>
            <w:top w:val="none" w:sz="0" w:space="0" w:color="auto"/>
            <w:left w:val="none" w:sz="0" w:space="0" w:color="auto"/>
            <w:bottom w:val="none" w:sz="0" w:space="0" w:color="auto"/>
            <w:right w:val="none" w:sz="0" w:space="0" w:color="auto"/>
          </w:divBdr>
        </w:div>
        <w:div w:id="2011642997">
          <w:marLeft w:val="0"/>
          <w:marRight w:val="0"/>
          <w:marTop w:val="0"/>
          <w:marBottom w:val="0"/>
          <w:divBdr>
            <w:top w:val="none" w:sz="0" w:space="0" w:color="auto"/>
            <w:left w:val="none" w:sz="0" w:space="0" w:color="auto"/>
            <w:bottom w:val="none" w:sz="0" w:space="0" w:color="auto"/>
            <w:right w:val="none" w:sz="0" w:space="0" w:color="auto"/>
          </w:divBdr>
        </w:div>
        <w:div w:id="1829321379">
          <w:marLeft w:val="0"/>
          <w:marRight w:val="0"/>
          <w:marTop w:val="0"/>
          <w:marBottom w:val="0"/>
          <w:divBdr>
            <w:top w:val="none" w:sz="0" w:space="0" w:color="auto"/>
            <w:left w:val="none" w:sz="0" w:space="0" w:color="auto"/>
            <w:bottom w:val="none" w:sz="0" w:space="0" w:color="auto"/>
            <w:right w:val="none" w:sz="0" w:space="0" w:color="auto"/>
          </w:divBdr>
        </w:div>
      </w:divsChild>
    </w:div>
    <w:div w:id="161705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3558</Words>
  <Characters>20286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student</cp:lastModifiedBy>
  <cp:revision>2</cp:revision>
  <cp:lastPrinted>2019-02-20T07:25:00Z</cp:lastPrinted>
  <dcterms:created xsi:type="dcterms:W3CDTF">2019-03-14T08:14:00Z</dcterms:created>
  <dcterms:modified xsi:type="dcterms:W3CDTF">2019-03-14T08:14:00Z</dcterms:modified>
</cp:coreProperties>
</file>