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9" w:rsidRPr="004F536D" w:rsidRDefault="00927DD9" w:rsidP="007B3E0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THE REPUBLIC OF UGANDA</w:t>
      </w:r>
    </w:p>
    <w:p w:rsidR="00927DD9" w:rsidRPr="004F536D" w:rsidRDefault="00927DD9" w:rsidP="007B3E0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IN THE HIGH COURT OF UGANDA AT KAMPALA</w:t>
      </w:r>
    </w:p>
    <w:p w:rsidR="00927DD9" w:rsidRPr="004F536D" w:rsidRDefault="00E16D6D" w:rsidP="007B3E0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[COMMERCIAL DIVISION]</w:t>
      </w:r>
    </w:p>
    <w:p w:rsidR="00927DD9" w:rsidRPr="004F536D" w:rsidRDefault="00927DD9" w:rsidP="007B3E0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M</w:t>
      </w:r>
      <w:r w:rsidR="00B96140" w:rsidRPr="004F536D">
        <w:rPr>
          <w:rFonts w:ascii="Times New Roman" w:hAnsi="Times New Roman"/>
          <w:b/>
          <w:sz w:val="24"/>
          <w:szCs w:val="24"/>
          <w:lang w:val="en-GB"/>
        </w:rPr>
        <w:t>ISCELLANEOUS APPLICATION N</w:t>
      </w:r>
      <w:r w:rsidR="00B032FF" w:rsidRPr="004F536D">
        <w:rPr>
          <w:rFonts w:ascii="Times New Roman" w:hAnsi="Times New Roman"/>
          <w:b/>
          <w:sz w:val="24"/>
          <w:szCs w:val="24"/>
          <w:lang w:val="en-GB"/>
        </w:rPr>
        <w:t>o</w:t>
      </w:r>
      <w:r w:rsidR="00B96140" w:rsidRPr="004F536D">
        <w:rPr>
          <w:rFonts w:ascii="Times New Roman" w:hAnsi="Times New Roman"/>
          <w:b/>
          <w:sz w:val="24"/>
          <w:szCs w:val="24"/>
          <w:lang w:val="en-GB"/>
        </w:rPr>
        <w:t>. 81 OF 2015</w:t>
      </w:r>
    </w:p>
    <w:p w:rsidR="00927DD9" w:rsidRPr="004F536D" w:rsidRDefault="00EA4ADE" w:rsidP="007B3E0E">
      <w:pPr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4F536D">
        <w:rPr>
          <w:rFonts w:ascii="Times New Roman" w:hAnsi="Times New Roman"/>
          <w:i/>
          <w:sz w:val="24"/>
          <w:szCs w:val="24"/>
          <w:lang w:val="en-GB"/>
        </w:rPr>
        <w:t>[</w:t>
      </w:r>
      <w:r w:rsidR="00927DD9" w:rsidRPr="004F536D">
        <w:rPr>
          <w:rFonts w:ascii="Times New Roman" w:hAnsi="Times New Roman"/>
          <w:i/>
          <w:sz w:val="24"/>
          <w:szCs w:val="24"/>
          <w:lang w:val="en-GB"/>
        </w:rPr>
        <w:t>AR</w:t>
      </w:r>
      <w:r w:rsidR="00B96140" w:rsidRPr="004F536D">
        <w:rPr>
          <w:rFonts w:ascii="Times New Roman" w:hAnsi="Times New Roman"/>
          <w:i/>
          <w:sz w:val="24"/>
          <w:szCs w:val="24"/>
          <w:lang w:val="en-GB"/>
        </w:rPr>
        <w:t xml:space="preserve">ISING OUT OF CIVIL SUIT NO. </w:t>
      </w:r>
      <w:r w:rsidR="00BE2765" w:rsidRPr="004F536D">
        <w:rPr>
          <w:rFonts w:ascii="Times New Roman" w:hAnsi="Times New Roman"/>
          <w:i/>
          <w:sz w:val="24"/>
          <w:szCs w:val="24"/>
          <w:lang w:val="en-GB"/>
        </w:rPr>
        <w:t>542</w:t>
      </w:r>
      <w:r w:rsidRPr="004F536D">
        <w:rPr>
          <w:rFonts w:ascii="Times New Roman" w:hAnsi="Times New Roman"/>
          <w:i/>
          <w:sz w:val="24"/>
          <w:szCs w:val="24"/>
          <w:lang w:val="en-GB"/>
        </w:rPr>
        <w:t xml:space="preserve"> OF 2014]</w:t>
      </w:r>
    </w:p>
    <w:p w:rsidR="00927DD9" w:rsidRPr="004F536D" w:rsidRDefault="004F536D" w:rsidP="007B3E0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19685</wp:posOffset>
                </wp:positionV>
                <wp:extent cx="152400" cy="617220"/>
                <wp:effectExtent l="9525" t="508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17220"/>
                        </a:xfrm>
                        <a:prstGeom prst="rightBrace">
                          <a:avLst>
                            <a:gd name="adj1" fmla="val 33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57.5pt;margin-top:1.55pt;width:1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"/>
            </w:pict>
          </mc:Fallback>
        </mc:AlternateContent>
      </w:r>
      <w:bookmarkEnd w:id="0"/>
      <w:r w:rsidR="00BE2765" w:rsidRPr="004F536D">
        <w:rPr>
          <w:rFonts w:ascii="Times New Roman" w:hAnsi="Times New Roman"/>
          <w:b/>
          <w:sz w:val="24"/>
          <w:szCs w:val="24"/>
          <w:lang w:val="en-GB"/>
        </w:rPr>
        <w:t>ANNET NANSUBUGA</w:t>
      </w:r>
    </w:p>
    <w:p w:rsidR="00927DD9" w:rsidRPr="004F536D" w:rsidRDefault="00BE2765" w:rsidP="007B3E0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JANE NAKAWUKI</w:t>
      </w:r>
      <w:r w:rsidR="00E33410" w:rsidRPr="004F536D">
        <w:rPr>
          <w:rFonts w:ascii="Times New Roman" w:hAnsi="Times New Roman"/>
          <w:b/>
          <w:sz w:val="24"/>
          <w:szCs w:val="24"/>
          <w:lang w:val="en-GB"/>
        </w:rPr>
        <w:tab/>
        <w:t xml:space="preserve">     </w:t>
      </w:r>
      <w:r w:rsidR="00E2375F" w:rsidRPr="004F536D">
        <w:rPr>
          <w:rFonts w:ascii="Times New Roman" w:hAnsi="Times New Roman"/>
          <w:b/>
          <w:sz w:val="24"/>
          <w:szCs w:val="24"/>
          <w:lang w:val="en-GB"/>
        </w:rPr>
        <w:t>::::::::::::::::: APPLICANTS/ DEFENDANTS</w:t>
      </w:r>
    </w:p>
    <w:p w:rsidR="00E2375F" w:rsidRPr="004F536D" w:rsidRDefault="00BE2765" w:rsidP="00112B9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 xml:space="preserve">SYLVIA </w:t>
      </w:r>
      <w:r w:rsidR="00F60CDA" w:rsidRPr="004F536D">
        <w:rPr>
          <w:rFonts w:ascii="Times New Roman" w:hAnsi="Times New Roman"/>
          <w:b/>
          <w:sz w:val="24"/>
          <w:szCs w:val="24"/>
          <w:lang w:val="en-GB"/>
        </w:rPr>
        <w:t>NABASUMBA</w:t>
      </w:r>
    </w:p>
    <w:p w:rsidR="00112B97" w:rsidRPr="004F536D" w:rsidRDefault="00112B97" w:rsidP="00112B97">
      <w:pPr>
        <w:pStyle w:val="ListParagraph"/>
        <w:rPr>
          <w:rFonts w:ascii="Times New Roman" w:hAnsi="Times New Roman"/>
          <w:b/>
          <w:sz w:val="24"/>
          <w:szCs w:val="24"/>
          <w:lang w:val="en-GB"/>
        </w:rPr>
      </w:pPr>
    </w:p>
    <w:p w:rsidR="00927DD9" w:rsidRPr="004F536D" w:rsidRDefault="00927DD9" w:rsidP="007B3E0E">
      <w:pPr>
        <w:pStyle w:val="ListParagraph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VERSUS</w:t>
      </w:r>
    </w:p>
    <w:p w:rsidR="00A709F0" w:rsidRPr="004F536D" w:rsidRDefault="00F60CDA" w:rsidP="00AC2F31">
      <w:pPr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RYAN LUKYAMUZI KATONGOLE</w:t>
      </w:r>
      <w:r w:rsidR="00A709F0" w:rsidRPr="004F536D">
        <w:rPr>
          <w:rFonts w:ascii="Times New Roman" w:hAnsi="Times New Roman"/>
          <w:b/>
          <w:sz w:val="24"/>
          <w:szCs w:val="24"/>
          <w:lang w:val="en-GB"/>
        </w:rPr>
        <w:t xml:space="preserve"> THRU</w:t>
      </w:r>
    </w:p>
    <w:p w:rsidR="00927DD9" w:rsidRPr="004F536D" w:rsidRDefault="00A709F0" w:rsidP="007B3E0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 xml:space="preserve">HIS NEXT FRIEND HENRY </w:t>
      </w:r>
      <w:r w:rsidR="000756C0" w:rsidRPr="004F536D">
        <w:rPr>
          <w:rFonts w:ascii="Times New Roman" w:hAnsi="Times New Roman"/>
          <w:b/>
          <w:sz w:val="24"/>
          <w:szCs w:val="24"/>
          <w:lang w:val="en-GB"/>
        </w:rPr>
        <w:t>KATONGOLE</w:t>
      </w:r>
      <w:r w:rsidR="00E33410" w:rsidRPr="004F536D">
        <w:rPr>
          <w:rFonts w:ascii="Times New Roman" w:hAnsi="Times New Roman"/>
          <w:b/>
          <w:sz w:val="24"/>
          <w:szCs w:val="24"/>
          <w:lang w:val="en-GB"/>
        </w:rPr>
        <w:t xml:space="preserve"> :::::</w:t>
      </w:r>
      <w:r w:rsidR="00A80210" w:rsidRPr="004F536D">
        <w:rPr>
          <w:rFonts w:ascii="Times New Roman" w:hAnsi="Times New Roman"/>
          <w:b/>
          <w:sz w:val="24"/>
          <w:szCs w:val="24"/>
          <w:lang w:val="en-GB"/>
        </w:rPr>
        <w:t xml:space="preserve">::::::::: </w:t>
      </w:r>
      <w:r w:rsidR="00927DD9" w:rsidRPr="004F536D">
        <w:rPr>
          <w:rFonts w:ascii="Times New Roman" w:hAnsi="Times New Roman"/>
          <w:b/>
          <w:sz w:val="24"/>
          <w:szCs w:val="24"/>
          <w:lang w:val="en-GB"/>
        </w:rPr>
        <w:t>RESPONDENT</w:t>
      </w:r>
      <w:r w:rsidRPr="004F536D">
        <w:rPr>
          <w:rFonts w:ascii="Times New Roman" w:hAnsi="Times New Roman"/>
          <w:b/>
          <w:sz w:val="24"/>
          <w:szCs w:val="24"/>
          <w:lang w:val="en-GB"/>
        </w:rPr>
        <w:t>/PLAINTIFF</w:t>
      </w:r>
    </w:p>
    <w:p w:rsidR="00193635" w:rsidRPr="004F536D" w:rsidRDefault="00193635" w:rsidP="007B3E0E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D36454" w:rsidRPr="004F536D" w:rsidRDefault="00927DD9" w:rsidP="00D36454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BEFORE:   HON</w:t>
      </w:r>
      <w:r w:rsidR="00070D9D" w:rsidRPr="004F536D">
        <w:rPr>
          <w:rFonts w:ascii="Times New Roman" w:hAnsi="Times New Roman"/>
          <w:b/>
          <w:sz w:val="24"/>
          <w:szCs w:val="24"/>
          <w:lang w:val="en-GB"/>
        </w:rPr>
        <w:t xml:space="preserve">. MR. </w:t>
      </w:r>
      <w:r w:rsidRPr="004F536D">
        <w:rPr>
          <w:rFonts w:ascii="Times New Roman" w:hAnsi="Times New Roman"/>
          <w:b/>
          <w:sz w:val="24"/>
          <w:szCs w:val="24"/>
          <w:lang w:val="en-GB"/>
        </w:rPr>
        <w:t xml:space="preserve"> JUSTICE B.</w:t>
      </w:r>
      <w:r w:rsidR="00461987" w:rsidRPr="004F536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4F536D">
        <w:rPr>
          <w:rFonts w:ascii="Times New Roman" w:hAnsi="Times New Roman"/>
          <w:b/>
          <w:sz w:val="24"/>
          <w:szCs w:val="24"/>
          <w:lang w:val="en-GB"/>
        </w:rPr>
        <w:t>KAINAMURA</w:t>
      </w:r>
    </w:p>
    <w:p w:rsidR="00927DD9" w:rsidRPr="004F536D" w:rsidRDefault="00927DD9" w:rsidP="007B3E0E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RULING</w:t>
      </w:r>
    </w:p>
    <w:p w:rsidR="00BB3C1D" w:rsidRPr="004F536D" w:rsidRDefault="00927DD9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applicants brought this application </w:t>
      </w:r>
      <w:r w:rsidR="00DA408F" w:rsidRPr="004F536D">
        <w:rPr>
          <w:rFonts w:ascii="Times New Roman" w:hAnsi="Times New Roman"/>
          <w:sz w:val="24"/>
          <w:szCs w:val="24"/>
          <w:lang w:val="en-GB"/>
        </w:rPr>
        <w:t xml:space="preserve">by Notice of Motion under Order 36 rule 11 </w:t>
      </w:r>
      <w:r w:rsidR="00DF5D31" w:rsidRPr="004F536D">
        <w:rPr>
          <w:rFonts w:ascii="Times New Roman" w:hAnsi="Times New Roman"/>
          <w:sz w:val="24"/>
          <w:szCs w:val="24"/>
          <w:lang w:val="en-GB"/>
        </w:rPr>
        <w:t>&amp; Order 52 rule 3</w:t>
      </w:r>
      <w:r w:rsidR="00B83902" w:rsidRPr="004F536D">
        <w:rPr>
          <w:rFonts w:ascii="Times New Roman" w:hAnsi="Times New Roman"/>
          <w:sz w:val="24"/>
          <w:szCs w:val="24"/>
          <w:lang w:val="en-GB"/>
        </w:rPr>
        <w:t xml:space="preserve"> of the CPR. The applicant seeks orders </w:t>
      </w:r>
      <w:r w:rsidR="005C71FB" w:rsidRPr="004F536D">
        <w:rPr>
          <w:rFonts w:ascii="Times New Roman" w:hAnsi="Times New Roman"/>
          <w:sz w:val="24"/>
          <w:szCs w:val="24"/>
          <w:lang w:val="en-GB"/>
        </w:rPr>
        <w:t>for</w:t>
      </w:r>
      <w:r w:rsidR="00CB3492" w:rsidRPr="004F536D">
        <w:rPr>
          <w:rFonts w:ascii="Times New Roman" w:hAnsi="Times New Roman"/>
          <w:sz w:val="24"/>
          <w:szCs w:val="24"/>
          <w:lang w:val="en-GB"/>
        </w:rPr>
        <w:t>; a)</w:t>
      </w:r>
      <w:r w:rsidR="005C71FB" w:rsidRPr="004F536D">
        <w:rPr>
          <w:rFonts w:ascii="Times New Roman" w:hAnsi="Times New Roman"/>
          <w:sz w:val="24"/>
          <w:szCs w:val="24"/>
          <w:lang w:val="en-GB"/>
        </w:rPr>
        <w:t xml:space="preserve"> setting aside a decree passed against the applicants/defendants vide Civil Suit No. 542/2014</w:t>
      </w:r>
      <w:r w:rsidR="00CB3492" w:rsidRPr="004F536D">
        <w:rPr>
          <w:rFonts w:ascii="Times New Roman" w:hAnsi="Times New Roman"/>
          <w:sz w:val="24"/>
          <w:szCs w:val="24"/>
          <w:lang w:val="en-GB"/>
        </w:rPr>
        <w:t xml:space="preserve"> by this </w:t>
      </w:r>
      <w:r w:rsidR="00D50ABF" w:rsidRPr="004F536D">
        <w:rPr>
          <w:rFonts w:ascii="Times New Roman" w:hAnsi="Times New Roman"/>
          <w:sz w:val="24"/>
          <w:szCs w:val="24"/>
          <w:lang w:val="en-GB"/>
        </w:rPr>
        <w:t>honourable court</w:t>
      </w:r>
      <w:r w:rsidR="00CB3492" w:rsidRPr="004F536D">
        <w:rPr>
          <w:rFonts w:ascii="Times New Roman" w:hAnsi="Times New Roman"/>
          <w:sz w:val="24"/>
          <w:szCs w:val="24"/>
          <w:lang w:val="en-GB"/>
        </w:rPr>
        <w:t>, b) sett</w:t>
      </w:r>
      <w:r w:rsidR="00E409D8" w:rsidRPr="004F536D">
        <w:rPr>
          <w:rFonts w:ascii="Times New Roman" w:hAnsi="Times New Roman"/>
          <w:sz w:val="24"/>
          <w:szCs w:val="24"/>
          <w:lang w:val="en-GB"/>
        </w:rPr>
        <w:t>ing aside execution of the said decree, c) leave to the defendants/applicants to appear and to defend the suit</w:t>
      </w:r>
      <w:r w:rsidR="003B648F" w:rsidRPr="004F536D">
        <w:rPr>
          <w:rFonts w:ascii="Times New Roman" w:hAnsi="Times New Roman"/>
          <w:sz w:val="24"/>
          <w:szCs w:val="24"/>
          <w:lang w:val="en-GB"/>
        </w:rPr>
        <w:t>, d) costs of the application be provided for.</w:t>
      </w:r>
    </w:p>
    <w:p w:rsidR="00927DD9" w:rsidRPr="004F536D" w:rsidRDefault="00927DD9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The grounds of the application are set out in the af</w:t>
      </w:r>
      <w:r w:rsidR="00290D6D" w:rsidRPr="004F536D">
        <w:rPr>
          <w:rFonts w:ascii="Times New Roman" w:hAnsi="Times New Roman"/>
          <w:sz w:val="24"/>
          <w:szCs w:val="24"/>
          <w:lang w:val="en-GB"/>
        </w:rPr>
        <w:t>fidavit sworn by Annet Nansubuga;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the </w:t>
      </w:r>
      <w:r w:rsidR="00290D6D" w:rsidRPr="004F536D">
        <w:rPr>
          <w:rFonts w:ascii="Times New Roman" w:hAnsi="Times New Roman"/>
          <w:sz w:val="24"/>
          <w:szCs w:val="24"/>
          <w:lang w:val="en-GB"/>
        </w:rPr>
        <w:t>1</w:t>
      </w:r>
      <w:r w:rsidR="00290D6D"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290D6D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536D">
        <w:rPr>
          <w:rFonts w:ascii="Times New Roman" w:hAnsi="Times New Roman"/>
          <w:sz w:val="24"/>
          <w:szCs w:val="24"/>
          <w:lang w:val="en-GB"/>
        </w:rPr>
        <w:t>applicant and are that;</w:t>
      </w:r>
    </w:p>
    <w:p w:rsidR="002A06A2" w:rsidRPr="004F536D" w:rsidRDefault="00C42409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The honourable court entered a judgment and decree against the applicants in Civil Suit No.</w:t>
      </w:r>
      <w:r w:rsidR="002D0FB1" w:rsidRPr="004F536D">
        <w:rPr>
          <w:rFonts w:ascii="Times New Roman" w:hAnsi="Times New Roman"/>
          <w:sz w:val="24"/>
          <w:szCs w:val="24"/>
          <w:lang w:val="en-GB"/>
        </w:rPr>
        <w:t xml:space="preserve"> 542/2014 upon an alleged default to file an application for leave to </w:t>
      </w:r>
      <w:r w:rsidR="002D0E9C" w:rsidRPr="004F536D">
        <w:rPr>
          <w:rFonts w:ascii="Times New Roman" w:hAnsi="Times New Roman"/>
          <w:sz w:val="24"/>
          <w:szCs w:val="24"/>
          <w:lang w:val="en-GB"/>
        </w:rPr>
        <w:t>appear and defend the suit.</w:t>
      </w:r>
    </w:p>
    <w:p w:rsidR="00E73A3C" w:rsidRPr="004F536D" w:rsidRDefault="002A06A2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service </w:t>
      </w:r>
      <w:r w:rsidR="00746FB1" w:rsidRPr="004F536D">
        <w:rPr>
          <w:rFonts w:ascii="Times New Roman" w:hAnsi="Times New Roman"/>
          <w:sz w:val="24"/>
          <w:szCs w:val="24"/>
          <w:lang w:val="en-GB"/>
        </w:rPr>
        <w:t>was not effective as none of the applicants was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served</w:t>
      </w:r>
      <w:r w:rsidR="00DA69D2" w:rsidRPr="004F536D">
        <w:rPr>
          <w:rFonts w:ascii="Times New Roman" w:hAnsi="Times New Roman"/>
          <w:sz w:val="24"/>
          <w:szCs w:val="24"/>
          <w:lang w:val="en-GB"/>
        </w:rPr>
        <w:t xml:space="preserve"> on the purported date of 12</w:t>
      </w:r>
      <w:r w:rsidR="00DA69D2"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DA69D2" w:rsidRPr="004F536D">
        <w:rPr>
          <w:rFonts w:ascii="Times New Roman" w:hAnsi="Times New Roman"/>
          <w:sz w:val="24"/>
          <w:szCs w:val="24"/>
          <w:lang w:val="en-GB"/>
        </w:rPr>
        <w:t xml:space="preserve"> August 2014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with the summons in summary suit </w:t>
      </w:r>
      <w:r w:rsidR="00C4668B" w:rsidRPr="004F536D">
        <w:rPr>
          <w:rFonts w:ascii="Times New Roman" w:hAnsi="Times New Roman"/>
          <w:sz w:val="24"/>
          <w:szCs w:val="24"/>
          <w:lang w:val="en-GB"/>
        </w:rPr>
        <w:t>and Plaint in the said suit.</w:t>
      </w:r>
      <w:r w:rsidR="00DA69D2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91D0E" w:rsidRPr="004F536D" w:rsidRDefault="00AD2D8F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lastRenderedPageBreak/>
        <w:t>The applicants severally learnt about the said suit after the 3</w:t>
      </w:r>
      <w:r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a</w:t>
      </w:r>
      <w:r w:rsidR="0077252C" w:rsidRPr="004F536D">
        <w:rPr>
          <w:rFonts w:ascii="Times New Roman" w:hAnsi="Times New Roman"/>
          <w:sz w:val="24"/>
          <w:szCs w:val="24"/>
          <w:lang w:val="en-GB"/>
        </w:rPr>
        <w:t xml:space="preserve">pplicant was arrested and committed to civil prison pursuant to </w:t>
      </w:r>
      <w:r w:rsidR="00114983" w:rsidRPr="004F536D">
        <w:rPr>
          <w:rFonts w:ascii="Times New Roman" w:hAnsi="Times New Roman"/>
          <w:sz w:val="24"/>
          <w:szCs w:val="24"/>
          <w:lang w:val="en-GB"/>
        </w:rPr>
        <w:t xml:space="preserve">a warrant of arrest in execution issued against </w:t>
      </w:r>
      <w:r w:rsidR="0089654A" w:rsidRPr="004F536D">
        <w:rPr>
          <w:rFonts w:ascii="Times New Roman" w:hAnsi="Times New Roman"/>
          <w:sz w:val="24"/>
          <w:szCs w:val="24"/>
          <w:lang w:val="en-GB"/>
        </w:rPr>
        <w:t xml:space="preserve">the applicants </w:t>
      </w:r>
      <w:r w:rsidR="00114983" w:rsidRPr="004F536D">
        <w:rPr>
          <w:rFonts w:ascii="Times New Roman" w:hAnsi="Times New Roman"/>
          <w:sz w:val="24"/>
          <w:szCs w:val="24"/>
          <w:lang w:val="en-GB"/>
        </w:rPr>
        <w:t xml:space="preserve">by the Execution and Bailiffs Division </w:t>
      </w:r>
      <w:r w:rsidR="00F366C1" w:rsidRPr="004F536D">
        <w:rPr>
          <w:rFonts w:ascii="Times New Roman" w:hAnsi="Times New Roman"/>
          <w:sz w:val="24"/>
          <w:szCs w:val="24"/>
          <w:lang w:val="en-GB"/>
        </w:rPr>
        <w:t xml:space="preserve">of this </w:t>
      </w:r>
      <w:r w:rsidR="00163DA8" w:rsidRPr="004F536D">
        <w:rPr>
          <w:rFonts w:ascii="Times New Roman" w:hAnsi="Times New Roman"/>
          <w:sz w:val="24"/>
          <w:szCs w:val="24"/>
          <w:lang w:val="en-GB"/>
        </w:rPr>
        <w:t>h</w:t>
      </w:r>
      <w:r w:rsidR="00F366C1" w:rsidRPr="004F536D">
        <w:rPr>
          <w:rFonts w:ascii="Times New Roman" w:hAnsi="Times New Roman"/>
          <w:sz w:val="24"/>
          <w:szCs w:val="24"/>
          <w:lang w:val="en-GB"/>
        </w:rPr>
        <w:t xml:space="preserve">onourable </w:t>
      </w:r>
      <w:r w:rsidR="005B1AB9" w:rsidRPr="004F536D">
        <w:rPr>
          <w:rFonts w:ascii="Times New Roman" w:hAnsi="Times New Roman"/>
          <w:sz w:val="24"/>
          <w:szCs w:val="24"/>
          <w:lang w:val="en-GB"/>
        </w:rPr>
        <w:t>c</w:t>
      </w:r>
      <w:r w:rsidR="00F366C1" w:rsidRPr="004F536D">
        <w:rPr>
          <w:rFonts w:ascii="Times New Roman" w:hAnsi="Times New Roman"/>
          <w:sz w:val="24"/>
          <w:szCs w:val="24"/>
          <w:lang w:val="en-GB"/>
        </w:rPr>
        <w:t>ourt.</w:t>
      </w:r>
    </w:p>
    <w:p w:rsidR="00135600" w:rsidRPr="004F536D" w:rsidRDefault="006C390E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applicants as </w:t>
      </w:r>
      <w:r w:rsidR="004643CB" w:rsidRPr="004F536D">
        <w:rPr>
          <w:rFonts w:ascii="Times New Roman" w:hAnsi="Times New Roman"/>
          <w:sz w:val="24"/>
          <w:szCs w:val="24"/>
          <w:lang w:val="en-GB"/>
        </w:rPr>
        <w:t xml:space="preserve">the indefeasible registered proprietors did yield effective ownership </w:t>
      </w:r>
      <w:r w:rsidR="00922D47" w:rsidRPr="004F536D">
        <w:rPr>
          <w:rFonts w:ascii="Times New Roman" w:hAnsi="Times New Roman"/>
          <w:sz w:val="24"/>
          <w:szCs w:val="24"/>
          <w:lang w:val="en-GB"/>
        </w:rPr>
        <w:t xml:space="preserve">and vacant possession of the suit land comprised in a certificate of title for Freehold Register Volume 1264 Folio 7, Block </w:t>
      </w:r>
      <w:r w:rsidR="00C72F39" w:rsidRPr="004F536D">
        <w:rPr>
          <w:rFonts w:ascii="Times New Roman" w:hAnsi="Times New Roman"/>
          <w:sz w:val="24"/>
          <w:szCs w:val="24"/>
          <w:lang w:val="en-GB"/>
        </w:rPr>
        <w:t xml:space="preserve">498, Plot 9 and 10, Land at Kisalizi, Ssingo </w:t>
      </w:r>
      <w:r w:rsidR="00E81D3D" w:rsidRPr="004F536D">
        <w:rPr>
          <w:rFonts w:ascii="Times New Roman" w:hAnsi="Times New Roman"/>
          <w:sz w:val="24"/>
          <w:szCs w:val="24"/>
          <w:lang w:val="en-GB"/>
        </w:rPr>
        <w:t>C</w:t>
      </w:r>
      <w:r w:rsidR="00C72F39" w:rsidRPr="004F536D">
        <w:rPr>
          <w:rFonts w:ascii="Times New Roman" w:hAnsi="Times New Roman"/>
          <w:sz w:val="24"/>
          <w:szCs w:val="24"/>
          <w:lang w:val="en-GB"/>
        </w:rPr>
        <w:t>ounty, Mubende district</w:t>
      </w:r>
      <w:r w:rsidR="00096DFE" w:rsidRPr="004F536D">
        <w:rPr>
          <w:rFonts w:ascii="Times New Roman" w:hAnsi="Times New Roman"/>
          <w:sz w:val="24"/>
          <w:szCs w:val="24"/>
          <w:lang w:val="en-GB"/>
        </w:rPr>
        <w:t>.</w:t>
      </w:r>
    </w:p>
    <w:p w:rsidR="00096DFE" w:rsidRPr="004F536D" w:rsidRDefault="00096DFE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applicants on four diverse occasions prior to the execution of the sale agreement </w:t>
      </w:r>
      <w:r w:rsidR="00A24F4A" w:rsidRPr="004F536D">
        <w:rPr>
          <w:rFonts w:ascii="Times New Roman" w:hAnsi="Times New Roman"/>
          <w:sz w:val="24"/>
          <w:szCs w:val="24"/>
          <w:lang w:val="en-GB"/>
        </w:rPr>
        <w:t xml:space="preserve">took the </w:t>
      </w:r>
      <w:r w:rsidR="00ED40C4" w:rsidRPr="004F536D">
        <w:rPr>
          <w:rFonts w:ascii="Times New Roman" w:hAnsi="Times New Roman"/>
          <w:sz w:val="24"/>
          <w:szCs w:val="24"/>
          <w:lang w:val="en-GB"/>
        </w:rPr>
        <w:t xml:space="preserve">respondent to the land to confirm that it had no squatters before parting with the consideration of </w:t>
      </w:r>
      <w:r w:rsidR="00FF0344" w:rsidRPr="004F536D">
        <w:rPr>
          <w:rFonts w:ascii="Times New Roman" w:hAnsi="Times New Roman"/>
          <w:sz w:val="24"/>
          <w:szCs w:val="24"/>
          <w:lang w:val="en-GB"/>
        </w:rPr>
        <w:t>UGX</w:t>
      </w:r>
      <w:r w:rsidR="005B1AB9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D40C4" w:rsidRPr="004F536D">
        <w:rPr>
          <w:rFonts w:ascii="Times New Roman" w:hAnsi="Times New Roman"/>
          <w:sz w:val="24"/>
          <w:szCs w:val="24"/>
          <w:lang w:val="en-GB"/>
        </w:rPr>
        <w:t>71,146,500/=</w:t>
      </w:r>
      <w:r w:rsidR="00283BD6" w:rsidRPr="004F536D">
        <w:rPr>
          <w:rFonts w:ascii="Times New Roman" w:hAnsi="Times New Roman"/>
          <w:sz w:val="24"/>
          <w:szCs w:val="24"/>
          <w:lang w:val="en-GB"/>
        </w:rPr>
        <w:t>.</w:t>
      </w:r>
    </w:p>
    <w:p w:rsidR="00283BD6" w:rsidRPr="004F536D" w:rsidRDefault="00283BD6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The interest rate of 23% per month claimed on the consideration sum aforesaid is too harsh and unconscionable</w:t>
      </w:r>
      <w:r w:rsidR="0056559C" w:rsidRPr="004F536D">
        <w:rPr>
          <w:rFonts w:ascii="Times New Roman" w:hAnsi="Times New Roman"/>
          <w:sz w:val="24"/>
          <w:szCs w:val="24"/>
          <w:lang w:val="en-GB"/>
        </w:rPr>
        <w:t xml:space="preserve"> as the same was never agreed upon by the applicants in the sale agreement.</w:t>
      </w:r>
    </w:p>
    <w:p w:rsidR="0056559C" w:rsidRPr="004F536D" w:rsidRDefault="0056559C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applicants honestly believe </w:t>
      </w:r>
      <w:r w:rsidR="00F03FC7" w:rsidRPr="004F536D">
        <w:rPr>
          <w:rFonts w:ascii="Times New Roman" w:hAnsi="Times New Roman"/>
          <w:sz w:val="24"/>
          <w:szCs w:val="24"/>
          <w:lang w:val="en-GB"/>
        </w:rPr>
        <w:t>they have a formidable and plausible defence to the respondent’s claim.</w:t>
      </w:r>
    </w:p>
    <w:p w:rsidR="00F03FC7" w:rsidRPr="004F536D" w:rsidRDefault="00F03FC7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It is just and equitable that the orders sought by the applicants in </w:t>
      </w:r>
      <w:r w:rsidR="007079F7" w:rsidRPr="004F536D">
        <w:rPr>
          <w:rFonts w:ascii="Times New Roman" w:hAnsi="Times New Roman"/>
          <w:sz w:val="24"/>
          <w:szCs w:val="24"/>
          <w:lang w:val="en-GB"/>
        </w:rPr>
        <w:t>the application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be granted.</w:t>
      </w:r>
    </w:p>
    <w:p w:rsidR="00D4484D" w:rsidRPr="004F536D" w:rsidRDefault="00D4484D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respondent filed an affidavit in reply </w:t>
      </w:r>
      <w:r w:rsidR="00822CC5" w:rsidRPr="004F536D">
        <w:rPr>
          <w:rFonts w:ascii="Times New Roman" w:hAnsi="Times New Roman"/>
          <w:sz w:val="24"/>
          <w:szCs w:val="24"/>
          <w:lang w:val="en-GB"/>
        </w:rPr>
        <w:t>through his next friend Henry Katongole who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deposed that;</w:t>
      </w:r>
    </w:p>
    <w:p w:rsidR="00D15789" w:rsidRPr="004F536D" w:rsidRDefault="00822CC5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He instituted a suit against the applicants </w:t>
      </w:r>
      <w:r w:rsidR="00B4046F" w:rsidRPr="004F536D">
        <w:rPr>
          <w:rFonts w:ascii="Times New Roman" w:hAnsi="Times New Roman"/>
          <w:sz w:val="24"/>
          <w:szCs w:val="24"/>
          <w:lang w:val="en-GB"/>
        </w:rPr>
        <w:t xml:space="preserve">in this Honourable Court vide Civil Suit 542 of 2014 </w:t>
      </w:r>
      <w:r w:rsidR="00B42CCE" w:rsidRPr="004F536D">
        <w:rPr>
          <w:rFonts w:ascii="Times New Roman" w:hAnsi="Times New Roman"/>
          <w:sz w:val="24"/>
          <w:szCs w:val="24"/>
          <w:lang w:val="en-GB"/>
        </w:rPr>
        <w:t xml:space="preserve">for a refund of </w:t>
      </w:r>
      <w:r w:rsidR="005B1AB9" w:rsidRPr="004F536D">
        <w:rPr>
          <w:rFonts w:ascii="Times New Roman" w:hAnsi="Times New Roman"/>
          <w:sz w:val="24"/>
          <w:szCs w:val="24"/>
          <w:lang w:val="en-GB"/>
        </w:rPr>
        <w:t>UGX</w:t>
      </w:r>
      <w:r w:rsidR="00B42CCE" w:rsidRPr="004F536D">
        <w:rPr>
          <w:rFonts w:ascii="Times New Roman" w:hAnsi="Times New Roman"/>
          <w:sz w:val="24"/>
          <w:szCs w:val="24"/>
          <w:lang w:val="en-GB"/>
        </w:rPr>
        <w:t xml:space="preserve"> 71,146,500/= being money </w:t>
      </w:r>
      <w:r w:rsidR="007A3F7F" w:rsidRPr="004F536D">
        <w:rPr>
          <w:rFonts w:ascii="Times New Roman" w:hAnsi="Times New Roman"/>
          <w:sz w:val="24"/>
          <w:szCs w:val="24"/>
          <w:lang w:val="en-GB"/>
        </w:rPr>
        <w:t xml:space="preserve">had </w:t>
      </w:r>
      <w:r w:rsidR="00B42CCE" w:rsidRPr="004F536D">
        <w:rPr>
          <w:rFonts w:ascii="Times New Roman" w:hAnsi="Times New Roman"/>
          <w:sz w:val="24"/>
          <w:szCs w:val="24"/>
          <w:lang w:val="en-GB"/>
        </w:rPr>
        <w:t xml:space="preserve">and received arising from a failed land transaction </w:t>
      </w:r>
      <w:r w:rsidR="003E052E" w:rsidRPr="004F536D">
        <w:rPr>
          <w:rFonts w:ascii="Times New Roman" w:hAnsi="Times New Roman"/>
          <w:sz w:val="24"/>
          <w:szCs w:val="24"/>
          <w:lang w:val="en-GB"/>
        </w:rPr>
        <w:t>to purchase land comprised in</w:t>
      </w:r>
      <w:r w:rsidR="009F0A48" w:rsidRPr="004F536D">
        <w:rPr>
          <w:rFonts w:ascii="Times New Roman" w:hAnsi="Times New Roman"/>
          <w:sz w:val="24"/>
          <w:szCs w:val="24"/>
          <w:lang w:val="en-GB"/>
        </w:rPr>
        <w:t xml:space="preserve"> Block 498, Plot 9 and 10,</w:t>
      </w:r>
      <w:r w:rsidR="0009282B" w:rsidRPr="004F536D">
        <w:rPr>
          <w:rFonts w:ascii="Times New Roman" w:hAnsi="Times New Roman"/>
          <w:sz w:val="24"/>
          <w:szCs w:val="24"/>
          <w:lang w:val="en-GB"/>
        </w:rPr>
        <w:t xml:space="preserve"> Freehold Register Volume 1264 Folio 7</w:t>
      </w:r>
      <w:r w:rsidR="009F0A48" w:rsidRPr="004F536D">
        <w:rPr>
          <w:rFonts w:ascii="Times New Roman" w:hAnsi="Times New Roman"/>
          <w:sz w:val="24"/>
          <w:szCs w:val="24"/>
          <w:lang w:val="en-GB"/>
        </w:rPr>
        <w:t xml:space="preserve"> Land at Kisalizi, Ssingo county, Mubende district</w:t>
      </w:r>
      <w:r w:rsidR="0009282B" w:rsidRPr="004F536D">
        <w:rPr>
          <w:rFonts w:ascii="Times New Roman" w:hAnsi="Times New Roman"/>
          <w:sz w:val="24"/>
          <w:szCs w:val="24"/>
          <w:lang w:val="en-GB"/>
        </w:rPr>
        <w:t xml:space="preserve"> measuring 47.431 hectares</w:t>
      </w:r>
      <w:r w:rsidR="00D15789" w:rsidRPr="004F536D">
        <w:rPr>
          <w:rFonts w:ascii="Times New Roman" w:hAnsi="Times New Roman"/>
          <w:sz w:val="24"/>
          <w:szCs w:val="24"/>
          <w:lang w:val="en-GB"/>
        </w:rPr>
        <w:t>.</w:t>
      </w:r>
    </w:p>
    <w:p w:rsidR="00204323" w:rsidRPr="004F536D" w:rsidRDefault="00D15789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The defendants were duly served with summons and therefore the allegations that the 2</w:t>
      </w:r>
      <w:r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and 3</w:t>
      </w:r>
      <w:r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applicants were not served</w:t>
      </w:r>
      <w:r w:rsidR="00204323" w:rsidRPr="004F536D">
        <w:rPr>
          <w:rFonts w:ascii="Times New Roman" w:hAnsi="Times New Roman"/>
          <w:sz w:val="24"/>
          <w:szCs w:val="24"/>
          <w:lang w:val="en-GB"/>
        </w:rPr>
        <w:t xml:space="preserve"> is hearsay.</w:t>
      </w:r>
    </w:p>
    <w:p w:rsidR="009F0A48" w:rsidRPr="004F536D" w:rsidRDefault="001C68E2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The said applicants/defendants</w:t>
      </w:r>
      <w:r w:rsidR="004B366F" w:rsidRPr="004F536D">
        <w:rPr>
          <w:rFonts w:ascii="Times New Roman" w:hAnsi="Times New Roman"/>
          <w:sz w:val="24"/>
          <w:szCs w:val="24"/>
          <w:lang w:val="en-GB"/>
        </w:rPr>
        <w:t xml:space="preserve"> made no attempt to defend the suit despite being served</w:t>
      </w:r>
      <w:r w:rsidR="009B7584" w:rsidRPr="004F536D">
        <w:rPr>
          <w:rFonts w:ascii="Times New Roman" w:hAnsi="Times New Roman"/>
          <w:sz w:val="24"/>
          <w:szCs w:val="24"/>
          <w:lang w:val="en-GB"/>
        </w:rPr>
        <w:t xml:space="preserve"> with summons and a default judgement was entered by the </w:t>
      </w:r>
      <w:r w:rsidR="00092F0F" w:rsidRPr="004F536D">
        <w:rPr>
          <w:rFonts w:ascii="Times New Roman" w:hAnsi="Times New Roman"/>
          <w:sz w:val="24"/>
          <w:szCs w:val="24"/>
          <w:lang w:val="en-GB"/>
        </w:rPr>
        <w:t>Honourable</w:t>
      </w:r>
      <w:r w:rsidR="009B7584" w:rsidRPr="004F536D">
        <w:rPr>
          <w:rFonts w:ascii="Times New Roman" w:hAnsi="Times New Roman"/>
          <w:sz w:val="24"/>
          <w:szCs w:val="24"/>
          <w:lang w:val="en-GB"/>
        </w:rPr>
        <w:t xml:space="preserve"> Court on the 8</w:t>
      </w:r>
      <w:r w:rsidR="009B7584"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9B7584" w:rsidRPr="004F536D">
        <w:rPr>
          <w:rFonts w:ascii="Times New Roman" w:hAnsi="Times New Roman"/>
          <w:sz w:val="24"/>
          <w:szCs w:val="24"/>
          <w:lang w:val="en-GB"/>
        </w:rPr>
        <w:t xml:space="preserve"> day of </w:t>
      </w:r>
      <w:r w:rsidR="00092F0F" w:rsidRPr="004F536D">
        <w:rPr>
          <w:rFonts w:ascii="Times New Roman" w:hAnsi="Times New Roman"/>
          <w:sz w:val="24"/>
          <w:szCs w:val="24"/>
          <w:lang w:val="en-GB"/>
        </w:rPr>
        <w:t>September 2014.</w:t>
      </w:r>
      <w:r w:rsidR="0009282B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092F0F" w:rsidRPr="004F536D" w:rsidRDefault="00FC2F68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lastRenderedPageBreak/>
        <w:t xml:space="preserve">By decree of the High Court, the applicants/ defendants were ordered to pay the sum of </w:t>
      </w:r>
      <w:r w:rsidR="00DC7D19" w:rsidRPr="004F536D">
        <w:rPr>
          <w:rFonts w:ascii="Times New Roman" w:hAnsi="Times New Roman"/>
          <w:sz w:val="24"/>
          <w:szCs w:val="24"/>
          <w:lang w:val="en-GB"/>
        </w:rPr>
        <w:t>UGX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F26F2" w:rsidRPr="004F536D">
        <w:rPr>
          <w:rFonts w:ascii="Times New Roman" w:hAnsi="Times New Roman"/>
          <w:sz w:val="24"/>
          <w:szCs w:val="24"/>
          <w:lang w:val="en-GB"/>
        </w:rPr>
        <w:t>71,146,500/= plus the costs of the suit of 6,368,147/= bringing the total amount payable by the defendants U</w:t>
      </w:r>
      <w:r w:rsidR="00DC7D19" w:rsidRPr="004F536D">
        <w:rPr>
          <w:rFonts w:ascii="Times New Roman" w:hAnsi="Times New Roman"/>
          <w:sz w:val="24"/>
          <w:szCs w:val="24"/>
          <w:lang w:val="en-GB"/>
        </w:rPr>
        <w:t>GX</w:t>
      </w:r>
      <w:r w:rsidR="00DF26F2" w:rsidRPr="004F536D">
        <w:rPr>
          <w:rFonts w:ascii="Times New Roman" w:hAnsi="Times New Roman"/>
          <w:sz w:val="24"/>
          <w:szCs w:val="24"/>
          <w:lang w:val="en-GB"/>
        </w:rPr>
        <w:t xml:space="preserve"> 77,514,647/=.</w:t>
      </w:r>
    </w:p>
    <w:p w:rsidR="00BF1C59" w:rsidRPr="004F536D" w:rsidRDefault="004A7D8F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The execution proceedings were commenced to recover the decretal sum, whereupon the defendants/ applicants and the respondent entered</w:t>
      </w:r>
      <w:r w:rsidR="00FE02E7" w:rsidRPr="004F536D">
        <w:rPr>
          <w:rFonts w:ascii="Times New Roman" w:hAnsi="Times New Roman"/>
          <w:sz w:val="24"/>
          <w:szCs w:val="24"/>
          <w:lang w:val="en-GB"/>
        </w:rPr>
        <w:t xml:space="preserve"> into a consent settlement </w:t>
      </w:r>
      <w:r w:rsidR="005C3C1A" w:rsidRPr="004F536D">
        <w:rPr>
          <w:rFonts w:ascii="Times New Roman" w:hAnsi="Times New Roman"/>
          <w:sz w:val="24"/>
          <w:szCs w:val="24"/>
          <w:lang w:val="en-GB"/>
        </w:rPr>
        <w:t>dated 10-10-2014 to pay the decretal amount in instalments</w:t>
      </w:r>
      <w:r w:rsidR="00BF1C59" w:rsidRPr="004F536D">
        <w:rPr>
          <w:rFonts w:ascii="Times New Roman" w:hAnsi="Times New Roman"/>
          <w:sz w:val="24"/>
          <w:szCs w:val="24"/>
          <w:lang w:val="en-GB"/>
        </w:rPr>
        <w:t>.</w:t>
      </w:r>
    </w:p>
    <w:p w:rsidR="006D19E1" w:rsidRPr="004F536D" w:rsidRDefault="00FC5680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applicants executed the consent </w:t>
      </w:r>
      <w:r w:rsidR="00E479AC" w:rsidRPr="004F536D">
        <w:rPr>
          <w:rFonts w:ascii="Times New Roman" w:hAnsi="Times New Roman"/>
          <w:sz w:val="24"/>
          <w:szCs w:val="24"/>
          <w:lang w:val="en-GB"/>
        </w:rPr>
        <w:t xml:space="preserve">settlement on their </w:t>
      </w:r>
      <w:r w:rsidR="00B86216" w:rsidRPr="004F536D">
        <w:rPr>
          <w:rFonts w:ascii="Times New Roman" w:hAnsi="Times New Roman"/>
          <w:sz w:val="24"/>
          <w:szCs w:val="24"/>
          <w:lang w:val="en-GB"/>
        </w:rPr>
        <w:t xml:space="preserve">own </w:t>
      </w:r>
      <w:r w:rsidR="00E479AC" w:rsidRPr="004F536D">
        <w:rPr>
          <w:rFonts w:ascii="Times New Roman" w:hAnsi="Times New Roman"/>
          <w:sz w:val="24"/>
          <w:szCs w:val="24"/>
          <w:lang w:val="en-GB"/>
        </w:rPr>
        <w:t xml:space="preserve">volition and free will, without </w:t>
      </w:r>
      <w:r w:rsidR="000349AF" w:rsidRPr="004F536D">
        <w:rPr>
          <w:rFonts w:ascii="Times New Roman" w:hAnsi="Times New Roman"/>
          <w:sz w:val="24"/>
          <w:szCs w:val="24"/>
          <w:lang w:val="en-GB"/>
        </w:rPr>
        <w:t xml:space="preserve">duress or coercion whatsoever </w:t>
      </w:r>
      <w:r w:rsidR="00423911" w:rsidRPr="004F536D">
        <w:rPr>
          <w:rFonts w:ascii="Times New Roman" w:hAnsi="Times New Roman"/>
          <w:sz w:val="24"/>
          <w:szCs w:val="24"/>
          <w:lang w:val="en-GB"/>
        </w:rPr>
        <w:t>and in the presence of their lawyer Tyaba M. Isaac</w:t>
      </w:r>
      <w:r w:rsidR="006D19E1" w:rsidRPr="004F536D">
        <w:rPr>
          <w:rFonts w:ascii="Times New Roman" w:hAnsi="Times New Roman"/>
          <w:sz w:val="24"/>
          <w:szCs w:val="24"/>
          <w:lang w:val="en-GB"/>
        </w:rPr>
        <w:t>.</w:t>
      </w:r>
    </w:p>
    <w:p w:rsidR="0036013A" w:rsidRPr="004F536D" w:rsidRDefault="006D19E1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All the three applicants even provided guarantors to personally guarantee </w:t>
      </w:r>
      <w:r w:rsidR="006A0606" w:rsidRPr="004F536D">
        <w:rPr>
          <w:rFonts w:ascii="Times New Roman" w:hAnsi="Times New Roman"/>
          <w:sz w:val="24"/>
          <w:szCs w:val="24"/>
          <w:lang w:val="en-GB"/>
        </w:rPr>
        <w:t>fulfilment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of their obligations under the consent</w:t>
      </w:r>
      <w:r w:rsidR="00E479AC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6300" w:rsidRPr="004F536D">
        <w:rPr>
          <w:rFonts w:ascii="Times New Roman" w:hAnsi="Times New Roman"/>
          <w:sz w:val="24"/>
          <w:szCs w:val="24"/>
          <w:lang w:val="en-GB"/>
        </w:rPr>
        <w:t>settlement, to wit</w:t>
      </w:r>
      <w:r w:rsidR="00F56C9A" w:rsidRPr="004F536D">
        <w:rPr>
          <w:rFonts w:ascii="Times New Roman" w:hAnsi="Times New Roman"/>
          <w:sz w:val="24"/>
          <w:szCs w:val="24"/>
          <w:lang w:val="en-GB"/>
        </w:rPr>
        <w:t>, Emmanuel Ssempala</w:t>
      </w:r>
      <w:r w:rsidR="00436AA2" w:rsidRPr="004F536D">
        <w:rPr>
          <w:rFonts w:ascii="Times New Roman" w:hAnsi="Times New Roman"/>
          <w:sz w:val="24"/>
          <w:szCs w:val="24"/>
          <w:lang w:val="en-GB"/>
        </w:rPr>
        <w:t>, Charles Kijjambu and Stanley Kinene, all of whom signed the settlement as guarantors.</w:t>
      </w:r>
    </w:p>
    <w:p w:rsidR="0036013A" w:rsidRPr="004F536D" w:rsidRDefault="0047207B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duly executed consent was filed in </w:t>
      </w:r>
      <w:r w:rsidR="00884711" w:rsidRPr="004F536D">
        <w:rPr>
          <w:rFonts w:ascii="Times New Roman" w:hAnsi="Times New Roman"/>
          <w:sz w:val="24"/>
          <w:szCs w:val="24"/>
          <w:lang w:val="en-GB"/>
        </w:rPr>
        <w:t>c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ourt and signed by the Registrar </w:t>
      </w:r>
      <w:r w:rsidR="00022E2B" w:rsidRPr="004F536D">
        <w:rPr>
          <w:rFonts w:ascii="Times New Roman" w:hAnsi="Times New Roman"/>
          <w:sz w:val="24"/>
          <w:szCs w:val="24"/>
          <w:lang w:val="en-GB"/>
        </w:rPr>
        <w:t>who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appended the seal of the </w:t>
      </w:r>
      <w:r w:rsidR="00D27D5A" w:rsidRPr="004F536D">
        <w:rPr>
          <w:rFonts w:ascii="Times New Roman" w:hAnsi="Times New Roman"/>
          <w:sz w:val="24"/>
          <w:szCs w:val="24"/>
          <w:lang w:val="en-GB"/>
        </w:rPr>
        <w:t>c</w:t>
      </w:r>
      <w:r w:rsidRPr="004F536D">
        <w:rPr>
          <w:rFonts w:ascii="Times New Roman" w:hAnsi="Times New Roman"/>
          <w:sz w:val="24"/>
          <w:szCs w:val="24"/>
          <w:lang w:val="en-GB"/>
        </w:rPr>
        <w:t>ourt</w:t>
      </w:r>
      <w:r w:rsidR="00C75B08" w:rsidRPr="004F536D">
        <w:rPr>
          <w:rFonts w:ascii="Times New Roman" w:hAnsi="Times New Roman"/>
          <w:sz w:val="24"/>
          <w:szCs w:val="24"/>
          <w:lang w:val="en-GB"/>
        </w:rPr>
        <w:t>.</w:t>
      </w:r>
    </w:p>
    <w:p w:rsidR="00C75B08" w:rsidRPr="004F536D" w:rsidRDefault="00C75B08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After the execution of the consent the applicants partly satisfied the terms of the settlement </w:t>
      </w:r>
      <w:r w:rsidR="00E03325" w:rsidRPr="004F536D">
        <w:rPr>
          <w:rFonts w:ascii="Times New Roman" w:hAnsi="Times New Roman"/>
          <w:sz w:val="24"/>
          <w:szCs w:val="24"/>
          <w:lang w:val="en-GB"/>
        </w:rPr>
        <w:t xml:space="preserve">and made payments </w:t>
      </w:r>
      <w:r w:rsidR="004D4A83" w:rsidRPr="004F536D">
        <w:rPr>
          <w:rFonts w:ascii="Times New Roman" w:hAnsi="Times New Roman"/>
          <w:sz w:val="24"/>
          <w:szCs w:val="24"/>
          <w:lang w:val="en-GB"/>
        </w:rPr>
        <w:t>towards satisfaction of the decree but later</w:t>
      </w:r>
      <w:r w:rsidR="000F688E" w:rsidRPr="004F536D">
        <w:rPr>
          <w:rFonts w:ascii="Times New Roman" w:hAnsi="Times New Roman"/>
          <w:sz w:val="24"/>
          <w:szCs w:val="24"/>
          <w:lang w:val="en-GB"/>
        </w:rPr>
        <w:t xml:space="preserve"> defaulted on a</w:t>
      </w:r>
      <w:r w:rsidR="004D4A83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B6F5F" w:rsidRPr="004F536D">
        <w:rPr>
          <w:rFonts w:ascii="Times New Roman" w:hAnsi="Times New Roman"/>
          <w:sz w:val="24"/>
          <w:szCs w:val="24"/>
          <w:lang w:val="en-GB"/>
        </w:rPr>
        <w:t xml:space="preserve">balance of </w:t>
      </w:r>
      <w:r w:rsidR="001A53D9" w:rsidRPr="004F536D">
        <w:rPr>
          <w:rFonts w:ascii="Times New Roman" w:hAnsi="Times New Roman"/>
          <w:sz w:val="24"/>
          <w:szCs w:val="24"/>
          <w:lang w:val="en-GB"/>
        </w:rPr>
        <w:t>U</w:t>
      </w:r>
      <w:r w:rsidR="00CC7869" w:rsidRPr="004F536D">
        <w:rPr>
          <w:rFonts w:ascii="Times New Roman" w:hAnsi="Times New Roman"/>
          <w:sz w:val="24"/>
          <w:szCs w:val="24"/>
          <w:lang w:val="en-GB"/>
        </w:rPr>
        <w:t>GX</w:t>
      </w:r>
      <w:r w:rsidR="001A53D9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5465F" w:rsidRPr="004F536D">
        <w:rPr>
          <w:rFonts w:ascii="Times New Roman" w:hAnsi="Times New Roman"/>
          <w:sz w:val="24"/>
          <w:szCs w:val="24"/>
          <w:lang w:val="en-GB"/>
        </w:rPr>
        <w:t>43,139,647/=</w:t>
      </w:r>
      <w:r w:rsidR="000F688E" w:rsidRPr="004F536D">
        <w:rPr>
          <w:rFonts w:ascii="Times New Roman" w:hAnsi="Times New Roman"/>
          <w:sz w:val="24"/>
          <w:szCs w:val="24"/>
          <w:lang w:val="en-GB"/>
        </w:rPr>
        <w:t xml:space="preserve"> which was due by 31-1-2015</w:t>
      </w:r>
      <w:r w:rsidR="0055465F" w:rsidRPr="004F536D">
        <w:rPr>
          <w:rFonts w:ascii="Times New Roman" w:hAnsi="Times New Roman"/>
          <w:sz w:val="24"/>
          <w:szCs w:val="24"/>
          <w:lang w:val="en-GB"/>
        </w:rPr>
        <w:t>.</w:t>
      </w:r>
    </w:p>
    <w:p w:rsidR="00F22E62" w:rsidRPr="004F536D" w:rsidRDefault="00D95638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applicants are seeking to move </w:t>
      </w:r>
      <w:r w:rsidR="002D607A" w:rsidRPr="004F536D">
        <w:rPr>
          <w:rFonts w:ascii="Times New Roman" w:hAnsi="Times New Roman"/>
          <w:sz w:val="24"/>
          <w:szCs w:val="24"/>
          <w:lang w:val="en-GB"/>
        </w:rPr>
        <w:t>c</w:t>
      </w:r>
      <w:r w:rsidRPr="004F536D">
        <w:rPr>
          <w:rFonts w:ascii="Times New Roman" w:hAnsi="Times New Roman"/>
          <w:sz w:val="24"/>
          <w:szCs w:val="24"/>
          <w:lang w:val="en-GB"/>
        </w:rPr>
        <w:t>ourt to set aside the decree passed vide Civil Suit No.</w:t>
      </w:r>
      <w:r w:rsidR="00FE52C3" w:rsidRPr="004F536D">
        <w:rPr>
          <w:rFonts w:ascii="Times New Roman" w:hAnsi="Times New Roman"/>
          <w:sz w:val="24"/>
          <w:szCs w:val="24"/>
          <w:lang w:val="en-GB"/>
        </w:rPr>
        <w:t xml:space="preserve"> 542</w:t>
      </w:r>
      <w:r w:rsidR="000C7D93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E7DF0" w:rsidRPr="004F536D">
        <w:rPr>
          <w:rFonts w:ascii="Times New Roman" w:hAnsi="Times New Roman"/>
          <w:sz w:val="24"/>
          <w:szCs w:val="24"/>
          <w:lang w:val="en-GB"/>
        </w:rPr>
        <w:t xml:space="preserve">of 2014 because they fraudulently sold land which had </w:t>
      </w:r>
      <w:r w:rsidR="0067014A" w:rsidRPr="004F536D">
        <w:rPr>
          <w:rFonts w:ascii="Times New Roman" w:hAnsi="Times New Roman"/>
          <w:sz w:val="24"/>
          <w:szCs w:val="24"/>
          <w:lang w:val="en-GB"/>
        </w:rPr>
        <w:t>e</w:t>
      </w:r>
      <w:r w:rsidR="003E7DF0" w:rsidRPr="004F536D">
        <w:rPr>
          <w:rFonts w:ascii="Times New Roman" w:hAnsi="Times New Roman"/>
          <w:sz w:val="24"/>
          <w:szCs w:val="24"/>
          <w:lang w:val="en-GB"/>
        </w:rPr>
        <w:t xml:space="preserve">ncumbrances </w:t>
      </w:r>
      <w:r w:rsidR="00A951B2" w:rsidRPr="004F536D">
        <w:rPr>
          <w:rFonts w:ascii="Times New Roman" w:hAnsi="Times New Roman"/>
          <w:sz w:val="24"/>
          <w:szCs w:val="24"/>
          <w:lang w:val="en-GB"/>
        </w:rPr>
        <w:t xml:space="preserve">and failed or refused to refund the purchase price in breach of </w:t>
      </w:r>
      <w:r w:rsidR="006B449B" w:rsidRPr="004F536D">
        <w:rPr>
          <w:rFonts w:ascii="Times New Roman" w:hAnsi="Times New Roman"/>
          <w:sz w:val="24"/>
          <w:szCs w:val="24"/>
          <w:lang w:val="en-GB"/>
        </w:rPr>
        <w:t>the terms of the sale agreement.</w:t>
      </w:r>
      <w:r w:rsidR="00FB1CDC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B449B" w:rsidRPr="004F536D" w:rsidRDefault="006B449B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application </w:t>
      </w:r>
      <w:r w:rsidR="00022E2B" w:rsidRPr="004F536D">
        <w:rPr>
          <w:rFonts w:ascii="Times New Roman" w:hAnsi="Times New Roman"/>
          <w:sz w:val="24"/>
          <w:szCs w:val="24"/>
          <w:lang w:val="en-GB"/>
        </w:rPr>
        <w:t>is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calculated to </w:t>
      </w:r>
      <w:r w:rsidR="00DA38E4" w:rsidRPr="004F536D">
        <w:rPr>
          <w:rFonts w:ascii="Times New Roman" w:hAnsi="Times New Roman"/>
          <w:sz w:val="24"/>
          <w:szCs w:val="24"/>
          <w:lang w:val="en-GB"/>
        </w:rPr>
        <w:t xml:space="preserve">delay the course of justice by avoiding full satisfaction of the decree of </w:t>
      </w:r>
      <w:r w:rsidR="0076303F" w:rsidRPr="004F536D">
        <w:rPr>
          <w:rFonts w:ascii="Times New Roman" w:hAnsi="Times New Roman"/>
          <w:sz w:val="24"/>
          <w:szCs w:val="24"/>
          <w:lang w:val="en-GB"/>
        </w:rPr>
        <w:t>c</w:t>
      </w:r>
      <w:r w:rsidR="00DA38E4" w:rsidRPr="004F536D">
        <w:rPr>
          <w:rFonts w:ascii="Times New Roman" w:hAnsi="Times New Roman"/>
          <w:sz w:val="24"/>
          <w:szCs w:val="24"/>
          <w:lang w:val="en-GB"/>
        </w:rPr>
        <w:t>ourt.</w:t>
      </w:r>
    </w:p>
    <w:p w:rsidR="00BA4A03" w:rsidRPr="004F536D" w:rsidRDefault="00BA4A03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In rejoinder, Jane </w:t>
      </w:r>
      <w:r w:rsidR="0050563B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Nakawuki 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>deposed that;</w:t>
      </w:r>
    </w:p>
    <w:p w:rsidR="0050563B" w:rsidRPr="004F536D" w:rsidRDefault="00B003F2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She will aver and contend that the applicants were never served with summons </w:t>
      </w:r>
      <w:r w:rsidR="00910158" w:rsidRPr="004F536D">
        <w:rPr>
          <w:rFonts w:ascii="Times New Roman" w:eastAsia="Times New Roman" w:hAnsi="Times New Roman"/>
          <w:color w:val="000000"/>
          <w:sz w:val="24"/>
          <w:szCs w:val="24"/>
        </w:rPr>
        <w:t>in the original</w:t>
      </w:r>
      <w:r w:rsidR="00A42D6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suit.</w:t>
      </w:r>
    </w:p>
    <w:p w:rsidR="000A0915" w:rsidRPr="004F536D" w:rsidRDefault="00733254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An order of stay of execution of a decree in Civil Suit </w:t>
      </w:r>
      <w:r w:rsidR="00064934" w:rsidRPr="004F536D">
        <w:rPr>
          <w:rFonts w:ascii="Times New Roman" w:eastAsia="Times New Roman" w:hAnsi="Times New Roman"/>
          <w:color w:val="000000"/>
          <w:sz w:val="24"/>
          <w:szCs w:val="24"/>
        </w:rPr>
        <w:t>No. 542/2014 was granted to the applicant</w:t>
      </w:r>
      <w:r w:rsidR="00F90194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s by Hon. </w:t>
      </w:r>
      <w:r w:rsidR="00B30079" w:rsidRPr="004F536D">
        <w:rPr>
          <w:rFonts w:ascii="Times New Roman" w:eastAsia="Times New Roman" w:hAnsi="Times New Roman"/>
          <w:color w:val="000000"/>
          <w:sz w:val="24"/>
          <w:szCs w:val="24"/>
        </w:rPr>
        <w:t>Mr. Justice Owiny Dollo</w:t>
      </w:r>
      <w:r w:rsidR="00144B94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of the High Court vide </w:t>
      </w:r>
      <w:r w:rsidR="00EA27DC" w:rsidRPr="004F536D">
        <w:rPr>
          <w:rFonts w:ascii="Times New Roman" w:eastAsia="Times New Roman" w:hAnsi="Times New Roman"/>
          <w:color w:val="000000"/>
          <w:sz w:val="24"/>
          <w:szCs w:val="24"/>
        </w:rPr>
        <w:t>Misc App. No. 308</w:t>
      </w:r>
      <w:r w:rsidR="008E28D1" w:rsidRPr="004F536D">
        <w:rPr>
          <w:rFonts w:ascii="Times New Roman" w:eastAsia="Times New Roman" w:hAnsi="Times New Roman"/>
          <w:color w:val="000000"/>
          <w:sz w:val="24"/>
          <w:szCs w:val="24"/>
        </w:rPr>
        <w:t>/2015, on the 21</w:t>
      </w:r>
      <w:r w:rsidR="008E28D1" w:rsidRPr="004F536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st</w:t>
      </w:r>
      <w:r w:rsidR="008E28D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day of August 2015.</w:t>
      </w:r>
    </w:p>
    <w:p w:rsidR="00077C2A" w:rsidRPr="004F536D" w:rsidRDefault="000A0915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There are a number of triable issues raised by </w:t>
      </w:r>
      <w:r w:rsidR="009931BC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both parties which would require a fair and proper investigation by the </w:t>
      </w:r>
      <w:r w:rsidR="000F73BD" w:rsidRPr="004F536D"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="009931BC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onorable </w:t>
      </w:r>
      <w:r w:rsidR="000F73BD" w:rsidRPr="004F536D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9931BC" w:rsidRPr="004F536D">
        <w:rPr>
          <w:rFonts w:ascii="Times New Roman" w:eastAsia="Times New Roman" w:hAnsi="Times New Roman"/>
          <w:color w:val="000000"/>
          <w:sz w:val="24"/>
          <w:szCs w:val="24"/>
        </w:rPr>
        <w:t>ourt.</w:t>
      </w:r>
    </w:p>
    <w:p w:rsidR="008631D6" w:rsidRPr="004F536D" w:rsidRDefault="00077C2A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The instant application is brought in good faith on ground that service was </w:t>
      </w:r>
      <w:r w:rsidR="001811B6" w:rsidRPr="004F536D">
        <w:rPr>
          <w:rFonts w:ascii="Times New Roman" w:eastAsia="Times New Roman" w:hAnsi="Times New Roman"/>
          <w:color w:val="000000"/>
          <w:sz w:val="24"/>
          <w:szCs w:val="24"/>
        </w:rPr>
        <w:t>not effective.</w:t>
      </w:r>
    </w:p>
    <w:p w:rsidR="00DE79E4" w:rsidRPr="004F536D" w:rsidRDefault="008631D6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>It is just and equitable that the orders sought by the applicants in the instant application be granted.</w:t>
      </w:r>
    </w:p>
    <w:p w:rsidR="00564996" w:rsidRPr="004F536D" w:rsidRDefault="00564996" w:rsidP="00FB445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Applicants’ </w:t>
      </w:r>
      <w:r w:rsidR="00F41D22"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>Submissions</w:t>
      </w:r>
    </w:p>
    <w:p w:rsidR="00733254" w:rsidRPr="004F536D" w:rsidRDefault="00752119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>Counsel</w:t>
      </w:r>
      <w:r w:rsidR="00C15B7A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for the applicants s</w:t>
      </w:r>
      <w:r w:rsidR="00DE79E4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ubmitted that </w:t>
      </w:r>
      <w:r w:rsidR="00EF4133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under </w:t>
      </w:r>
      <w:r w:rsidR="00EF4133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Order 36 rule 11 </w:t>
      </w:r>
      <w:r w:rsidR="00EF4133" w:rsidRPr="004F536D">
        <w:rPr>
          <w:rFonts w:ascii="Times New Roman" w:eastAsia="Times New Roman" w:hAnsi="Times New Roman"/>
          <w:color w:val="000000"/>
          <w:sz w:val="24"/>
          <w:szCs w:val="24"/>
        </w:rPr>
        <w:t>of the</w:t>
      </w:r>
      <w:r w:rsidR="00EF4133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CPR</w:t>
      </w:r>
      <w:r w:rsidR="005A1949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the Court is seized with wide</w:t>
      </w:r>
      <w:r w:rsidR="00233842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di</w:t>
      </w:r>
      <w:r w:rsidR="00372316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scretionary powers to set aside the decree, </w:t>
      </w:r>
      <w:r w:rsidR="00872B1C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stay or set aside </w:t>
      </w:r>
      <w:r w:rsidR="00372316" w:rsidRPr="004F536D">
        <w:rPr>
          <w:rFonts w:ascii="Times New Roman" w:eastAsia="Times New Roman" w:hAnsi="Times New Roman"/>
          <w:color w:val="000000"/>
          <w:sz w:val="24"/>
          <w:szCs w:val="24"/>
        </w:rPr>
        <w:t>execution</w:t>
      </w:r>
      <w:r w:rsidR="00E94CDE" w:rsidRPr="004F536D">
        <w:rPr>
          <w:rFonts w:ascii="Times New Roman" w:eastAsia="Times New Roman" w:hAnsi="Times New Roman"/>
          <w:color w:val="000000"/>
          <w:sz w:val="24"/>
          <w:szCs w:val="24"/>
        </w:rPr>
        <w:t>, and give leave to the defendant to appear and defend the suit</w:t>
      </w:r>
      <w:r w:rsidR="00FA7FE8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if satisfied that the service of the summons was not effective, or for any other good cause.</w:t>
      </w:r>
      <w:r w:rsidR="007A3A86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Counsel </w:t>
      </w:r>
      <w:r w:rsidR="0046466B" w:rsidRPr="004F536D">
        <w:rPr>
          <w:rFonts w:ascii="Times New Roman" w:eastAsia="Times New Roman" w:hAnsi="Times New Roman"/>
          <w:color w:val="000000"/>
          <w:sz w:val="24"/>
          <w:szCs w:val="24"/>
        </w:rPr>
        <w:t>in addition</w:t>
      </w:r>
      <w:r w:rsidR="007A3A86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stated that </w:t>
      </w:r>
      <w:r w:rsidR="00F65B34" w:rsidRPr="004F536D">
        <w:rPr>
          <w:rFonts w:ascii="Times New Roman" w:eastAsia="Times New Roman" w:hAnsi="Times New Roman"/>
          <w:color w:val="000000"/>
          <w:sz w:val="24"/>
          <w:szCs w:val="24"/>
        </w:rPr>
        <w:t>the affidavit evidence</w:t>
      </w:r>
      <w:r w:rsidR="00F22765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in support of the application</w:t>
      </w:r>
      <w:r w:rsidR="00066E65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757D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avers </w:t>
      </w:r>
      <w:r w:rsidR="00066E65" w:rsidRPr="004F536D">
        <w:rPr>
          <w:rFonts w:ascii="Times New Roman" w:eastAsia="Times New Roman" w:hAnsi="Times New Roman"/>
          <w:color w:val="000000"/>
          <w:sz w:val="24"/>
          <w:szCs w:val="24"/>
        </w:rPr>
        <w:t>that service of summons was not effective</w:t>
      </w:r>
      <w:r w:rsidR="006A20AE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as the applicants were not served with the plaint nor</w:t>
      </w:r>
      <w:r w:rsidR="00DE676B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summons in the summary suit.</w:t>
      </w:r>
      <w:r w:rsidR="00E94CDE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4397F" w:rsidRPr="004F536D" w:rsidRDefault="00750FFD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Counsel </w:t>
      </w:r>
      <w:r w:rsidR="00BA0499" w:rsidRPr="004F536D">
        <w:rPr>
          <w:rFonts w:ascii="Times New Roman" w:eastAsia="Times New Roman" w:hAnsi="Times New Roman"/>
          <w:color w:val="000000"/>
          <w:sz w:val="24"/>
          <w:szCs w:val="24"/>
        </w:rPr>
        <w:t>relying</w:t>
      </w:r>
      <w:r w:rsidR="00AC7A83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A19D7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on </w:t>
      </w:r>
      <w:r w:rsidR="00AC7A83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the case of </w:t>
      </w:r>
      <w:r w:rsidR="00AC7A83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Maluku Interglobal Trade Agency Ltd </w:t>
      </w:r>
      <w:r w:rsidR="00743CC7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V</w:t>
      </w:r>
      <w:r w:rsidR="00AC7A83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s Bank </w:t>
      </w:r>
      <w:r w:rsidR="00D06AA5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of</w:t>
      </w:r>
      <w:r w:rsidR="00AC7A83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Uganda [1985</w:t>
      </w:r>
      <w:r w:rsidR="00D06AA5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] HCB 65</w:t>
      </w:r>
      <w:r w:rsidR="00D06AA5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B0AFD" w:rsidRPr="004F536D">
        <w:rPr>
          <w:rFonts w:ascii="Times New Roman" w:eastAsia="Times New Roman" w:hAnsi="Times New Roman"/>
          <w:color w:val="000000"/>
          <w:sz w:val="24"/>
          <w:szCs w:val="24"/>
        </w:rPr>
        <w:t>submitted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that the applicants have a triable issue</w:t>
      </w:r>
      <w:r w:rsidR="00E609CE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87E2C" w:rsidRPr="004F536D">
        <w:rPr>
          <w:rFonts w:ascii="Times New Roman" w:eastAsia="Times New Roman" w:hAnsi="Times New Roman"/>
          <w:color w:val="000000"/>
          <w:sz w:val="24"/>
          <w:szCs w:val="24"/>
        </w:rPr>
        <w:t>that they are the indefeasible registered proprietors</w:t>
      </w:r>
      <w:r w:rsidR="00CF7C5F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of </w:t>
      </w:r>
      <w:r w:rsidR="00CF7A62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the suit land which they yielded effective ownership </w:t>
      </w:r>
      <w:r w:rsidR="002A15EE" w:rsidRPr="004F536D">
        <w:rPr>
          <w:rFonts w:ascii="Times New Roman" w:eastAsia="Times New Roman" w:hAnsi="Times New Roman"/>
          <w:color w:val="000000"/>
          <w:sz w:val="24"/>
          <w:szCs w:val="24"/>
        </w:rPr>
        <w:t>and vacant possession to the respondent.</w:t>
      </w:r>
      <w:r w:rsidR="004855E6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4397F" w:rsidRPr="004F536D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="004855E6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conclusion, </w:t>
      </w:r>
      <w:r w:rsidR="00BA1DF3" w:rsidRPr="004F536D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4855E6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ounsel prayed that </w:t>
      </w:r>
      <w:r w:rsidR="00BA1DF3" w:rsidRPr="004F536D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4855E6" w:rsidRPr="004F536D">
        <w:rPr>
          <w:rFonts w:ascii="Times New Roman" w:eastAsia="Times New Roman" w:hAnsi="Times New Roman"/>
          <w:color w:val="000000"/>
          <w:sz w:val="24"/>
          <w:szCs w:val="24"/>
        </w:rPr>
        <w:t>ourt grants the orders sought</w:t>
      </w:r>
      <w:r w:rsidR="0074397F" w:rsidRPr="004F536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397F" w:rsidRPr="004F536D" w:rsidRDefault="0074397F" w:rsidP="00FB445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Respondent’s </w:t>
      </w:r>
      <w:r w:rsidR="00C124C3"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>Submissions</w:t>
      </w:r>
    </w:p>
    <w:p w:rsidR="00564996" w:rsidRPr="004F536D" w:rsidRDefault="0038529E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Counsel </w:t>
      </w:r>
      <w:r w:rsidR="0084163C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for the respondent </w:t>
      </w:r>
      <w:r w:rsidR="00A73D05" w:rsidRPr="004F536D">
        <w:rPr>
          <w:rFonts w:ascii="Times New Roman" w:eastAsia="Times New Roman" w:hAnsi="Times New Roman"/>
          <w:color w:val="000000"/>
          <w:sz w:val="24"/>
          <w:szCs w:val="24"/>
        </w:rPr>
        <w:t>in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his submissions </w:t>
      </w:r>
      <w:r w:rsidR="00B9249E" w:rsidRPr="004F536D">
        <w:rPr>
          <w:rFonts w:ascii="Times New Roman" w:eastAsia="Times New Roman" w:hAnsi="Times New Roman"/>
          <w:color w:val="000000"/>
          <w:sz w:val="24"/>
          <w:szCs w:val="24"/>
        </w:rPr>
        <w:t>raised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two issues </w:t>
      </w:r>
      <w:r w:rsidR="00D8040D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for determination 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>which were;</w:t>
      </w:r>
    </w:p>
    <w:p w:rsidR="0038529E" w:rsidRPr="004F536D" w:rsidRDefault="0038529E" w:rsidP="00FB44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>Whether the applicants are entitled to an order setting aside the decree passed against them on the 8</w:t>
      </w:r>
      <w:r w:rsidRPr="004F536D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th</w:t>
      </w:r>
      <w:r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day </w:t>
      </w:r>
      <w:r w:rsidR="00F219DD"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>of September 2014 and setting aside execution of the said decree</w:t>
      </w:r>
    </w:p>
    <w:p w:rsidR="00F219DD" w:rsidRPr="004F536D" w:rsidRDefault="00F219DD" w:rsidP="00FB445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>Whether the applicants are entitled to an order setting aside the consent judgment dated 10</w:t>
      </w:r>
      <w:r w:rsidRPr="004F536D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>th</w:t>
      </w:r>
      <w:r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October 2014</w:t>
      </w:r>
    </w:p>
    <w:p w:rsidR="00152D41" w:rsidRPr="004F536D" w:rsidRDefault="00152D41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lastRenderedPageBreak/>
        <w:t xml:space="preserve">Regarding the issue 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>whether the applicants are entitled to an order setting aside the decree passed against them on the 8</w:t>
      </w:r>
      <w:r w:rsidRPr="004F536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day of September 2014 and setting aside execution of the said decree</w:t>
      </w:r>
      <w:r w:rsidR="00E021EB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, Counsel submitted that </w:t>
      </w:r>
      <w:r w:rsidR="007602B9" w:rsidRPr="004F536D">
        <w:rPr>
          <w:rFonts w:ascii="Times New Roman" w:eastAsia="Times New Roman" w:hAnsi="Times New Roman"/>
          <w:color w:val="000000"/>
          <w:sz w:val="24"/>
          <w:szCs w:val="24"/>
        </w:rPr>
        <w:t>a summary suit was instituted against the applicants who did not make an effort to apply for leave to appear and defe</w:t>
      </w:r>
      <w:r w:rsidR="00A6239E" w:rsidRPr="004F536D">
        <w:rPr>
          <w:rFonts w:ascii="Times New Roman" w:eastAsia="Times New Roman" w:hAnsi="Times New Roman"/>
          <w:color w:val="000000"/>
          <w:sz w:val="24"/>
          <w:szCs w:val="24"/>
        </w:rPr>
        <w:t>nd. Counsel added that a default judgment was entered which the applicants now seek to set aside.</w:t>
      </w:r>
      <w:r w:rsidR="00D37ECB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Counsel argued however that the applicants on their own volition after execution proceedings commenced entered into a consent </w:t>
      </w:r>
      <w:r w:rsidR="00127966" w:rsidRPr="004F536D">
        <w:rPr>
          <w:rFonts w:ascii="Times New Roman" w:eastAsia="Times New Roman" w:hAnsi="Times New Roman"/>
          <w:color w:val="000000"/>
          <w:sz w:val="24"/>
          <w:szCs w:val="24"/>
        </w:rPr>
        <w:t>settlement on the 10</w:t>
      </w:r>
      <w:r w:rsidR="00127966" w:rsidRPr="004F536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127966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day of October 2014</w:t>
      </w:r>
      <w:r w:rsidR="00CA011B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after which the </w:t>
      </w:r>
      <w:r w:rsidR="00B57348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applicants </w:t>
      </w:r>
      <w:r w:rsidR="00CA011B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paid </w:t>
      </w:r>
      <w:r w:rsidR="00AD25FC" w:rsidRPr="004F536D">
        <w:rPr>
          <w:rFonts w:ascii="Times New Roman" w:eastAsia="Times New Roman" w:hAnsi="Times New Roman"/>
          <w:color w:val="000000"/>
          <w:sz w:val="24"/>
          <w:szCs w:val="24"/>
        </w:rPr>
        <w:t>UGX</w:t>
      </w:r>
      <w:r w:rsidR="00CA011B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41,131,853 in four </w:t>
      </w:r>
      <w:r w:rsidR="00B57348" w:rsidRPr="004F536D">
        <w:rPr>
          <w:rFonts w:ascii="Times New Roman" w:eastAsia="Times New Roman" w:hAnsi="Times New Roman"/>
          <w:color w:val="000000"/>
          <w:sz w:val="24"/>
          <w:szCs w:val="24"/>
        </w:rPr>
        <w:t>installments</w:t>
      </w:r>
      <w:r w:rsidR="00CA011B" w:rsidRPr="004F536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83780" w:rsidRPr="004F536D" w:rsidRDefault="00050A7B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Counsel also submitted that </w:t>
      </w:r>
      <w:r w:rsidR="006D78B9" w:rsidRPr="004F536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4F536D">
        <w:rPr>
          <w:rFonts w:ascii="Times New Roman" w:hAnsi="Times New Roman"/>
          <w:sz w:val="24"/>
          <w:szCs w:val="24"/>
          <w:lang w:val="en-GB"/>
        </w:rPr>
        <w:t>order that was granted to the applicants to stay the ex</w:t>
      </w:r>
      <w:r w:rsidR="00785905" w:rsidRPr="004F536D">
        <w:rPr>
          <w:rFonts w:ascii="Times New Roman" w:hAnsi="Times New Roman"/>
          <w:sz w:val="24"/>
          <w:szCs w:val="24"/>
          <w:lang w:val="en-GB"/>
        </w:rPr>
        <w:t xml:space="preserve">ecution was </w:t>
      </w:r>
      <w:r w:rsidR="00BE2FED" w:rsidRPr="004F536D">
        <w:rPr>
          <w:rFonts w:ascii="Times New Roman" w:hAnsi="Times New Roman"/>
          <w:sz w:val="24"/>
          <w:szCs w:val="24"/>
          <w:lang w:val="en-GB"/>
        </w:rPr>
        <w:t>only</w:t>
      </w:r>
      <w:r w:rsidR="00785905" w:rsidRPr="004F536D">
        <w:rPr>
          <w:rFonts w:ascii="Times New Roman" w:hAnsi="Times New Roman"/>
          <w:sz w:val="24"/>
          <w:szCs w:val="24"/>
          <w:lang w:val="en-GB"/>
        </w:rPr>
        <w:t xml:space="preserve"> granted pending the hearing</w:t>
      </w:r>
      <w:r w:rsidR="00203A02" w:rsidRPr="004F536D">
        <w:rPr>
          <w:rFonts w:ascii="Times New Roman" w:hAnsi="Times New Roman"/>
          <w:sz w:val="24"/>
          <w:szCs w:val="24"/>
          <w:lang w:val="en-GB"/>
        </w:rPr>
        <w:t xml:space="preserve"> and disposal</w:t>
      </w:r>
      <w:r w:rsidR="00785905" w:rsidRPr="004F536D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="00203A02" w:rsidRPr="004F536D">
        <w:rPr>
          <w:rFonts w:ascii="Times New Roman" w:hAnsi="Times New Roman"/>
          <w:sz w:val="24"/>
          <w:szCs w:val="24"/>
          <w:lang w:val="en-GB"/>
        </w:rPr>
        <w:t xml:space="preserve">Misc. </w:t>
      </w:r>
      <w:r w:rsidR="007D5BDC" w:rsidRPr="004F536D">
        <w:rPr>
          <w:rFonts w:ascii="Times New Roman" w:hAnsi="Times New Roman"/>
          <w:sz w:val="24"/>
          <w:szCs w:val="24"/>
          <w:lang w:val="en-GB"/>
        </w:rPr>
        <w:t>A</w:t>
      </w:r>
      <w:r w:rsidR="001E02EA" w:rsidRPr="004F536D">
        <w:rPr>
          <w:rFonts w:ascii="Times New Roman" w:hAnsi="Times New Roman"/>
          <w:sz w:val="24"/>
          <w:szCs w:val="24"/>
          <w:lang w:val="en-GB"/>
        </w:rPr>
        <w:t>pplication No.81/2015. Counsel</w:t>
      </w:r>
      <w:r w:rsidR="007D5BDC" w:rsidRPr="004F536D">
        <w:rPr>
          <w:rFonts w:ascii="Times New Roman" w:hAnsi="Times New Roman"/>
          <w:sz w:val="24"/>
          <w:szCs w:val="24"/>
          <w:lang w:val="en-GB"/>
        </w:rPr>
        <w:t xml:space="preserve"> argued that the</w:t>
      </w:r>
      <w:r w:rsidR="006C6796" w:rsidRPr="004F536D">
        <w:rPr>
          <w:rFonts w:ascii="Times New Roman" w:hAnsi="Times New Roman"/>
          <w:sz w:val="24"/>
          <w:szCs w:val="24"/>
          <w:lang w:val="en-GB"/>
        </w:rPr>
        <w:t xml:space="preserve"> applicants have no defence to the suit.</w:t>
      </w:r>
    </w:p>
    <w:p w:rsidR="00B80744" w:rsidRPr="004F536D" w:rsidRDefault="006331C4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Regarding</w:t>
      </w:r>
      <w:r w:rsidR="00183780" w:rsidRPr="004F536D">
        <w:rPr>
          <w:rFonts w:ascii="Times New Roman" w:hAnsi="Times New Roman"/>
          <w:sz w:val="24"/>
          <w:szCs w:val="24"/>
          <w:lang w:val="en-GB"/>
        </w:rPr>
        <w:t xml:space="preserve"> the issue </w:t>
      </w:r>
      <w:r w:rsidR="0009259B" w:rsidRPr="004F536D">
        <w:rPr>
          <w:rFonts w:ascii="Times New Roman" w:eastAsia="Times New Roman" w:hAnsi="Times New Roman"/>
          <w:color w:val="000000"/>
          <w:sz w:val="24"/>
          <w:szCs w:val="24"/>
        </w:rPr>
        <w:t>whether</w:t>
      </w:r>
      <w:r w:rsidR="00183780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the applicants are entitled to an order setting aside the consent judgment dated 10</w:t>
      </w:r>
      <w:r w:rsidR="00183780" w:rsidRPr="004F536D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th</w:t>
      </w:r>
      <w:r w:rsidR="00183780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October 2014</w:t>
      </w:r>
      <w:r w:rsidR="006F5BE5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C4EEB" w:rsidRPr="004F536D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6F5BE5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ounsel argued that </w:t>
      </w:r>
      <w:r w:rsidR="0036512A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consent </w:t>
      </w:r>
      <w:r w:rsidR="00DD0240" w:rsidRPr="004F536D">
        <w:rPr>
          <w:rFonts w:ascii="Times New Roman" w:eastAsia="Times New Roman" w:hAnsi="Times New Roman"/>
          <w:color w:val="000000"/>
          <w:sz w:val="24"/>
          <w:szCs w:val="24"/>
        </w:rPr>
        <w:t>judgments</w:t>
      </w:r>
      <w:r w:rsidR="0036512A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are treated as fresh </w:t>
      </w:r>
      <w:r w:rsidR="00DD0240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judgments and may only be interfered </w:t>
      </w:r>
      <w:r w:rsidR="00B27F59" w:rsidRPr="004F536D">
        <w:rPr>
          <w:rFonts w:ascii="Times New Roman" w:eastAsia="Times New Roman" w:hAnsi="Times New Roman"/>
          <w:color w:val="000000"/>
          <w:sz w:val="24"/>
          <w:szCs w:val="24"/>
        </w:rPr>
        <w:t>with on limited grounds such as illegality, fraud or mistake. Counsel argued that there is no single ground</w:t>
      </w:r>
      <w:r w:rsidR="00801085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on which the consent judgment can be interfered with by this Honorable Court.</w:t>
      </w:r>
      <w:r w:rsidR="00F6540F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Counsel relying on the case of </w:t>
      </w:r>
      <w:r w:rsidR="00C0281F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Brooke Bond Liebig (T) Ltd V</w:t>
      </w:r>
      <w:r w:rsidR="00F6540F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s Mallya</w:t>
      </w:r>
      <w:r w:rsidR="00856C21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856C2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cited in the </w:t>
      </w:r>
      <w:r w:rsidR="00EC2E18" w:rsidRPr="004F536D">
        <w:rPr>
          <w:rFonts w:ascii="Times New Roman" w:eastAsia="Times New Roman" w:hAnsi="Times New Roman"/>
          <w:color w:val="000000"/>
          <w:sz w:val="24"/>
          <w:szCs w:val="24"/>
        </w:rPr>
        <w:t>Supreme</w:t>
      </w:r>
      <w:r w:rsidR="00856C2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Court </w:t>
      </w:r>
      <w:r w:rsidR="00EC2E18" w:rsidRPr="004F536D">
        <w:rPr>
          <w:rFonts w:ascii="Times New Roman" w:eastAsia="Times New Roman" w:hAnsi="Times New Roman"/>
          <w:color w:val="000000"/>
          <w:sz w:val="24"/>
          <w:szCs w:val="24"/>
        </w:rPr>
        <w:t>decision</w:t>
      </w:r>
      <w:r w:rsidR="00856C2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of</w:t>
      </w:r>
      <w:r w:rsidR="00856C21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AG </w:t>
      </w:r>
      <w:r w:rsidR="00D52CD4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V</w:t>
      </w:r>
      <w:r w:rsidR="00856C21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s James Mark Kamoga &amp; Anor, Civil Appeal </w:t>
      </w:r>
      <w:r w:rsidR="00EC2E18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No.</w:t>
      </w:r>
      <w:r w:rsidR="00B8258C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EC2E18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8/2004</w:t>
      </w:r>
      <w:r w:rsidR="00EC2E18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stated that </w:t>
      </w:r>
      <w:r w:rsidR="009600FF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a consent decree is passed on terms of a new contract between the parties to the consent </w:t>
      </w:r>
      <w:r w:rsidR="00391C3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judgment. Counsel </w:t>
      </w:r>
      <w:r w:rsidR="00DE7A8D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prayed that this </w:t>
      </w:r>
      <w:r w:rsidR="008706AF" w:rsidRPr="004F536D"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E7A8D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ourt considers the consent </w:t>
      </w:r>
      <w:r w:rsidR="00515481" w:rsidRPr="004F536D">
        <w:rPr>
          <w:rFonts w:ascii="Times New Roman" w:eastAsia="Times New Roman" w:hAnsi="Times New Roman"/>
          <w:color w:val="000000"/>
          <w:sz w:val="24"/>
          <w:szCs w:val="24"/>
        </w:rPr>
        <w:t>judgment</w:t>
      </w:r>
      <w:r w:rsidR="00DE7A8D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as a new contract, the terms of which are binding</w:t>
      </w:r>
      <w:r w:rsidR="0051548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on all parties and the application be dismissed with costs</w:t>
      </w:r>
      <w:r w:rsidR="0015600F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to the respondent</w:t>
      </w:r>
      <w:r w:rsidR="00844AFB" w:rsidRPr="004F536D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1C7C1A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F5660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83780" w:rsidRPr="004F536D" w:rsidRDefault="00744066" w:rsidP="00FB445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Applicant’s </w:t>
      </w:r>
      <w:r w:rsidR="00B80744"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Submissions </w:t>
      </w:r>
      <w:r w:rsidR="00E66456"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>in Rejoinder</w:t>
      </w:r>
    </w:p>
    <w:p w:rsidR="00B80744" w:rsidRPr="004F536D" w:rsidRDefault="009D6BF6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Counsel </w:t>
      </w:r>
      <w:r w:rsidR="00FA06C2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submitted that the applicants entered </w:t>
      </w:r>
      <w:r w:rsidR="00E71F8D" w:rsidRPr="004F536D">
        <w:rPr>
          <w:rFonts w:ascii="Times New Roman" w:eastAsia="Times New Roman" w:hAnsi="Times New Roman"/>
          <w:color w:val="000000"/>
          <w:sz w:val="24"/>
          <w:szCs w:val="24"/>
        </w:rPr>
        <w:t>a consent</w:t>
      </w:r>
      <w:r w:rsidR="00FA06C2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with knowledge that a default judgment had been entered against them.</w:t>
      </w:r>
      <w:r w:rsidR="00732EFA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 Counsel further argued that he demurred that the affidavit evidence of the applicants </w:t>
      </w:r>
      <w:r w:rsidR="0073250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be construed unreliable according to </w:t>
      </w:r>
      <w:r w:rsidR="00732501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Order 19 rule 3(1) CPR</w:t>
      </w:r>
      <w:r w:rsidR="00582122"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582122" w:rsidRPr="004F536D">
        <w:rPr>
          <w:rFonts w:ascii="Times New Roman" w:eastAsia="Times New Roman" w:hAnsi="Times New Roman"/>
          <w:color w:val="000000"/>
          <w:sz w:val="24"/>
          <w:szCs w:val="24"/>
        </w:rPr>
        <w:t>as argued by Counsel for the respondent</w:t>
      </w:r>
      <w:r w:rsidR="00732501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F01945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In conclusion, Counsel reiterated the earlier prayers </w:t>
      </w:r>
      <w:r w:rsidR="000869EB" w:rsidRPr="004F536D">
        <w:rPr>
          <w:rFonts w:ascii="Times New Roman" w:eastAsia="Times New Roman" w:hAnsi="Times New Roman"/>
          <w:color w:val="000000"/>
          <w:sz w:val="24"/>
          <w:szCs w:val="24"/>
        </w:rPr>
        <w:t>for the orders sought in the instant application.</w:t>
      </w:r>
    </w:p>
    <w:p w:rsidR="001A644C" w:rsidRPr="004F536D" w:rsidRDefault="001A644C" w:rsidP="00FB445D">
      <w:pPr>
        <w:spacing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b/>
          <w:color w:val="000000"/>
          <w:sz w:val="24"/>
          <w:szCs w:val="24"/>
        </w:rPr>
        <w:t>Decision of Court</w:t>
      </w:r>
    </w:p>
    <w:p w:rsidR="00B80744" w:rsidRPr="004F536D" w:rsidRDefault="004135B2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I have carefully considered the application as well as affidavits </w:t>
      </w:r>
      <w:r w:rsidR="006903EA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by all parties 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and the submissions </w:t>
      </w:r>
      <w:r w:rsidR="00F21ABD" w:rsidRPr="004F536D">
        <w:rPr>
          <w:rFonts w:ascii="Times New Roman" w:eastAsia="Times New Roman" w:hAnsi="Times New Roman"/>
          <w:color w:val="000000"/>
          <w:sz w:val="24"/>
          <w:szCs w:val="24"/>
        </w:rPr>
        <w:t>of Counsel.</w:t>
      </w:r>
    </w:p>
    <w:p w:rsidR="00F21ABD" w:rsidRPr="004F536D" w:rsidRDefault="00F21ABD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The application has been made under </w:t>
      </w:r>
      <w:r w:rsidRPr="004F536D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Order 36 rule 11 of the Civil Procedure Rules </w:t>
      </w: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>which provides that;</w:t>
      </w:r>
    </w:p>
    <w:p w:rsidR="00F21ABD" w:rsidRPr="004F536D" w:rsidRDefault="005C40AE" w:rsidP="000C3259">
      <w:pPr>
        <w:spacing w:line="360" w:lineRule="auto"/>
        <w:ind w:left="216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>“After</w:t>
      </w:r>
      <w:r w:rsidR="003A02F9"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the decree the Court may, if satisfied that the service of summons was not effective, or for any other good cause, which shall be recorded, set aside</w:t>
      </w:r>
      <w:r w:rsidR="00E17349"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the decree, and if necessary stay or set aside execution, and may give leave to the defendant to appear to the summons and defend</w:t>
      </w:r>
      <w:r w:rsidRPr="004F536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the suit, if it seems reasonable to the Court to do so, and on such terms as the Court thinks fit.”</w:t>
      </w:r>
    </w:p>
    <w:p w:rsidR="007105B0" w:rsidRPr="004F536D" w:rsidRDefault="00440B86" w:rsidP="00FB445D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The provision allows </w:t>
      </w:r>
      <w:r w:rsidR="00D06AD3" w:rsidRPr="004F536D">
        <w:rPr>
          <w:rFonts w:ascii="Times New Roman" w:eastAsia="Times New Roman" w:hAnsi="Times New Roman"/>
          <w:color w:val="000000"/>
          <w:sz w:val="24"/>
          <w:szCs w:val="24"/>
        </w:rPr>
        <w:t xml:space="preserve">the Court to set aside the decree on the ground that the service of summons was not effective or any other good cause. </w:t>
      </w:r>
    </w:p>
    <w:p w:rsidR="00092F0F" w:rsidRPr="004F536D" w:rsidRDefault="00A40EC5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The facts as </w:t>
      </w:r>
      <w:r w:rsidR="003078B8" w:rsidRPr="004F536D">
        <w:rPr>
          <w:rFonts w:ascii="Times New Roman" w:hAnsi="Times New Roman"/>
          <w:sz w:val="24"/>
          <w:szCs w:val="24"/>
          <w:lang w:val="en-GB"/>
        </w:rPr>
        <w:t>set out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by the </w:t>
      </w:r>
      <w:r w:rsidR="00547666" w:rsidRPr="004F536D">
        <w:rPr>
          <w:rFonts w:ascii="Times New Roman" w:hAnsi="Times New Roman"/>
          <w:sz w:val="24"/>
          <w:szCs w:val="24"/>
          <w:lang w:val="en-GB"/>
        </w:rPr>
        <w:t>applicant</w:t>
      </w:r>
      <w:r w:rsidR="003C31F1" w:rsidRPr="004F536D">
        <w:rPr>
          <w:rFonts w:ascii="Times New Roman" w:hAnsi="Times New Roman"/>
          <w:sz w:val="24"/>
          <w:szCs w:val="24"/>
          <w:lang w:val="en-GB"/>
        </w:rPr>
        <w:t>s</w:t>
      </w:r>
      <w:r w:rsidR="00547666" w:rsidRPr="004F536D">
        <w:rPr>
          <w:rFonts w:ascii="Times New Roman" w:hAnsi="Times New Roman"/>
          <w:sz w:val="24"/>
          <w:szCs w:val="24"/>
          <w:lang w:val="en-GB"/>
        </w:rPr>
        <w:t xml:space="preserve"> are that they were not served with summons as alleged by the respondent. </w:t>
      </w:r>
      <w:r w:rsidR="00CD7D77" w:rsidRPr="004F536D">
        <w:rPr>
          <w:rFonts w:ascii="Times New Roman" w:hAnsi="Times New Roman"/>
          <w:sz w:val="24"/>
          <w:szCs w:val="24"/>
          <w:lang w:val="en-GB"/>
        </w:rPr>
        <w:t>I</w:t>
      </w:r>
      <w:r w:rsidR="00547666" w:rsidRPr="004F536D">
        <w:rPr>
          <w:rFonts w:ascii="Times New Roman" w:hAnsi="Times New Roman"/>
          <w:sz w:val="24"/>
          <w:szCs w:val="24"/>
          <w:lang w:val="en-GB"/>
        </w:rPr>
        <w:t xml:space="preserve">n the affidavit in support of the </w:t>
      </w:r>
      <w:r w:rsidR="006F5113" w:rsidRPr="004F536D">
        <w:rPr>
          <w:rFonts w:ascii="Times New Roman" w:hAnsi="Times New Roman"/>
          <w:sz w:val="24"/>
          <w:szCs w:val="24"/>
          <w:lang w:val="en-GB"/>
        </w:rPr>
        <w:t>N</w:t>
      </w:r>
      <w:r w:rsidR="00547666" w:rsidRPr="004F536D">
        <w:rPr>
          <w:rFonts w:ascii="Times New Roman" w:hAnsi="Times New Roman"/>
          <w:sz w:val="24"/>
          <w:szCs w:val="24"/>
          <w:lang w:val="en-GB"/>
        </w:rPr>
        <w:t xml:space="preserve">otice of </w:t>
      </w:r>
      <w:r w:rsidR="006F5113" w:rsidRPr="004F536D">
        <w:rPr>
          <w:rFonts w:ascii="Times New Roman" w:hAnsi="Times New Roman"/>
          <w:sz w:val="24"/>
          <w:szCs w:val="24"/>
          <w:lang w:val="en-GB"/>
        </w:rPr>
        <w:t>M</w:t>
      </w:r>
      <w:r w:rsidR="00547666" w:rsidRPr="004F536D">
        <w:rPr>
          <w:rFonts w:ascii="Times New Roman" w:hAnsi="Times New Roman"/>
          <w:sz w:val="24"/>
          <w:szCs w:val="24"/>
          <w:lang w:val="en-GB"/>
        </w:rPr>
        <w:t xml:space="preserve">otion, </w:t>
      </w:r>
      <w:r w:rsidR="0075627E" w:rsidRPr="004F536D">
        <w:rPr>
          <w:rFonts w:ascii="Times New Roman" w:hAnsi="Times New Roman"/>
          <w:sz w:val="24"/>
          <w:szCs w:val="24"/>
          <w:lang w:val="en-GB"/>
        </w:rPr>
        <w:t>the 1</w:t>
      </w:r>
      <w:r w:rsidR="0075627E"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75627E" w:rsidRPr="004F536D">
        <w:rPr>
          <w:rFonts w:ascii="Times New Roman" w:hAnsi="Times New Roman"/>
          <w:sz w:val="24"/>
          <w:szCs w:val="24"/>
          <w:lang w:val="en-GB"/>
        </w:rPr>
        <w:t xml:space="preserve"> respondent </w:t>
      </w:r>
      <w:r w:rsidR="00F4266E" w:rsidRPr="004F536D">
        <w:rPr>
          <w:rFonts w:ascii="Times New Roman" w:hAnsi="Times New Roman"/>
          <w:sz w:val="24"/>
          <w:szCs w:val="24"/>
          <w:lang w:val="en-GB"/>
        </w:rPr>
        <w:t>stated that:-</w:t>
      </w:r>
      <w:r w:rsidR="00AE1C42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E1C42" w:rsidRPr="004F536D" w:rsidRDefault="00C40D9C" w:rsidP="00F54231">
      <w:pPr>
        <w:spacing w:line="360" w:lineRule="auto"/>
        <w:ind w:left="21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F536D">
        <w:rPr>
          <w:rFonts w:ascii="Times New Roman" w:hAnsi="Times New Roman"/>
          <w:i/>
          <w:sz w:val="24"/>
          <w:szCs w:val="24"/>
          <w:lang w:val="en-GB"/>
        </w:rPr>
        <w:t>“THAT</w:t>
      </w:r>
      <w:r w:rsidR="00AE1C42" w:rsidRPr="004F536D">
        <w:rPr>
          <w:rFonts w:ascii="Times New Roman" w:hAnsi="Times New Roman"/>
          <w:i/>
          <w:sz w:val="24"/>
          <w:szCs w:val="24"/>
          <w:lang w:val="en-GB"/>
        </w:rPr>
        <w:t xml:space="preserve"> the Applicants severally learnt about the said suit after the 3</w:t>
      </w:r>
      <w:r w:rsidR="00AE1C42" w:rsidRPr="004F536D">
        <w:rPr>
          <w:rFonts w:ascii="Times New Roman" w:hAnsi="Times New Roman"/>
          <w:i/>
          <w:sz w:val="24"/>
          <w:szCs w:val="24"/>
          <w:vertAlign w:val="superscript"/>
          <w:lang w:val="en-GB"/>
        </w:rPr>
        <w:t>rd</w:t>
      </w:r>
      <w:r w:rsidR="00AE1C42" w:rsidRPr="004F536D">
        <w:rPr>
          <w:rFonts w:ascii="Times New Roman" w:hAnsi="Times New Roman"/>
          <w:i/>
          <w:sz w:val="24"/>
          <w:szCs w:val="24"/>
          <w:lang w:val="en-GB"/>
        </w:rPr>
        <w:t xml:space="preserve"> Applicant </w:t>
      </w:r>
      <w:r w:rsidR="00936DD4" w:rsidRPr="004F536D">
        <w:rPr>
          <w:rFonts w:ascii="Times New Roman" w:hAnsi="Times New Roman"/>
          <w:i/>
          <w:sz w:val="24"/>
          <w:szCs w:val="24"/>
          <w:lang w:val="en-GB"/>
        </w:rPr>
        <w:t xml:space="preserve">was arrested and committed to civil prison pursuant to Warrant of </w:t>
      </w:r>
      <w:r w:rsidR="00DA4B1A" w:rsidRPr="004F536D">
        <w:rPr>
          <w:rFonts w:ascii="Times New Roman" w:hAnsi="Times New Roman"/>
          <w:i/>
          <w:sz w:val="24"/>
          <w:szCs w:val="24"/>
          <w:lang w:val="en-GB"/>
        </w:rPr>
        <w:t>a</w:t>
      </w:r>
      <w:r w:rsidR="004B39AF" w:rsidRPr="004F536D">
        <w:rPr>
          <w:rFonts w:ascii="Times New Roman" w:hAnsi="Times New Roman"/>
          <w:i/>
          <w:sz w:val="24"/>
          <w:szCs w:val="24"/>
          <w:lang w:val="en-GB"/>
        </w:rPr>
        <w:t>rrest in e</w:t>
      </w:r>
      <w:r w:rsidR="00936DD4" w:rsidRPr="004F536D">
        <w:rPr>
          <w:rFonts w:ascii="Times New Roman" w:hAnsi="Times New Roman"/>
          <w:i/>
          <w:sz w:val="24"/>
          <w:szCs w:val="24"/>
          <w:lang w:val="en-GB"/>
        </w:rPr>
        <w:t xml:space="preserve">xecution issued </w:t>
      </w:r>
      <w:r w:rsidR="00FF1215" w:rsidRPr="004F536D">
        <w:rPr>
          <w:rFonts w:ascii="Times New Roman" w:hAnsi="Times New Roman"/>
          <w:i/>
          <w:sz w:val="24"/>
          <w:szCs w:val="24"/>
          <w:lang w:val="en-GB"/>
        </w:rPr>
        <w:t>against</w:t>
      </w:r>
      <w:r w:rsidR="00936DD4" w:rsidRPr="004F536D">
        <w:rPr>
          <w:rFonts w:ascii="Times New Roman" w:hAnsi="Times New Roman"/>
          <w:i/>
          <w:sz w:val="24"/>
          <w:szCs w:val="24"/>
          <w:lang w:val="en-GB"/>
        </w:rPr>
        <w:t xml:space="preserve"> us </w:t>
      </w:r>
      <w:r w:rsidR="00FF1215" w:rsidRPr="004F536D">
        <w:rPr>
          <w:rFonts w:ascii="Times New Roman" w:hAnsi="Times New Roman"/>
          <w:i/>
          <w:sz w:val="24"/>
          <w:szCs w:val="24"/>
          <w:lang w:val="en-GB"/>
        </w:rPr>
        <w:t xml:space="preserve">by the Execution and Bailiffs Division of this </w:t>
      </w:r>
      <w:r w:rsidR="00F113A9" w:rsidRPr="004F536D">
        <w:rPr>
          <w:rFonts w:ascii="Times New Roman" w:hAnsi="Times New Roman"/>
          <w:i/>
          <w:sz w:val="24"/>
          <w:szCs w:val="24"/>
          <w:lang w:val="en-GB"/>
        </w:rPr>
        <w:t>h</w:t>
      </w:r>
      <w:r w:rsidR="00FF1215" w:rsidRPr="004F536D">
        <w:rPr>
          <w:rFonts w:ascii="Times New Roman" w:hAnsi="Times New Roman"/>
          <w:i/>
          <w:sz w:val="24"/>
          <w:szCs w:val="24"/>
          <w:lang w:val="en-GB"/>
        </w:rPr>
        <w:t xml:space="preserve">onourable </w:t>
      </w:r>
      <w:r w:rsidR="00AB3063" w:rsidRPr="004F536D">
        <w:rPr>
          <w:rFonts w:ascii="Times New Roman" w:hAnsi="Times New Roman"/>
          <w:i/>
          <w:sz w:val="24"/>
          <w:szCs w:val="24"/>
          <w:lang w:val="en-GB"/>
        </w:rPr>
        <w:t>c</w:t>
      </w:r>
      <w:r w:rsidR="00FF1215" w:rsidRPr="004F536D">
        <w:rPr>
          <w:rFonts w:ascii="Times New Roman" w:hAnsi="Times New Roman"/>
          <w:i/>
          <w:sz w:val="24"/>
          <w:szCs w:val="24"/>
          <w:lang w:val="en-GB"/>
        </w:rPr>
        <w:t>ourt.</w:t>
      </w:r>
      <w:r w:rsidRPr="004F536D">
        <w:rPr>
          <w:rFonts w:ascii="Times New Roman" w:hAnsi="Times New Roman"/>
          <w:i/>
          <w:sz w:val="24"/>
          <w:szCs w:val="24"/>
          <w:lang w:val="en-GB"/>
        </w:rPr>
        <w:t>”</w:t>
      </w:r>
    </w:p>
    <w:p w:rsidR="00893A32" w:rsidRPr="004F536D" w:rsidRDefault="00C40D9C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Counsel for the respondent on the other hand submitted that the applicants were served but did not </w:t>
      </w:r>
      <w:r w:rsidR="00E90D16" w:rsidRPr="004F536D">
        <w:rPr>
          <w:rFonts w:ascii="Times New Roman" w:hAnsi="Times New Roman"/>
          <w:sz w:val="24"/>
          <w:szCs w:val="24"/>
          <w:lang w:val="en-GB"/>
        </w:rPr>
        <w:t>apply</w:t>
      </w:r>
      <w:r w:rsidR="00215046" w:rsidRPr="004F536D">
        <w:rPr>
          <w:rFonts w:ascii="Times New Roman" w:hAnsi="Times New Roman"/>
          <w:sz w:val="24"/>
          <w:szCs w:val="24"/>
          <w:lang w:val="en-GB"/>
        </w:rPr>
        <w:t xml:space="preserve"> for leave </w:t>
      </w:r>
      <w:r w:rsidR="00AB765D" w:rsidRPr="004F536D">
        <w:rPr>
          <w:rFonts w:ascii="Times New Roman" w:hAnsi="Times New Roman"/>
          <w:sz w:val="24"/>
          <w:szCs w:val="24"/>
          <w:lang w:val="en-GB"/>
        </w:rPr>
        <w:t xml:space="preserve">to appear and defend the suit </w:t>
      </w:r>
      <w:r w:rsidR="00215046" w:rsidRPr="004F536D">
        <w:rPr>
          <w:rFonts w:ascii="Times New Roman" w:hAnsi="Times New Roman"/>
          <w:sz w:val="24"/>
          <w:szCs w:val="24"/>
          <w:lang w:val="en-GB"/>
        </w:rPr>
        <w:t xml:space="preserve">hence the default judgement </w:t>
      </w:r>
      <w:r w:rsidR="007D5743" w:rsidRPr="004F536D">
        <w:rPr>
          <w:rFonts w:ascii="Times New Roman" w:hAnsi="Times New Roman"/>
          <w:sz w:val="24"/>
          <w:szCs w:val="24"/>
          <w:lang w:val="en-GB"/>
        </w:rPr>
        <w:t xml:space="preserve">which </w:t>
      </w:r>
      <w:r w:rsidR="00215046" w:rsidRPr="004F536D">
        <w:rPr>
          <w:rFonts w:ascii="Times New Roman" w:hAnsi="Times New Roman"/>
          <w:sz w:val="24"/>
          <w:szCs w:val="24"/>
          <w:lang w:val="en-GB"/>
        </w:rPr>
        <w:t xml:space="preserve">was entered against them.  It is my considered opinion that this is a matter of </w:t>
      </w:r>
      <w:r w:rsidR="001518E5" w:rsidRPr="004F536D">
        <w:rPr>
          <w:rFonts w:ascii="Times New Roman" w:hAnsi="Times New Roman"/>
          <w:sz w:val="24"/>
          <w:szCs w:val="24"/>
          <w:lang w:val="en-GB"/>
        </w:rPr>
        <w:t xml:space="preserve">fact </w:t>
      </w:r>
      <w:r w:rsidR="005068F9" w:rsidRPr="004F536D">
        <w:rPr>
          <w:rFonts w:ascii="Times New Roman" w:hAnsi="Times New Roman"/>
          <w:sz w:val="24"/>
          <w:szCs w:val="24"/>
          <w:lang w:val="en-GB"/>
        </w:rPr>
        <w:t xml:space="preserve">which is </w:t>
      </w:r>
      <w:r w:rsidR="001518E5" w:rsidRPr="004F536D">
        <w:rPr>
          <w:rFonts w:ascii="Times New Roman" w:hAnsi="Times New Roman"/>
          <w:sz w:val="24"/>
          <w:szCs w:val="24"/>
          <w:lang w:val="en-GB"/>
        </w:rPr>
        <w:t>in contention because clearly the 1</w:t>
      </w:r>
      <w:r w:rsidR="001518E5"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1518E5" w:rsidRPr="004F536D">
        <w:rPr>
          <w:rFonts w:ascii="Times New Roman" w:hAnsi="Times New Roman"/>
          <w:sz w:val="24"/>
          <w:szCs w:val="24"/>
          <w:lang w:val="en-GB"/>
        </w:rPr>
        <w:t xml:space="preserve"> applicant alleges non-service not only on her but also on the other applicants. She alleges </w:t>
      </w:r>
      <w:r w:rsidR="008045DB" w:rsidRPr="004F536D">
        <w:rPr>
          <w:rFonts w:ascii="Times New Roman" w:hAnsi="Times New Roman"/>
          <w:sz w:val="24"/>
          <w:szCs w:val="24"/>
          <w:lang w:val="en-GB"/>
        </w:rPr>
        <w:t xml:space="preserve">being resident in another place other than where the alleged </w:t>
      </w:r>
      <w:r w:rsidR="00315743" w:rsidRPr="004F536D">
        <w:rPr>
          <w:rFonts w:ascii="Times New Roman" w:hAnsi="Times New Roman"/>
          <w:sz w:val="24"/>
          <w:szCs w:val="24"/>
          <w:lang w:val="en-GB"/>
        </w:rPr>
        <w:t>service was done. I however take</w:t>
      </w:r>
      <w:r w:rsidR="008045DB" w:rsidRPr="004F536D">
        <w:rPr>
          <w:rFonts w:ascii="Times New Roman" w:hAnsi="Times New Roman"/>
          <w:sz w:val="24"/>
          <w:szCs w:val="24"/>
          <w:lang w:val="en-GB"/>
        </w:rPr>
        <w:t xml:space="preserve"> note of the fact that apart from what the 1</w:t>
      </w:r>
      <w:r w:rsidR="008045DB" w:rsidRPr="004F536D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="008045DB" w:rsidRPr="004F536D">
        <w:rPr>
          <w:rFonts w:ascii="Times New Roman" w:hAnsi="Times New Roman"/>
          <w:sz w:val="24"/>
          <w:szCs w:val="24"/>
          <w:lang w:val="en-GB"/>
        </w:rPr>
        <w:t xml:space="preserve"> applicant alleges, there is no ev</w:t>
      </w:r>
      <w:r w:rsidR="005D3003" w:rsidRPr="004F536D">
        <w:rPr>
          <w:rFonts w:ascii="Times New Roman" w:hAnsi="Times New Roman"/>
          <w:sz w:val="24"/>
          <w:szCs w:val="24"/>
          <w:lang w:val="en-GB"/>
        </w:rPr>
        <w:t xml:space="preserve">idence </w:t>
      </w:r>
      <w:r w:rsidR="00A76F27" w:rsidRPr="004F536D">
        <w:rPr>
          <w:rFonts w:ascii="Times New Roman" w:hAnsi="Times New Roman"/>
          <w:sz w:val="24"/>
          <w:szCs w:val="24"/>
          <w:lang w:val="en-GB"/>
        </w:rPr>
        <w:t xml:space="preserve">testifying </w:t>
      </w:r>
      <w:r w:rsidR="005D3003" w:rsidRPr="004F536D">
        <w:rPr>
          <w:rFonts w:ascii="Times New Roman" w:hAnsi="Times New Roman"/>
          <w:sz w:val="24"/>
          <w:szCs w:val="24"/>
          <w:lang w:val="en-GB"/>
        </w:rPr>
        <w:t xml:space="preserve">to that effect apart from </w:t>
      </w:r>
      <w:r w:rsidR="00C17545" w:rsidRPr="004F536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D3003" w:rsidRPr="004F536D">
        <w:rPr>
          <w:rFonts w:ascii="Times New Roman" w:hAnsi="Times New Roman"/>
          <w:sz w:val="24"/>
          <w:szCs w:val="24"/>
          <w:lang w:val="en-GB"/>
        </w:rPr>
        <w:t>allegations</w:t>
      </w:r>
      <w:r w:rsidR="009653EA" w:rsidRPr="004F536D">
        <w:rPr>
          <w:rFonts w:ascii="Times New Roman" w:hAnsi="Times New Roman"/>
          <w:sz w:val="24"/>
          <w:szCs w:val="24"/>
          <w:lang w:val="en-GB"/>
        </w:rPr>
        <w:t>.</w:t>
      </w:r>
      <w:r w:rsidR="005D3003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653EA" w:rsidRPr="004F536D">
        <w:rPr>
          <w:rFonts w:ascii="Times New Roman" w:hAnsi="Times New Roman"/>
          <w:sz w:val="24"/>
          <w:szCs w:val="24"/>
          <w:lang w:val="en-GB"/>
        </w:rPr>
        <w:t>However</w:t>
      </w:r>
      <w:r w:rsidR="005D3003" w:rsidRPr="004F536D">
        <w:rPr>
          <w:rFonts w:ascii="Times New Roman" w:hAnsi="Times New Roman"/>
          <w:sz w:val="24"/>
          <w:szCs w:val="24"/>
          <w:lang w:val="en-GB"/>
        </w:rPr>
        <w:t xml:space="preserve"> for the respondent t</w:t>
      </w:r>
      <w:r w:rsidR="006D6285" w:rsidRPr="004F536D">
        <w:rPr>
          <w:rFonts w:ascii="Times New Roman" w:hAnsi="Times New Roman"/>
          <w:sz w:val="24"/>
          <w:szCs w:val="24"/>
          <w:lang w:val="en-GB"/>
        </w:rPr>
        <w:t xml:space="preserve">here is an affidavit of service which court relied on </w:t>
      </w:r>
      <w:r w:rsidR="005D3003" w:rsidRPr="004F536D">
        <w:rPr>
          <w:rFonts w:ascii="Times New Roman" w:hAnsi="Times New Roman"/>
          <w:sz w:val="24"/>
          <w:szCs w:val="24"/>
          <w:lang w:val="en-GB"/>
        </w:rPr>
        <w:t>and entered a default judgement.</w:t>
      </w:r>
      <w:r w:rsidR="00FB73DB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C3C0B" w:rsidRPr="004F536D">
        <w:rPr>
          <w:rFonts w:ascii="Times New Roman" w:hAnsi="Times New Roman"/>
          <w:sz w:val="24"/>
          <w:szCs w:val="24"/>
          <w:lang w:val="en-GB"/>
        </w:rPr>
        <w:t xml:space="preserve">Furthermore, </w:t>
      </w:r>
      <w:r w:rsidR="006D6285" w:rsidRPr="004F536D">
        <w:rPr>
          <w:rFonts w:ascii="Times New Roman" w:hAnsi="Times New Roman"/>
          <w:sz w:val="24"/>
          <w:szCs w:val="24"/>
          <w:lang w:val="en-GB"/>
        </w:rPr>
        <w:t>it is also a fact that</w:t>
      </w:r>
      <w:r w:rsidR="00FC3C0B" w:rsidRPr="004F536D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FB73DB" w:rsidRPr="004F536D">
        <w:rPr>
          <w:rFonts w:ascii="Times New Roman" w:hAnsi="Times New Roman"/>
          <w:sz w:val="24"/>
          <w:szCs w:val="24"/>
          <w:lang w:val="en-GB"/>
        </w:rPr>
        <w:t xml:space="preserve">the applicants and respondent entered </w:t>
      </w:r>
      <w:r w:rsidR="006D6285" w:rsidRPr="004F536D">
        <w:rPr>
          <w:rFonts w:ascii="Times New Roman" w:hAnsi="Times New Roman"/>
          <w:sz w:val="24"/>
          <w:szCs w:val="24"/>
          <w:lang w:val="en-GB"/>
        </w:rPr>
        <w:t xml:space="preserve">into </w:t>
      </w:r>
      <w:r w:rsidR="00FB73DB" w:rsidRPr="004F536D">
        <w:rPr>
          <w:rFonts w:ascii="Times New Roman" w:hAnsi="Times New Roman"/>
          <w:sz w:val="24"/>
          <w:szCs w:val="24"/>
          <w:lang w:val="en-GB"/>
        </w:rPr>
        <w:t xml:space="preserve">a consent agreement to have the </w:t>
      </w:r>
      <w:r w:rsidR="00FB73DB" w:rsidRPr="004F536D">
        <w:rPr>
          <w:rFonts w:ascii="Times New Roman" w:hAnsi="Times New Roman"/>
          <w:sz w:val="24"/>
          <w:szCs w:val="24"/>
          <w:lang w:val="en-GB"/>
        </w:rPr>
        <w:lastRenderedPageBreak/>
        <w:t>amounts owed cleared which according to the affidavit in reply</w:t>
      </w:r>
      <w:r w:rsidR="00EE0821" w:rsidRPr="004F536D">
        <w:rPr>
          <w:rFonts w:ascii="Times New Roman" w:hAnsi="Times New Roman"/>
          <w:sz w:val="24"/>
          <w:szCs w:val="24"/>
          <w:lang w:val="en-GB"/>
        </w:rPr>
        <w:t>, four instalments were made by the applicants leaving an outstanding balance</w:t>
      </w:r>
      <w:r w:rsidR="00241204" w:rsidRPr="004F536D">
        <w:rPr>
          <w:rFonts w:ascii="Times New Roman" w:hAnsi="Times New Roman"/>
          <w:sz w:val="24"/>
          <w:szCs w:val="24"/>
          <w:lang w:val="en-GB"/>
        </w:rPr>
        <w:t>.</w:t>
      </w:r>
      <w:r w:rsidR="00EE0821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FC3C0B" w:rsidRPr="004F536D" w:rsidRDefault="00EA48C2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I have addressed my mind to a nu</w:t>
      </w:r>
      <w:r w:rsidR="00AA5AE4" w:rsidRPr="004F536D">
        <w:rPr>
          <w:rFonts w:ascii="Times New Roman" w:hAnsi="Times New Roman"/>
          <w:sz w:val="24"/>
          <w:szCs w:val="24"/>
          <w:lang w:val="en-GB"/>
        </w:rPr>
        <w:t xml:space="preserve">mber of decisions </w:t>
      </w:r>
      <w:r w:rsidR="00A23411" w:rsidRPr="004F536D">
        <w:rPr>
          <w:rFonts w:ascii="Times New Roman" w:hAnsi="Times New Roman"/>
          <w:sz w:val="24"/>
          <w:szCs w:val="24"/>
          <w:lang w:val="en-GB"/>
        </w:rPr>
        <w:t xml:space="preserve">relating </w:t>
      </w:r>
      <w:r w:rsidR="00495A4C" w:rsidRPr="004F536D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AA5AE4" w:rsidRPr="004F536D">
        <w:rPr>
          <w:rFonts w:ascii="Times New Roman" w:hAnsi="Times New Roman"/>
          <w:sz w:val="24"/>
          <w:szCs w:val="24"/>
          <w:lang w:val="en-GB"/>
        </w:rPr>
        <w:t xml:space="preserve">similar </w:t>
      </w:r>
      <w:r w:rsidR="00A23411" w:rsidRPr="004F536D">
        <w:rPr>
          <w:rFonts w:ascii="Times New Roman" w:hAnsi="Times New Roman"/>
          <w:sz w:val="24"/>
          <w:szCs w:val="24"/>
          <w:lang w:val="en-GB"/>
        </w:rPr>
        <w:t xml:space="preserve">facts </w:t>
      </w:r>
      <w:r w:rsidR="00AA5AE4" w:rsidRPr="004F536D">
        <w:rPr>
          <w:rFonts w:ascii="Times New Roman" w:hAnsi="Times New Roman"/>
          <w:sz w:val="24"/>
          <w:szCs w:val="24"/>
          <w:lang w:val="en-GB"/>
        </w:rPr>
        <w:t>to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72FA1" w:rsidRPr="004F536D">
        <w:rPr>
          <w:rFonts w:ascii="Times New Roman" w:hAnsi="Times New Roman"/>
          <w:sz w:val="24"/>
          <w:szCs w:val="24"/>
          <w:lang w:val="en-GB"/>
        </w:rPr>
        <w:t xml:space="preserve">this one. However its uniqueness is that the applicants agreed to settle </w:t>
      </w:r>
      <w:r w:rsidR="00A47D70" w:rsidRPr="004F536D">
        <w:rPr>
          <w:rFonts w:ascii="Times New Roman" w:hAnsi="Times New Roman"/>
          <w:sz w:val="24"/>
          <w:szCs w:val="24"/>
          <w:lang w:val="en-GB"/>
        </w:rPr>
        <w:t>the amount demanded according to the decree</w:t>
      </w:r>
      <w:r w:rsidR="00EE0821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7D70" w:rsidRPr="004F536D">
        <w:rPr>
          <w:rFonts w:ascii="Times New Roman" w:hAnsi="Times New Roman"/>
          <w:sz w:val="24"/>
          <w:szCs w:val="24"/>
          <w:lang w:val="en-GB"/>
        </w:rPr>
        <w:t xml:space="preserve">but now claim non-service of summons. It is my </w:t>
      </w:r>
      <w:r w:rsidR="008950EF" w:rsidRPr="004F536D">
        <w:rPr>
          <w:rFonts w:ascii="Times New Roman" w:hAnsi="Times New Roman"/>
          <w:sz w:val="24"/>
          <w:szCs w:val="24"/>
          <w:lang w:val="en-GB"/>
        </w:rPr>
        <w:t>view</w:t>
      </w:r>
      <w:r w:rsidR="00A47D70" w:rsidRPr="004F536D">
        <w:rPr>
          <w:rFonts w:ascii="Times New Roman" w:hAnsi="Times New Roman"/>
          <w:sz w:val="24"/>
          <w:szCs w:val="24"/>
          <w:lang w:val="en-GB"/>
        </w:rPr>
        <w:t xml:space="preserve"> that the applicants</w:t>
      </w:r>
      <w:r w:rsidR="00CE6E13" w:rsidRPr="004F536D">
        <w:rPr>
          <w:rFonts w:ascii="Times New Roman" w:hAnsi="Times New Roman"/>
          <w:sz w:val="24"/>
          <w:szCs w:val="24"/>
          <w:lang w:val="en-GB"/>
        </w:rPr>
        <w:t xml:space="preserve">’ payment of the instalments is a waiver of sorts by virtue of </w:t>
      </w:r>
      <w:r w:rsidR="009712E0" w:rsidRPr="004F536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CE6E13" w:rsidRPr="004F536D">
        <w:rPr>
          <w:rFonts w:ascii="Times New Roman" w:hAnsi="Times New Roman"/>
          <w:sz w:val="24"/>
          <w:szCs w:val="24"/>
          <w:lang w:val="en-GB"/>
        </w:rPr>
        <w:t xml:space="preserve">fact that they </w:t>
      </w:r>
      <w:r w:rsidR="00F64091" w:rsidRPr="004F536D">
        <w:rPr>
          <w:rFonts w:ascii="Times New Roman" w:hAnsi="Times New Roman"/>
          <w:sz w:val="24"/>
          <w:szCs w:val="24"/>
          <w:lang w:val="en-GB"/>
        </w:rPr>
        <w:t xml:space="preserve">agreed to make payments in a consent </w:t>
      </w:r>
      <w:r w:rsidR="004306E3" w:rsidRPr="004F536D">
        <w:rPr>
          <w:rFonts w:ascii="Times New Roman" w:hAnsi="Times New Roman"/>
          <w:sz w:val="24"/>
          <w:szCs w:val="24"/>
          <w:lang w:val="en-GB"/>
        </w:rPr>
        <w:t>settlement arrived</w:t>
      </w:r>
      <w:r w:rsidR="009712E0" w:rsidRPr="004F536D">
        <w:rPr>
          <w:rFonts w:ascii="Times New Roman" w:hAnsi="Times New Roman"/>
          <w:sz w:val="24"/>
          <w:szCs w:val="24"/>
          <w:lang w:val="en-GB"/>
        </w:rPr>
        <w:t xml:space="preserve"> at in court </w:t>
      </w:r>
      <w:r w:rsidR="00F64091" w:rsidRPr="004F536D">
        <w:rPr>
          <w:rFonts w:ascii="Times New Roman" w:hAnsi="Times New Roman"/>
          <w:sz w:val="24"/>
          <w:szCs w:val="24"/>
          <w:lang w:val="en-GB"/>
        </w:rPr>
        <w:t>which was witnessed by their lawyer.</w:t>
      </w:r>
      <w:r w:rsidR="009712E0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A5AE4" w:rsidRPr="004F536D" w:rsidRDefault="00AA5AE4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In the case of </w:t>
      </w:r>
      <w:r w:rsidR="000C65C4" w:rsidRPr="004F536D">
        <w:rPr>
          <w:rFonts w:ascii="Times New Roman" w:hAnsi="Times New Roman"/>
          <w:b/>
          <w:i/>
          <w:sz w:val="24"/>
          <w:szCs w:val="24"/>
          <w:lang w:val="en-GB"/>
        </w:rPr>
        <w:t>Hirani V</w:t>
      </w:r>
      <w:r w:rsidR="00F14F6E" w:rsidRPr="004F536D">
        <w:rPr>
          <w:rFonts w:ascii="Times New Roman" w:hAnsi="Times New Roman"/>
          <w:b/>
          <w:i/>
          <w:sz w:val="24"/>
          <w:szCs w:val="24"/>
          <w:lang w:val="en-GB"/>
        </w:rPr>
        <w:t>s Kassam (1952) 19 EACA 131</w:t>
      </w:r>
      <w:r w:rsidR="00DB3C7E" w:rsidRPr="004F536D">
        <w:rPr>
          <w:rFonts w:ascii="Times New Roman" w:hAnsi="Times New Roman"/>
          <w:sz w:val="24"/>
          <w:szCs w:val="24"/>
          <w:lang w:val="en-GB"/>
        </w:rPr>
        <w:t xml:space="preserve"> Court held that;</w:t>
      </w:r>
    </w:p>
    <w:p w:rsidR="00DB3C7E" w:rsidRPr="004F536D" w:rsidRDefault="00334992" w:rsidP="00837A25">
      <w:pPr>
        <w:spacing w:line="360" w:lineRule="auto"/>
        <w:ind w:left="216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4F536D">
        <w:rPr>
          <w:rFonts w:ascii="Times New Roman" w:hAnsi="Times New Roman"/>
          <w:i/>
          <w:sz w:val="24"/>
          <w:szCs w:val="24"/>
          <w:lang w:val="en-GB"/>
        </w:rPr>
        <w:t>“Prima</w:t>
      </w:r>
      <w:r w:rsidR="00DB3C7E" w:rsidRPr="004F536D">
        <w:rPr>
          <w:rFonts w:ascii="Times New Roman" w:hAnsi="Times New Roman"/>
          <w:i/>
          <w:sz w:val="24"/>
          <w:szCs w:val="24"/>
          <w:lang w:val="en-GB"/>
        </w:rPr>
        <w:t xml:space="preserve"> facie, any order made in the presence and with the consent of Counsel is binding on all parties to the proceedings</w:t>
      </w:r>
      <w:r w:rsidR="00DB1060" w:rsidRPr="004F536D">
        <w:rPr>
          <w:rFonts w:ascii="Times New Roman" w:hAnsi="Times New Roman"/>
          <w:i/>
          <w:sz w:val="24"/>
          <w:szCs w:val="24"/>
          <w:lang w:val="en-GB"/>
        </w:rPr>
        <w:t xml:space="preserve"> or action, and on those claiming under them</w:t>
      </w:r>
      <w:r w:rsidR="009F3B2A" w:rsidRPr="004F536D">
        <w:rPr>
          <w:rFonts w:ascii="Times New Roman" w:hAnsi="Times New Roman"/>
          <w:i/>
          <w:sz w:val="24"/>
          <w:szCs w:val="24"/>
          <w:lang w:val="en-GB"/>
        </w:rPr>
        <w:t xml:space="preserve">---and cannot be varied or discharged unless obtained by fraud, collusion or by agreement contrary to the policy of </w:t>
      </w:r>
      <w:r w:rsidR="004306E3" w:rsidRPr="004F536D">
        <w:rPr>
          <w:rFonts w:ascii="Times New Roman" w:hAnsi="Times New Roman"/>
          <w:i/>
          <w:sz w:val="24"/>
          <w:szCs w:val="24"/>
          <w:lang w:val="en-GB"/>
        </w:rPr>
        <w:t>c</w:t>
      </w:r>
      <w:r w:rsidR="009F3B2A" w:rsidRPr="004F536D">
        <w:rPr>
          <w:rFonts w:ascii="Times New Roman" w:hAnsi="Times New Roman"/>
          <w:i/>
          <w:sz w:val="24"/>
          <w:szCs w:val="24"/>
          <w:lang w:val="en-GB"/>
        </w:rPr>
        <w:t>ourt</w:t>
      </w:r>
      <w:r w:rsidR="00515420" w:rsidRPr="004F536D">
        <w:rPr>
          <w:rFonts w:ascii="Times New Roman" w:hAnsi="Times New Roman"/>
          <w:i/>
          <w:sz w:val="24"/>
          <w:szCs w:val="24"/>
          <w:lang w:val="en-GB"/>
        </w:rPr>
        <w:t xml:space="preserve">---or if consent was given without sufficient material facts or misapprehension or in ignorance of material facts or in general </w:t>
      </w:r>
      <w:r w:rsidR="00030163" w:rsidRPr="004F536D">
        <w:rPr>
          <w:rFonts w:ascii="Times New Roman" w:hAnsi="Times New Roman"/>
          <w:i/>
          <w:sz w:val="24"/>
          <w:szCs w:val="24"/>
          <w:lang w:val="en-GB"/>
        </w:rPr>
        <w:t xml:space="preserve">for a reason which would enable the </w:t>
      </w:r>
      <w:r w:rsidR="004306E3" w:rsidRPr="004F536D">
        <w:rPr>
          <w:rFonts w:ascii="Times New Roman" w:hAnsi="Times New Roman"/>
          <w:i/>
          <w:sz w:val="24"/>
          <w:szCs w:val="24"/>
          <w:lang w:val="en-GB"/>
        </w:rPr>
        <w:t>c</w:t>
      </w:r>
      <w:r w:rsidR="00030163" w:rsidRPr="004F536D">
        <w:rPr>
          <w:rFonts w:ascii="Times New Roman" w:hAnsi="Times New Roman"/>
          <w:i/>
          <w:sz w:val="24"/>
          <w:szCs w:val="24"/>
          <w:lang w:val="en-GB"/>
        </w:rPr>
        <w:t>ourt to set aside an agreement”</w:t>
      </w:r>
    </w:p>
    <w:p w:rsidR="00030163" w:rsidRPr="004F536D" w:rsidRDefault="007F21A2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Now turning to the</w:t>
      </w:r>
      <w:r w:rsidR="00E16354" w:rsidRPr="004F536D">
        <w:rPr>
          <w:rFonts w:ascii="Times New Roman" w:hAnsi="Times New Roman"/>
          <w:sz w:val="24"/>
          <w:szCs w:val="24"/>
          <w:lang w:val="en-GB"/>
        </w:rPr>
        <w:t xml:space="preserve"> facts in this case, it is clear that the applicants do not deny that the </w:t>
      </w:r>
      <w:r w:rsidR="00B42EC7" w:rsidRPr="004F536D">
        <w:rPr>
          <w:rFonts w:ascii="Times New Roman" w:hAnsi="Times New Roman"/>
          <w:sz w:val="24"/>
          <w:szCs w:val="24"/>
          <w:lang w:val="en-GB"/>
        </w:rPr>
        <w:t xml:space="preserve">agreement was made </w:t>
      </w:r>
      <w:r w:rsidR="00900810" w:rsidRPr="004F536D">
        <w:rPr>
          <w:rFonts w:ascii="Times New Roman" w:hAnsi="Times New Roman"/>
          <w:sz w:val="24"/>
          <w:szCs w:val="24"/>
          <w:lang w:val="en-GB"/>
        </w:rPr>
        <w:t xml:space="preserve">in court </w:t>
      </w:r>
      <w:r w:rsidR="00B42EC7" w:rsidRPr="004F536D">
        <w:rPr>
          <w:rFonts w:ascii="Times New Roman" w:hAnsi="Times New Roman"/>
          <w:sz w:val="24"/>
          <w:szCs w:val="24"/>
          <w:lang w:val="en-GB"/>
        </w:rPr>
        <w:t xml:space="preserve">in the presence </w:t>
      </w:r>
      <w:r w:rsidR="0069225A" w:rsidRPr="004F536D">
        <w:rPr>
          <w:rFonts w:ascii="Times New Roman" w:hAnsi="Times New Roman"/>
          <w:sz w:val="24"/>
          <w:szCs w:val="24"/>
          <w:lang w:val="en-GB"/>
        </w:rPr>
        <w:t xml:space="preserve">of the applicant’s Counsel </w:t>
      </w:r>
      <w:r w:rsidR="005B6CF1" w:rsidRPr="004F536D">
        <w:rPr>
          <w:rFonts w:ascii="Times New Roman" w:hAnsi="Times New Roman"/>
          <w:sz w:val="24"/>
          <w:szCs w:val="24"/>
          <w:lang w:val="en-GB"/>
        </w:rPr>
        <w:t xml:space="preserve">as stated </w:t>
      </w:r>
      <w:r w:rsidR="00791609" w:rsidRPr="004F536D">
        <w:rPr>
          <w:rFonts w:ascii="Times New Roman" w:hAnsi="Times New Roman"/>
          <w:sz w:val="24"/>
          <w:szCs w:val="24"/>
          <w:lang w:val="en-GB"/>
        </w:rPr>
        <w:t>by</w:t>
      </w:r>
      <w:r w:rsidR="0069225A" w:rsidRPr="004F536D">
        <w:rPr>
          <w:rFonts w:ascii="Times New Roman" w:hAnsi="Times New Roman"/>
          <w:sz w:val="24"/>
          <w:szCs w:val="24"/>
          <w:lang w:val="en-GB"/>
        </w:rPr>
        <w:t xml:space="preserve"> Counsel for the respondent.</w:t>
      </w:r>
      <w:r w:rsidR="00167234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932D0" w:rsidRPr="004F536D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67234" w:rsidRPr="004F536D">
        <w:rPr>
          <w:rFonts w:ascii="Times New Roman" w:hAnsi="Times New Roman"/>
          <w:sz w:val="24"/>
          <w:szCs w:val="24"/>
          <w:lang w:val="en-GB"/>
        </w:rPr>
        <w:t>applic</w:t>
      </w:r>
      <w:r w:rsidR="00E46015" w:rsidRPr="004F536D">
        <w:rPr>
          <w:rFonts w:ascii="Times New Roman" w:hAnsi="Times New Roman"/>
          <w:sz w:val="24"/>
          <w:szCs w:val="24"/>
          <w:lang w:val="en-GB"/>
        </w:rPr>
        <w:t>ants</w:t>
      </w:r>
      <w:r w:rsidR="00167234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20276" w:rsidRPr="004F536D">
        <w:rPr>
          <w:rFonts w:ascii="Times New Roman" w:hAnsi="Times New Roman"/>
          <w:sz w:val="24"/>
          <w:szCs w:val="24"/>
          <w:lang w:val="en-GB"/>
        </w:rPr>
        <w:t>in their</w:t>
      </w:r>
      <w:r w:rsidR="000452B0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3A0F" w:rsidRPr="004F536D">
        <w:rPr>
          <w:rFonts w:ascii="Times New Roman" w:hAnsi="Times New Roman"/>
          <w:sz w:val="24"/>
          <w:szCs w:val="24"/>
          <w:lang w:val="en-GB"/>
        </w:rPr>
        <w:t>application</w:t>
      </w:r>
      <w:r w:rsidR="00320276" w:rsidRPr="004F536D">
        <w:rPr>
          <w:rFonts w:ascii="Times New Roman" w:hAnsi="Times New Roman"/>
          <w:sz w:val="24"/>
          <w:szCs w:val="24"/>
          <w:lang w:val="en-GB"/>
        </w:rPr>
        <w:t xml:space="preserve"> for</w:t>
      </w:r>
      <w:r w:rsidR="00E46015" w:rsidRPr="004F536D">
        <w:rPr>
          <w:rFonts w:ascii="Times New Roman" w:hAnsi="Times New Roman"/>
          <w:sz w:val="24"/>
          <w:szCs w:val="24"/>
          <w:lang w:val="en-GB"/>
        </w:rPr>
        <w:t xml:space="preserve"> setting aside the consent</w:t>
      </w:r>
      <w:r w:rsidR="00320276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00810" w:rsidRPr="004F536D">
        <w:rPr>
          <w:rFonts w:ascii="Times New Roman" w:hAnsi="Times New Roman"/>
          <w:sz w:val="24"/>
          <w:szCs w:val="24"/>
          <w:lang w:val="en-GB"/>
        </w:rPr>
        <w:t>settlement</w:t>
      </w:r>
      <w:r w:rsidR="007B512F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20276" w:rsidRPr="004F536D">
        <w:rPr>
          <w:rFonts w:ascii="Times New Roman" w:hAnsi="Times New Roman"/>
          <w:sz w:val="24"/>
          <w:szCs w:val="24"/>
          <w:lang w:val="en-GB"/>
        </w:rPr>
        <w:t xml:space="preserve">did not raise any of the </w:t>
      </w:r>
      <w:r w:rsidR="00037EC0" w:rsidRPr="004F536D">
        <w:rPr>
          <w:rFonts w:ascii="Times New Roman" w:hAnsi="Times New Roman"/>
          <w:sz w:val="24"/>
          <w:szCs w:val="24"/>
          <w:lang w:val="en-GB"/>
        </w:rPr>
        <w:t>element</w:t>
      </w:r>
      <w:r w:rsidR="00FF59E6" w:rsidRPr="004F536D">
        <w:rPr>
          <w:rFonts w:ascii="Times New Roman" w:hAnsi="Times New Roman"/>
          <w:sz w:val="24"/>
          <w:szCs w:val="24"/>
          <w:lang w:val="en-GB"/>
        </w:rPr>
        <w:t>s</w:t>
      </w:r>
      <w:r w:rsidR="00037EC0" w:rsidRPr="004F536D">
        <w:rPr>
          <w:rFonts w:ascii="Times New Roman" w:hAnsi="Times New Roman"/>
          <w:sz w:val="24"/>
          <w:szCs w:val="24"/>
          <w:lang w:val="en-GB"/>
        </w:rPr>
        <w:t xml:space="preserve"> of fraud, collusion or ignorance of material facts</w:t>
      </w:r>
      <w:r w:rsidR="00C469B3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5E14" w:rsidRPr="004F536D">
        <w:rPr>
          <w:rFonts w:ascii="Times New Roman" w:hAnsi="Times New Roman"/>
          <w:sz w:val="24"/>
          <w:szCs w:val="24"/>
          <w:lang w:val="en-GB"/>
        </w:rPr>
        <w:t>to guarantee t</w:t>
      </w:r>
      <w:r w:rsidR="00B675F8" w:rsidRPr="004F536D">
        <w:rPr>
          <w:rFonts w:ascii="Times New Roman" w:hAnsi="Times New Roman"/>
          <w:sz w:val="24"/>
          <w:szCs w:val="24"/>
          <w:lang w:val="en-GB"/>
        </w:rPr>
        <w:t xml:space="preserve">he setting aside of the consent </w:t>
      </w:r>
      <w:r w:rsidR="002E3ACE" w:rsidRPr="004F536D">
        <w:rPr>
          <w:rFonts w:ascii="Times New Roman" w:hAnsi="Times New Roman"/>
          <w:sz w:val="24"/>
          <w:szCs w:val="24"/>
          <w:lang w:val="en-GB"/>
        </w:rPr>
        <w:t xml:space="preserve">settlement. </w:t>
      </w:r>
      <w:r w:rsidR="00B675F8"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7B113B" w:rsidRPr="004F536D" w:rsidRDefault="003C4941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>Accordingly</w:t>
      </w:r>
      <w:r w:rsidR="00B67F76" w:rsidRPr="004F536D">
        <w:rPr>
          <w:rFonts w:ascii="Times New Roman" w:hAnsi="Times New Roman"/>
          <w:sz w:val="24"/>
          <w:szCs w:val="24"/>
          <w:lang w:val="en-GB"/>
        </w:rPr>
        <w:t xml:space="preserve"> I</w:t>
      </w:r>
      <w:r w:rsidR="00C75E14" w:rsidRPr="004F536D">
        <w:rPr>
          <w:rFonts w:ascii="Times New Roman" w:hAnsi="Times New Roman"/>
          <w:sz w:val="24"/>
          <w:szCs w:val="24"/>
          <w:lang w:val="en-GB"/>
        </w:rPr>
        <w:t xml:space="preserve"> find no just</w:t>
      </w:r>
      <w:r w:rsidR="00561C22" w:rsidRPr="004F536D">
        <w:rPr>
          <w:rFonts w:ascii="Times New Roman" w:hAnsi="Times New Roman"/>
          <w:sz w:val="24"/>
          <w:szCs w:val="24"/>
          <w:lang w:val="en-GB"/>
        </w:rPr>
        <w:t xml:space="preserve"> cause </w:t>
      </w:r>
      <w:r w:rsidR="00712A6D" w:rsidRPr="004F536D">
        <w:rPr>
          <w:rFonts w:ascii="Times New Roman" w:hAnsi="Times New Roman"/>
          <w:sz w:val="24"/>
          <w:szCs w:val="24"/>
          <w:lang w:val="en-GB"/>
        </w:rPr>
        <w:t>to</w:t>
      </w:r>
      <w:r w:rsidR="00561C22" w:rsidRPr="004F536D">
        <w:rPr>
          <w:rFonts w:ascii="Times New Roman" w:hAnsi="Times New Roman"/>
          <w:sz w:val="24"/>
          <w:szCs w:val="24"/>
          <w:lang w:val="en-GB"/>
        </w:rPr>
        <w:t xml:space="preserve"> s</w:t>
      </w:r>
      <w:r w:rsidR="007F3839" w:rsidRPr="004F536D">
        <w:rPr>
          <w:rFonts w:ascii="Times New Roman" w:hAnsi="Times New Roman"/>
          <w:sz w:val="24"/>
          <w:szCs w:val="24"/>
          <w:lang w:val="en-GB"/>
        </w:rPr>
        <w:t xml:space="preserve">et aside the consent agreement and grant leave to appear and defend the suit. </w:t>
      </w:r>
      <w:r w:rsidRPr="004F536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865AF6" w:rsidRPr="004F536D" w:rsidRDefault="007F3839" w:rsidP="00FB445D">
      <w:p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F536D">
        <w:rPr>
          <w:rFonts w:ascii="Times New Roman" w:hAnsi="Times New Roman"/>
          <w:sz w:val="24"/>
          <w:szCs w:val="24"/>
          <w:lang w:val="en-GB"/>
        </w:rPr>
        <w:t xml:space="preserve">In the </w:t>
      </w:r>
      <w:r w:rsidR="003C4941" w:rsidRPr="004F536D">
        <w:rPr>
          <w:rFonts w:ascii="Times New Roman" w:hAnsi="Times New Roman"/>
          <w:sz w:val="24"/>
          <w:szCs w:val="24"/>
          <w:lang w:val="en-GB"/>
        </w:rPr>
        <w:t xml:space="preserve">result i </w:t>
      </w:r>
      <w:r w:rsidR="00BF033F" w:rsidRPr="004F536D">
        <w:rPr>
          <w:rFonts w:ascii="Times New Roman" w:hAnsi="Times New Roman"/>
          <w:sz w:val="24"/>
          <w:szCs w:val="24"/>
          <w:lang w:val="en-GB"/>
        </w:rPr>
        <w:t xml:space="preserve">dismiss application </w:t>
      </w:r>
      <w:r w:rsidR="005F7885" w:rsidRPr="004F536D">
        <w:rPr>
          <w:rFonts w:ascii="Times New Roman" w:hAnsi="Times New Roman"/>
          <w:sz w:val="24"/>
          <w:szCs w:val="24"/>
          <w:lang w:val="en-GB"/>
        </w:rPr>
        <w:t>with costs</w:t>
      </w:r>
      <w:r w:rsidR="00083E8D" w:rsidRPr="004F536D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865AF6" w:rsidRPr="004F536D" w:rsidRDefault="00865AF6" w:rsidP="00D4484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C732E0" w:rsidRPr="004F536D" w:rsidRDefault="00C732E0" w:rsidP="00D4484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4484D" w:rsidRPr="004F536D" w:rsidRDefault="00D4484D" w:rsidP="00927DD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6506B" w:rsidRPr="004F536D" w:rsidRDefault="00776819" w:rsidP="00D05E53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 xml:space="preserve">B. Kainamura </w:t>
      </w:r>
    </w:p>
    <w:p w:rsidR="00776819" w:rsidRPr="004F536D" w:rsidRDefault="00776819" w:rsidP="00D05E53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Judge </w:t>
      </w:r>
    </w:p>
    <w:p w:rsidR="00776819" w:rsidRPr="004F536D" w:rsidRDefault="00653510" w:rsidP="00D05E53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4F536D">
        <w:rPr>
          <w:rFonts w:ascii="Times New Roman" w:hAnsi="Times New Roman"/>
          <w:b/>
          <w:sz w:val="24"/>
          <w:szCs w:val="24"/>
          <w:lang w:val="en-GB"/>
        </w:rPr>
        <w:t>01.09.2016</w:t>
      </w:r>
    </w:p>
    <w:p w:rsidR="00135600" w:rsidRPr="004F536D" w:rsidRDefault="00135600" w:rsidP="00D05E53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135600" w:rsidRPr="004F536D" w:rsidRDefault="00135600" w:rsidP="00927DD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141A2" w:rsidRPr="004F536D" w:rsidRDefault="008141A2">
      <w:pPr>
        <w:rPr>
          <w:rFonts w:ascii="Times New Roman" w:hAnsi="Times New Roman"/>
          <w:sz w:val="24"/>
          <w:szCs w:val="24"/>
        </w:rPr>
      </w:pPr>
    </w:p>
    <w:sectPr w:rsidR="008141A2" w:rsidRPr="004F536D" w:rsidSect="00314CC9">
      <w:footerReference w:type="default" r:id="rId8"/>
      <w:pgSz w:w="12240" w:h="15840"/>
      <w:pgMar w:top="1440" w:right="1440" w:bottom="1440" w:left="1440" w:header="706" w:footer="706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028" w:rsidRDefault="00583028" w:rsidP="00096857">
      <w:pPr>
        <w:spacing w:after="0" w:line="240" w:lineRule="auto"/>
      </w:pPr>
      <w:r>
        <w:separator/>
      </w:r>
    </w:p>
  </w:endnote>
  <w:endnote w:type="continuationSeparator" w:id="0">
    <w:p w:rsidR="00583028" w:rsidRDefault="00583028" w:rsidP="0009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37EC0" w:rsidRDefault="0058302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36D" w:rsidRPr="004F536D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037EC0">
          <w:rPr>
            <w:b/>
          </w:rPr>
          <w:t xml:space="preserve"> | </w:t>
        </w:r>
        <w:r w:rsidR="00037EC0">
          <w:rPr>
            <w:color w:val="7F7F7F" w:themeColor="background1" w:themeShade="7F"/>
            <w:spacing w:val="60"/>
          </w:rPr>
          <w:t>Page</w:t>
        </w:r>
      </w:p>
    </w:sdtContent>
  </w:sdt>
  <w:p w:rsidR="00037EC0" w:rsidRDefault="00037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028" w:rsidRDefault="00583028" w:rsidP="00096857">
      <w:pPr>
        <w:spacing w:after="0" w:line="240" w:lineRule="auto"/>
      </w:pPr>
      <w:r>
        <w:separator/>
      </w:r>
    </w:p>
  </w:footnote>
  <w:footnote w:type="continuationSeparator" w:id="0">
    <w:p w:rsidR="00583028" w:rsidRDefault="00583028" w:rsidP="0009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365"/>
    <w:multiLevelType w:val="hybridMultilevel"/>
    <w:tmpl w:val="DBD8A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678"/>
    <w:multiLevelType w:val="hybridMultilevel"/>
    <w:tmpl w:val="CDB2A95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06531B"/>
    <w:multiLevelType w:val="hybridMultilevel"/>
    <w:tmpl w:val="DDB4F1C0"/>
    <w:lvl w:ilvl="0" w:tplc="E528BB0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551B8"/>
    <w:multiLevelType w:val="hybridMultilevel"/>
    <w:tmpl w:val="CDB2A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20C9"/>
    <w:multiLevelType w:val="hybridMultilevel"/>
    <w:tmpl w:val="DBD8A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D9"/>
    <w:rsid w:val="00022E2B"/>
    <w:rsid w:val="000300D8"/>
    <w:rsid w:val="00030163"/>
    <w:rsid w:val="000349AF"/>
    <w:rsid w:val="00037EC0"/>
    <w:rsid w:val="000452B0"/>
    <w:rsid w:val="00050A7B"/>
    <w:rsid w:val="00064934"/>
    <w:rsid w:val="00066E65"/>
    <w:rsid w:val="00070D9D"/>
    <w:rsid w:val="000756C0"/>
    <w:rsid w:val="00077C2A"/>
    <w:rsid w:val="00083E8D"/>
    <w:rsid w:val="000869EB"/>
    <w:rsid w:val="00087E2C"/>
    <w:rsid w:val="0009259B"/>
    <w:rsid w:val="0009282B"/>
    <w:rsid w:val="00092F0F"/>
    <w:rsid w:val="00096857"/>
    <w:rsid w:val="00096DFE"/>
    <w:rsid w:val="000A0915"/>
    <w:rsid w:val="000C3016"/>
    <w:rsid w:val="000C3259"/>
    <w:rsid w:val="000C65C4"/>
    <w:rsid w:val="000C7D93"/>
    <w:rsid w:val="000E36D5"/>
    <w:rsid w:val="000F688E"/>
    <w:rsid w:val="000F73BD"/>
    <w:rsid w:val="001020E4"/>
    <w:rsid w:val="00112B97"/>
    <w:rsid w:val="00114983"/>
    <w:rsid w:val="00127966"/>
    <w:rsid w:val="00135600"/>
    <w:rsid w:val="001401FC"/>
    <w:rsid w:val="00144B94"/>
    <w:rsid w:val="001518E5"/>
    <w:rsid w:val="00152D41"/>
    <w:rsid w:val="0015600F"/>
    <w:rsid w:val="001605DB"/>
    <w:rsid w:val="00163A76"/>
    <w:rsid w:val="00163DA8"/>
    <w:rsid w:val="00167234"/>
    <w:rsid w:val="001811B6"/>
    <w:rsid w:val="00183780"/>
    <w:rsid w:val="00193635"/>
    <w:rsid w:val="001A53D9"/>
    <w:rsid w:val="001A644C"/>
    <w:rsid w:val="001B076E"/>
    <w:rsid w:val="001C1E08"/>
    <w:rsid w:val="001C68E2"/>
    <w:rsid w:val="001C7C1A"/>
    <w:rsid w:val="001E02EA"/>
    <w:rsid w:val="001E15E9"/>
    <w:rsid w:val="00201EF4"/>
    <w:rsid w:val="00203A02"/>
    <w:rsid w:val="00204323"/>
    <w:rsid w:val="00214067"/>
    <w:rsid w:val="00215046"/>
    <w:rsid w:val="00233842"/>
    <w:rsid w:val="00241204"/>
    <w:rsid w:val="00283BD6"/>
    <w:rsid w:val="002848FB"/>
    <w:rsid w:val="00287B17"/>
    <w:rsid w:val="00290D6D"/>
    <w:rsid w:val="002A06A2"/>
    <w:rsid w:val="002A15EE"/>
    <w:rsid w:val="002B5D8C"/>
    <w:rsid w:val="002D0E9C"/>
    <w:rsid w:val="002D0FB1"/>
    <w:rsid w:val="002D607A"/>
    <w:rsid w:val="002E3083"/>
    <w:rsid w:val="002E3ACE"/>
    <w:rsid w:val="002F5C19"/>
    <w:rsid w:val="00303A58"/>
    <w:rsid w:val="00306CE6"/>
    <w:rsid w:val="003078B8"/>
    <w:rsid w:val="00314CC9"/>
    <w:rsid w:val="00315743"/>
    <w:rsid w:val="00320276"/>
    <w:rsid w:val="00334992"/>
    <w:rsid w:val="0034274E"/>
    <w:rsid w:val="0036013A"/>
    <w:rsid w:val="00361BF9"/>
    <w:rsid w:val="0036512A"/>
    <w:rsid w:val="00372316"/>
    <w:rsid w:val="0038529E"/>
    <w:rsid w:val="00391C31"/>
    <w:rsid w:val="003921FE"/>
    <w:rsid w:val="00393C93"/>
    <w:rsid w:val="003A02F9"/>
    <w:rsid w:val="003B648F"/>
    <w:rsid w:val="003C31F1"/>
    <w:rsid w:val="003C4941"/>
    <w:rsid w:val="003E052E"/>
    <w:rsid w:val="003E7DF0"/>
    <w:rsid w:val="004135B2"/>
    <w:rsid w:val="00423911"/>
    <w:rsid w:val="004306E3"/>
    <w:rsid w:val="00436AA2"/>
    <w:rsid w:val="00440B86"/>
    <w:rsid w:val="00461987"/>
    <w:rsid w:val="00463A0F"/>
    <w:rsid w:val="004643CB"/>
    <w:rsid w:val="0046466B"/>
    <w:rsid w:val="00466300"/>
    <w:rsid w:val="0047207B"/>
    <w:rsid w:val="00472FA1"/>
    <w:rsid w:val="004855E6"/>
    <w:rsid w:val="00495A4C"/>
    <w:rsid w:val="004A7D8F"/>
    <w:rsid w:val="004B196E"/>
    <w:rsid w:val="004B366F"/>
    <w:rsid w:val="004B39AF"/>
    <w:rsid w:val="004D4A83"/>
    <w:rsid w:val="004F2EEF"/>
    <w:rsid w:val="004F3429"/>
    <w:rsid w:val="004F536D"/>
    <w:rsid w:val="0050563B"/>
    <w:rsid w:val="005068F9"/>
    <w:rsid w:val="00515420"/>
    <w:rsid w:val="00515481"/>
    <w:rsid w:val="00534EC9"/>
    <w:rsid w:val="00547666"/>
    <w:rsid w:val="00551332"/>
    <w:rsid w:val="0055465F"/>
    <w:rsid w:val="00561C22"/>
    <w:rsid w:val="00563CC4"/>
    <w:rsid w:val="00564996"/>
    <w:rsid w:val="0056559C"/>
    <w:rsid w:val="00580163"/>
    <w:rsid w:val="00582122"/>
    <w:rsid w:val="00583028"/>
    <w:rsid w:val="005941CD"/>
    <w:rsid w:val="005A1949"/>
    <w:rsid w:val="005B0AFD"/>
    <w:rsid w:val="005B1AB9"/>
    <w:rsid w:val="005B6CF1"/>
    <w:rsid w:val="005C3C1A"/>
    <w:rsid w:val="005C40AE"/>
    <w:rsid w:val="005C4473"/>
    <w:rsid w:val="005C71FB"/>
    <w:rsid w:val="005D1211"/>
    <w:rsid w:val="005D3003"/>
    <w:rsid w:val="005F7885"/>
    <w:rsid w:val="006015C1"/>
    <w:rsid w:val="006022CF"/>
    <w:rsid w:val="00620B40"/>
    <w:rsid w:val="006331C4"/>
    <w:rsid w:val="00653510"/>
    <w:rsid w:val="0067014A"/>
    <w:rsid w:val="006903EA"/>
    <w:rsid w:val="0069225A"/>
    <w:rsid w:val="006A0606"/>
    <w:rsid w:val="006A20AE"/>
    <w:rsid w:val="006B449B"/>
    <w:rsid w:val="006B651C"/>
    <w:rsid w:val="006C390E"/>
    <w:rsid w:val="006C3BF0"/>
    <w:rsid w:val="006C6796"/>
    <w:rsid w:val="006D19E1"/>
    <w:rsid w:val="006D6285"/>
    <w:rsid w:val="006D78B9"/>
    <w:rsid w:val="006F0ECA"/>
    <w:rsid w:val="006F5113"/>
    <w:rsid w:val="006F5BE5"/>
    <w:rsid w:val="00700C9B"/>
    <w:rsid w:val="007079F7"/>
    <w:rsid w:val="007105B0"/>
    <w:rsid w:val="00712A6D"/>
    <w:rsid w:val="00723577"/>
    <w:rsid w:val="00732501"/>
    <w:rsid w:val="00732EFA"/>
    <w:rsid w:val="00733254"/>
    <w:rsid w:val="007419D3"/>
    <w:rsid w:val="0074397F"/>
    <w:rsid w:val="00743CC7"/>
    <w:rsid w:val="00744066"/>
    <w:rsid w:val="007468A4"/>
    <w:rsid w:val="00746FB1"/>
    <w:rsid w:val="00750FFD"/>
    <w:rsid w:val="00752119"/>
    <w:rsid w:val="0075627E"/>
    <w:rsid w:val="007602B9"/>
    <w:rsid w:val="0076303F"/>
    <w:rsid w:val="0076506B"/>
    <w:rsid w:val="0077252C"/>
    <w:rsid w:val="00776819"/>
    <w:rsid w:val="00785905"/>
    <w:rsid w:val="00791609"/>
    <w:rsid w:val="007A19D7"/>
    <w:rsid w:val="007A3A86"/>
    <w:rsid w:val="007A3F7F"/>
    <w:rsid w:val="007B113B"/>
    <w:rsid w:val="007B3E0E"/>
    <w:rsid w:val="007B512F"/>
    <w:rsid w:val="007C6802"/>
    <w:rsid w:val="007D02CB"/>
    <w:rsid w:val="007D470E"/>
    <w:rsid w:val="007D5743"/>
    <w:rsid w:val="007D5BDC"/>
    <w:rsid w:val="007F21A2"/>
    <w:rsid w:val="007F3839"/>
    <w:rsid w:val="00801085"/>
    <w:rsid w:val="008045DB"/>
    <w:rsid w:val="008141A2"/>
    <w:rsid w:val="00822CC5"/>
    <w:rsid w:val="00837A25"/>
    <w:rsid w:val="0084163C"/>
    <w:rsid w:val="00844AFB"/>
    <w:rsid w:val="00856C21"/>
    <w:rsid w:val="008631D6"/>
    <w:rsid w:val="00865AF6"/>
    <w:rsid w:val="008706AF"/>
    <w:rsid w:val="00872B1C"/>
    <w:rsid w:val="00876317"/>
    <w:rsid w:val="00884711"/>
    <w:rsid w:val="00893A32"/>
    <w:rsid w:val="008950EF"/>
    <w:rsid w:val="0089654A"/>
    <w:rsid w:val="008B388E"/>
    <w:rsid w:val="008E28D1"/>
    <w:rsid w:val="00900810"/>
    <w:rsid w:val="00910158"/>
    <w:rsid w:val="00922D47"/>
    <w:rsid w:val="009239EE"/>
    <w:rsid w:val="00927DD9"/>
    <w:rsid w:val="00936DD4"/>
    <w:rsid w:val="009600FF"/>
    <w:rsid w:val="009653EA"/>
    <w:rsid w:val="009712E0"/>
    <w:rsid w:val="009931BC"/>
    <w:rsid w:val="009B02C2"/>
    <w:rsid w:val="009B7584"/>
    <w:rsid w:val="009D6BF6"/>
    <w:rsid w:val="009E49C3"/>
    <w:rsid w:val="009F0A48"/>
    <w:rsid w:val="009F3B2A"/>
    <w:rsid w:val="00A11AC3"/>
    <w:rsid w:val="00A23411"/>
    <w:rsid w:val="00A24F4A"/>
    <w:rsid w:val="00A26CAA"/>
    <w:rsid w:val="00A36C68"/>
    <w:rsid w:val="00A40EC5"/>
    <w:rsid w:val="00A42D61"/>
    <w:rsid w:val="00A47D70"/>
    <w:rsid w:val="00A6239E"/>
    <w:rsid w:val="00A6352C"/>
    <w:rsid w:val="00A709F0"/>
    <w:rsid w:val="00A73D05"/>
    <w:rsid w:val="00A76F27"/>
    <w:rsid w:val="00A80210"/>
    <w:rsid w:val="00A91D0E"/>
    <w:rsid w:val="00A951B2"/>
    <w:rsid w:val="00AA585C"/>
    <w:rsid w:val="00AA5AE4"/>
    <w:rsid w:val="00AB3063"/>
    <w:rsid w:val="00AB765D"/>
    <w:rsid w:val="00AC2F31"/>
    <w:rsid w:val="00AC7A83"/>
    <w:rsid w:val="00AD25FC"/>
    <w:rsid w:val="00AD2D8F"/>
    <w:rsid w:val="00AE1C42"/>
    <w:rsid w:val="00AE5BBC"/>
    <w:rsid w:val="00AF78F3"/>
    <w:rsid w:val="00B003F2"/>
    <w:rsid w:val="00B032FF"/>
    <w:rsid w:val="00B27F59"/>
    <w:rsid w:val="00B30079"/>
    <w:rsid w:val="00B4046F"/>
    <w:rsid w:val="00B41D80"/>
    <w:rsid w:val="00B42CCE"/>
    <w:rsid w:val="00B42EC7"/>
    <w:rsid w:val="00B57348"/>
    <w:rsid w:val="00B675F8"/>
    <w:rsid w:val="00B67F76"/>
    <w:rsid w:val="00B80744"/>
    <w:rsid w:val="00B8258C"/>
    <w:rsid w:val="00B83902"/>
    <w:rsid w:val="00B86216"/>
    <w:rsid w:val="00B9249E"/>
    <w:rsid w:val="00B92DB6"/>
    <w:rsid w:val="00B96140"/>
    <w:rsid w:val="00BA0499"/>
    <w:rsid w:val="00BA1DF3"/>
    <w:rsid w:val="00BA4A03"/>
    <w:rsid w:val="00BB3C1D"/>
    <w:rsid w:val="00BC2C62"/>
    <w:rsid w:val="00BE2765"/>
    <w:rsid w:val="00BE2FED"/>
    <w:rsid w:val="00BE5110"/>
    <w:rsid w:val="00BF033F"/>
    <w:rsid w:val="00BF1C59"/>
    <w:rsid w:val="00C0281F"/>
    <w:rsid w:val="00C05A31"/>
    <w:rsid w:val="00C10017"/>
    <w:rsid w:val="00C124C3"/>
    <w:rsid w:val="00C15B7A"/>
    <w:rsid w:val="00C17545"/>
    <w:rsid w:val="00C40D9C"/>
    <w:rsid w:val="00C42409"/>
    <w:rsid w:val="00C4668B"/>
    <w:rsid w:val="00C469B3"/>
    <w:rsid w:val="00C720F3"/>
    <w:rsid w:val="00C728F7"/>
    <w:rsid w:val="00C72F39"/>
    <w:rsid w:val="00C732E0"/>
    <w:rsid w:val="00C75B08"/>
    <w:rsid w:val="00C75E14"/>
    <w:rsid w:val="00C87BD2"/>
    <w:rsid w:val="00CA011B"/>
    <w:rsid w:val="00CB3285"/>
    <w:rsid w:val="00CB3492"/>
    <w:rsid w:val="00CB6F5F"/>
    <w:rsid w:val="00CC142C"/>
    <w:rsid w:val="00CC4EEB"/>
    <w:rsid w:val="00CC7869"/>
    <w:rsid w:val="00CD0D54"/>
    <w:rsid w:val="00CD61EF"/>
    <w:rsid w:val="00CD7D77"/>
    <w:rsid w:val="00CE1BFE"/>
    <w:rsid w:val="00CE2554"/>
    <w:rsid w:val="00CE6E13"/>
    <w:rsid w:val="00CF5660"/>
    <w:rsid w:val="00CF7A62"/>
    <w:rsid w:val="00CF7C5F"/>
    <w:rsid w:val="00D05E53"/>
    <w:rsid w:val="00D06AA5"/>
    <w:rsid w:val="00D06AD3"/>
    <w:rsid w:val="00D15789"/>
    <w:rsid w:val="00D27D5A"/>
    <w:rsid w:val="00D36454"/>
    <w:rsid w:val="00D37ECB"/>
    <w:rsid w:val="00D4484D"/>
    <w:rsid w:val="00D50ABF"/>
    <w:rsid w:val="00D52CD4"/>
    <w:rsid w:val="00D530E7"/>
    <w:rsid w:val="00D614EE"/>
    <w:rsid w:val="00D8040D"/>
    <w:rsid w:val="00D920E1"/>
    <w:rsid w:val="00D95638"/>
    <w:rsid w:val="00DA38E4"/>
    <w:rsid w:val="00DA408F"/>
    <w:rsid w:val="00DA4B1A"/>
    <w:rsid w:val="00DA69D2"/>
    <w:rsid w:val="00DB1060"/>
    <w:rsid w:val="00DB3C7E"/>
    <w:rsid w:val="00DC77B4"/>
    <w:rsid w:val="00DC7D19"/>
    <w:rsid w:val="00DD0240"/>
    <w:rsid w:val="00DE676B"/>
    <w:rsid w:val="00DE79E4"/>
    <w:rsid w:val="00DE7A8D"/>
    <w:rsid w:val="00DF26F2"/>
    <w:rsid w:val="00DF5D31"/>
    <w:rsid w:val="00E021EB"/>
    <w:rsid w:val="00E03325"/>
    <w:rsid w:val="00E16354"/>
    <w:rsid w:val="00E16D6D"/>
    <w:rsid w:val="00E17349"/>
    <w:rsid w:val="00E2375F"/>
    <w:rsid w:val="00E33410"/>
    <w:rsid w:val="00E409D8"/>
    <w:rsid w:val="00E46015"/>
    <w:rsid w:val="00E4757D"/>
    <w:rsid w:val="00E479AC"/>
    <w:rsid w:val="00E609CE"/>
    <w:rsid w:val="00E63EC4"/>
    <w:rsid w:val="00E66456"/>
    <w:rsid w:val="00E71F8D"/>
    <w:rsid w:val="00E73A3C"/>
    <w:rsid w:val="00E81D3D"/>
    <w:rsid w:val="00E90D16"/>
    <w:rsid w:val="00E932D0"/>
    <w:rsid w:val="00E94CDE"/>
    <w:rsid w:val="00EA27DC"/>
    <w:rsid w:val="00EA48C2"/>
    <w:rsid w:val="00EA4ADE"/>
    <w:rsid w:val="00EC2E18"/>
    <w:rsid w:val="00EC5BCD"/>
    <w:rsid w:val="00ED40C4"/>
    <w:rsid w:val="00EE0821"/>
    <w:rsid w:val="00EF2325"/>
    <w:rsid w:val="00EF318D"/>
    <w:rsid w:val="00EF4133"/>
    <w:rsid w:val="00F001D9"/>
    <w:rsid w:val="00F01945"/>
    <w:rsid w:val="00F03FC7"/>
    <w:rsid w:val="00F113A9"/>
    <w:rsid w:val="00F14F6E"/>
    <w:rsid w:val="00F219DD"/>
    <w:rsid w:val="00F21ABD"/>
    <w:rsid w:val="00F22765"/>
    <w:rsid w:val="00F22E62"/>
    <w:rsid w:val="00F366C1"/>
    <w:rsid w:val="00F41D22"/>
    <w:rsid w:val="00F4266E"/>
    <w:rsid w:val="00F53789"/>
    <w:rsid w:val="00F54231"/>
    <w:rsid w:val="00F56C9A"/>
    <w:rsid w:val="00F57483"/>
    <w:rsid w:val="00F60CDA"/>
    <w:rsid w:val="00F64091"/>
    <w:rsid w:val="00F6540F"/>
    <w:rsid w:val="00F65B34"/>
    <w:rsid w:val="00F87EB7"/>
    <w:rsid w:val="00F90194"/>
    <w:rsid w:val="00F9685B"/>
    <w:rsid w:val="00FA06C2"/>
    <w:rsid w:val="00FA7FE8"/>
    <w:rsid w:val="00FB1CDC"/>
    <w:rsid w:val="00FB445D"/>
    <w:rsid w:val="00FB73DB"/>
    <w:rsid w:val="00FC2F68"/>
    <w:rsid w:val="00FC3C0B"/>
    <w:rsid w:val="00FC5680"/>
    <w:rsid w:val="00FE02E7"/>
    <w:rsid w:val="00FE52C3"/>
    <w:rsid w:val="00FF0344"/>
    <w:rsid w:val="00FF1215"/>
    <w:rsid w:val="00FF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D9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14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D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D9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31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2016-08-30T15:12:00Z</cp:lastPrinted>
  <dcterms:created xsi:type="dcterms:W3CDTF">2016-10-14T07:33:00Z</dcterms:created>
  <dcterms:modified xsi:type="dcterms:W3CDTF">2016-10-14T07:33:00Z</dcterms:modified>
</cp:coreProperties>
</file>