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AC" w:rsidRPr="00BF100B" w:rsidRDefault="009C1F86" w:rsidP="00896290">
      <w:pPr>
        <w:spacing w:after="0"/>
        <w:jc w:val="center"/>
        <w:rPr>
          <w:rFonts w:ascii="Times New Roman" w:hAnsi="Times New Roman" w:cs="Times New Roman"/>
          <w:b/>
          <w:sz w:val="24"/>
          <w:szCs w:val="24"/>
        </w:rPr>
      </w:pPr>
      <w:r w:rsidRPr="00BF100B">
        <w:rPr>
          <w:rFonts w:ascii="Times New Roman" w:hAnsi="Times New Roman" w:cs="Times New Roman"/>
          <w:b/>
          <w:sz w:val="24"/>
          <w:szCs w:val="24"/>
        </w:rPr>
        <w:t>THE REPUBLIC OF UGANDA</w:t>
      </w:r>
    </w:p>
    <w:p w:rsidR="009C1F86" w:rsidRPr="00BF100B" w:rsidRDefault="009C1F86" w:rsidP="00896290">
      <w:pPr>
        <w:spacing w:after="0"/>
        <w:jc w:val="center"/>
        <w:rPr>
          <w:rFonts w:ascii="Times New Roman" w:hAnsi="Times New Roman" w:cs="Times New Roman"/>
          <w:b/>
          <w:sz w:val="24"/>
          <w:szCs w:val="24"/>
        </w:rPr>
      </w:pPr>
      <w:r w:rsidRPr="00BF100B">
        <w:rPr>
          <w:rFonts w:ascii="Times New Roman" w:hAnsi="Times New Roman" w:cs="Times New Roman"/>
          <w:b/>
          <w:sz w:val="24"/>
          <w:szCs w:val="24"/>
        </w:rPr>
        <w:t>IN THE HIGH COURT OF UGANDA AT KAMPALA</w:t>
      </w:r>
    </w:p>
    <w:p w:rsidR="009C1F86" w:rsidRPr="00BF100B" w:rsidRDefault="00F50431" w:rsidP="00896290">
      <w:pPr>
        <w:spacing w:after="0"/>
        <w:jc w:val="center"/>
        <w:rPr>
          <w:rFonts w:ascii="Times New Roman" w:hAnsi="Times New Roman" w:cs="Times New Roman"/>
          <w:b/>
          <w:sz w:val="24"/>
          <w:szCs w:val="24"/>
        </w:rPr>
      </w:pPr>
      <w:r w:rsidRPr="00BF100B">
        <w:rPr>
          <w:rFonts w:ascii="Times New Roman" w:hAnsi="Times New Roman" w:cs="Times New Roman"/>
          <w:b/>
          <w:sz w:val="24"/>
          <w:szCs w:val="24"/>
        </w:rPr>
        <w:t>[COMMERCIAL DIVISION]</w:t>
      </w:r>
    </w:p>
    <w:p w:rsidR="009C1F86" w:rsidRPr="00BF100B" w:rsidRDefault="009C1F86" w:rsidP="00896290">
      <w:pPr>
        <w:jc w:val="center"/>
        <w:rPr>
          <w:rFonts w:ascii="Times New Roman" w:hAnsi="Times New Roman" w:cs="Times New Roman"/>
          <w:b/>
          <w:sz w:val="24"/>
          <w:szCs w:val="24"/>
        </w:rPr>
      </w:pPr>
      <w:proofErr w:type="gramStart"/>
      <w:r w:rsidRPr="00BF100B">
        <w:rPr>
          <w:rFonts w:ascii="Times New Roman" w:hAnsi="Times New Roman" w:cs="Times New Roman"/>
          <w:b/>
          <w:sz w:val="24"/>
          <w:szCs w:val="24"/>
        </w:rPr>
        <w:t>CONSOLIDATED  CIVIL</w:t>
      </w:r>
      <w:proofErr w:type="gramEnd"/>
      <w:r w:rsidRPr="00BF100B">
        <w:rPr>
          <w:rFonts w:ascii="Times New Roman" w:hAnsi="Times New Roman" w:cs="Times New Roman"/>
          <w:b/>
          <w:sz w:val="24"/>
          <w:szCs w:val="24"/>
        </w:rPr>
        <w:t xml:space="preserve"> SUITS NO. 4 AND 616 OF 2007</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9C1F86" w:rsidRPr="00BF100B">
        <w:rPr>
          <w:rFonts w:ascii="Times New Roman" w:hAnsi="Times New Roman" w:cs="Times New Roman"/>
          <w:sz w:val="24"/>
          <w:szCs w:val="24"/>
        </w:rPr>
        <w:t xml:space="preserve">UNIDRON </w:t>
      </w:r>
      <w:r w:rsidR="0000389A" w:rsidRPr="00BF100B">
        <w:rPr>
          <w:rFonts w:ascii="Times New Roman" w:hAnsi="Times New Roman" w:cs="Times New Roman"/>
          <w:sz w:val="24"/>
          <w:szCs w:val="24"/>
        </w:rPr>
        <w:t>LIMITED</w:t>
      </w:r>
    </w:p>
    <w:p w:rsidR="009C1F86"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 xml:space="preserve">AFRICA ASIA LIMITED  </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 xml:space="preserve">ACME PRINT SERVICES LIMITED </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DOSHI TRADING COMPANY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MG. ENTERPRISES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BAHARI FOODS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KAMPALA INSURANCE CONSULTANTS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MATCH AND MIX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BARCLAYS BANK OF UGANDA LIMITED</w:t>
      </w:r>
      <w:bookmarkStart w:id="0" w:name="_GoBack"/>
      <w:bookmarkEnd w:id="0"/>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ELADAM ENTERPRISES LIMITED</w:t>
      </w:r>
      <w:r w:rsidR="0070496D" w:rsidRPr="00BF100B">
        <w:rPr>
          <w:rFonts w:ascii="Times New Roman" w:hAnsi="Times New Roman" w:cs="Times New Roman"/>
          <w:sz w:val="24"/>
          <w:szCs w:val="24"/>
        </w:rPr>
        <w:t xml:space="preserve">                   ::::</w:t>
      </w:r>
      <w:r w:rsidR="00896290" w:rsidRPr="00BF100B">
        <w:rPr>
          <w:rFonts w:ascii="Times New Roman" w:hAnsi="Times New Roman" w:cs="Times New Roman"/>
          <w:sz w:val="24"/>
          <w:szCs w:val="24"/>
        </w:rPr>
        <w:t>::::::::::::</w:t>
      </w:r>
      <w:r w:rsidR="0070496D" w:rsidRPr="00BF100B">
        <w:rPr>
          <w:rFonts w:ascii="Times New Roman" w:hAnsi="Times New Roman" w:cs="Times New Roman"/>
          <w:sz w:val="24"/>
          <w:szCs w:val="24"/>
        </w:rPr>
        <w:t xml:space="preserve">:: </w:t>
      </w:r>
      <w:r w:rsidR="00896290" w:rsidRPr="00BF100B">
        <w:rPr>
          <w:rFonts w:ascii="Times New Roman" w:hAnsi="Times New Roman" w:cs="Times New Roman"/>
          <w:sz w:val="24"/>
          <w:szCs w:val="24"/>
        </w:rPr>
        <w:t xml:space="preserve"> </w:t>
      </w:r>
      <w:r w:rsidR="0070496D" w:rsidRPr="00BF100B">
        <w:rPr>
          <w:rFonts w:ascii="Times New Roman" w:hAnsi="Times New Roman" w:cs="Times New Roman"/>
          <w:b/>
          <w:sz w:val="24"/>
          <w:szCs w:val="24"/>
        </w:rPr>
        <w:t>PLAINTIFFS</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TRANSIT DUTY FREE SHOP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SLUMBERLAND KENYA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SUKI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DOWN TOWN D.F.S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AFRI ASIA ENTERPRISES (U)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00389A" w:rsidRPr="00BF100B">
        <w:rPr>
          <w:rFonts w:ascii="Times New Roman" w:hAnsi="Times New Roman" w:cs="Times New Roman"/>
          <w:sz w:val="24"/>
          <w:szCs w:val="24"/>
        </w:rPr>
        <w:t>TOKYO STORES LIMITED</w:t>
      </w:r>
    </w:p>
    <w:p w:rsidR="0000389A" w:rsidRPr="00BF100B" w:rsidRDefault="002546AC"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70496D" w:rsidRPr="00BF100B">
        <w:rPr>
          <w:rFonts w:ascii="Times New Roman" w:hAnsi="Times New Roman" w:cs="Times New Roman"/>
          <w:sz w:val="24"/>
          <w:szCs w:val="24"/>
        </w:rPr>
        <w:t>LUKWAGO CONSTRUCTION LIMITED</w:t>
      </w:r>
    </w:p>
    <w:p w:rsidR="0070496D" w:rsidRPr="00BF100B" w:rsidRDefault="001F07CA"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70496D" w:rsidRPr="00BF100B">
        <w:rPr>
          <w:rFonts w:ascii="Times New Roman" w:hAnsi="Times New Roman" w:cs="Times New Roman"/>
          <w:sz w:val="24"/>
          <w:szCs w:val="24"/>
        </w:rPr>
        <w:t>PICA AND PRINTARY AND STATIONARY LIMITED</w:t>
      </w:r>
    </w:p>
    <w:p w:rsidR="0070496D" w:rsidRPr="00BF100B" w:rsidRDefault="001F07CA"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70496D" w:rsidRPr="00BF100B">
        <w:rPr>
          <w:rFonts w:ascii="Times New Roman" w:hAnsi="Times New Roman" w:cs="Times New Roman"/>
          <w:sz w:val="24"/>
          <w:szCs w:val="24"/>
        </w:rPr>
        <w:t>SARAH NAKANDI</w:t>
      </w:r>
    </w:p>
    <w:p w:rsidR="0070496D" w:rsidRPr="00BF100B" w:rsidRDefault="0070496D"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GLOBAL INSURANCE CO LIMITED</w:t>
      </w:r>
    </w:p>
    <w:p w:rsidR="0070496D" w:rsidRPr="00BF100B" w:rsidRDefault="001F07CA"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70496D" w:rsidRPr="00BF100B">
        <w:rPr>
          <w:rFonts w:ascii="Times New Roman" w:hAnsi="Times New Roman" w:cs="Times New Roman"/>
          <w:sz w:val="24"/>
          <w:szCs w:val="24"/>
        </w:rPr>
        <w:t>FIONA SIMBWA MUBIRU</w:t>
      </w:r>
    </w:p>
    <w:p w:rsidR="0070496D" w:rsidRPr="00BF100B" w:rsidRDefault="001F07CA"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70496D" w:rsidRPr="00BF100B">
        <w:rPr>
          <w:rFonts w:ascii="Times New Roman" w:hAnsi="Times New Roman" w:cs="Times New Roman"/>
          <w:sz w:val="24"/>
          <w:szCs w:val="24"/>
        </w:rPr>
        <w:t>E.B.N KITYO</w:t>
      </w:r>
    </w:p>
    <w:p w:rsidR="0070496D" w:rsidRPr="00BF100B" w:rsidRDefault="001F07CA"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       </w:t>
      </w:r>
      <w:r w:rsidR="0070496D" w:rsidRPr="00BF100B">
        <w:rPr>
          <w:rFonts w:ascii="Times New Roman" w:hAnsi="Times New Roman" w:cs="Times New Roman"/>
          <w:sz w:val="24"/>
          <w:szCs w:val="24"/>
        </w:rPr>
        <w:t>LYBRO GENERAL AGENCIES LIMITED</w:t>
      </w:r>
    </w:p>
    <w:p w:rsidR="0070496D" w:rsidRPr="00BF100B" w:rsidRDefault="0070496D" w:rsidP="00896290">
      <w:pPr>
        <w:pStyle w:val="ListParagraph"/>
        <w:numPr>
          <w:ilvl w:val="0"/>
          <w:numId w:val="1"/>
        </w:numPr>
        <w:rPr>
          <w:rFonts w:ascii="Times New Roman" w:hAnsi="Times New Roman" w:cs="Times New Roman"/>
          <w:sz w:val="24"/>
          <w:szCs w:val="24"/>
        </w:rPr>
      </w:pPr>
      <w:r w:rsidRPr="00BF100B">
        <w:rPr>
          <w:rFonts w:ascii="Times New Roman" w:hAnsi="Times New Roman" w:cs="Times New Roman"/>
          <w:sz w:val="24"/>
          <w:szCs w:val="24"/>
        </w:rPr>
        <w:t xml:space="preserve">MUGENYI &amp; CO. ADVOCATES </w:t>
      </w:r>
    </w:p>
    <w:p w:rsidR="0070496D" w:rsidRPr="00BF100B" w:rsidRDefault="0070496D" w:rsidP="00896290">
      <w:pPr>
        <w:spacing w:after="0"/>
        <w:jc w:val="center"/>
        <w:rPr>
          <w:rFonts w:ascii="Times New Roman" w:hAnsi="Times New Roman" w:cs="Times New Roman"/>
          <w:sz w:val="24"/>
          <w:szCs w:val="24"/>
        </w:rPr>
      </w:pPr>
      <w:r w:rsidRPr="00BF100B">
        <w:rPr>
          <w:rFonts w:ascii="Times New Roman" w:hAnsi="Times New Roman" w:cs="Times New Roman"/>
          <w:sz w:val="24"/>
          <w:szCs w:val="24"/>
        </w:rPr>
        <w:t>VERSUS</w:t>
      </w:r>
    </w:p>
    <w:p w:rsidR="0070496D" w:rsidRPr="00BF100B" w:rsidRDefault="0070496D" w:rsidP="00896290">
      <w:pPr>
        <w:rPr>
          <w:rFonts w:ascii="Times New Roman" w:hAnsi="Times New Roman" w:cs="Times New Roman"/>
          <w:sz w:val="24"/>
          <w:szCs w:val="24"/>
        </w:rPr>
      </w:pPr>
      <w:r w:rsidRPr="00BF100B">
        <w:rPr>
          <w:rFonts w:ascii="Times New Roman" w:hAnsi="Times New Roman" w:cs="Times New Roman"/>
          <w:sz w:val="24"/>
          <w:szCs w:val="24"/>
        </w:rPr>
        <w:t xml:space="preserve">ATTORNEY </w:t>
      </w:r>
      <w:proofErr w:type="gramStart"/>
      <w:r w:rsidRPr="00BF100B">
        <w:rPr>
          <w:rFonts w:ascii="Times New Roman" w:hAnsi="Times New Roman" w:cs="Times New Roman"/>
          <w:sz w:val="24"/>
          <w:szCs w:val="24"/>
        </w:rPr>
        <w:t xml:space="preserve">GENERAL     </w:t>
      </w:r>
      <w:r w:rsidR="00896290" w:rsidRPr="00BF100B">
        <w:rPr>
          <w:rFonts w:ascii="Times New Roman" w:hAnsi="Times New Roman" w:cs="Times New Roman"/>
          <w:b/>
          <w:sz w:val="24"/>
          <w:szCs w:val="24"/>
        </w:rPr>
        <w:t>:::::::::::::::::::::::::::::::::::::::::::::</w:t>
      </w:r>
      <w:proofErr w:type="gramEnd"/>
      <w:r w:rsidR="00896290" w:rsidRPr="00BF100B">
        <w:rPr>
          <w:rFonts w:ascii="Times New Roman" w:hAnsi="Times New Roman" w:cs="Times New Roman"/>
          <w:b/>
          <w:sz w:val="24"/>
          <w:szCs w:val="24"/>
        </w:rPr>
        <w:t xml:space="preserve">  </w:t>
      </w:r>
      <w:r w:rsidRPr="00BF100B">
        <w:rPr>
          <w:rFonts w:ascii="Times New Roman" w:hAnsi="Times New Roman" w:cs="Times New Roman"/>
          <w:b/>
          <w:sz w:val="24"/>
          <w:szCs w:val="24"/>
        </w:rPr>
        <w:t xml:space="preserve"> DEFENDANT</w:t>
      </w:r>
      <w:r w:rsidRPr="00BF100B">
        <w:rPr>
          <w:rFonts w:ascii="Times New Roman" w:hAnsi="Times New Roman" w:cs="Times New Roman"/>
          <w:sz w:val="24"/>
          <w:szCs w:val="24"/>
        </w:rPr>
        <w:t xml:space="preserve">                                       </w:t>
      </w:r>
    </w:p>
    <w:p w:rsidR="0070496D" w:rsidRPr="00BF100B" w:rsidRDefault="0070496D" w:rsidP="003871CA">
      <w:pPr>
        <w:spacing w:line="360" w:lineRule="auto"/>
        <w:jc w:val="center"/>
        <w:rPr>
          <w:rFonts w:ascii="Times New Roman" w:hAnsi="Times New Roman" w:cs="Times New Roman"/>
          <w:b/>
          <w:sz w:val="24"/>
          <w:szCs w:val="24"/>
        </w:rPr>
      </w:pPr>
      <w:r w:rsidRPr="00BF100B">
        <w:rPr>
          <w:rFonts w:ascii="Times New Roman" w:hAnsi="Times New Roman" w:cs="Times New Roman"/>
          <w:b/>
          <w:sz w:val="24"/>
          <w:szCs w:val="24"/>
        </w:rPr>
        <w:t xml:space="preserve">BEFORE: HON. </w:t>
      </w:r>
      <w:r w:rsidR="00460BE5" w:rsidRPr="00BF100B">
        <w:rPr>
          <w:rFonts w:ascii="Times New Roman" w:hAnsi="Times New Roman" w:cs="Times New Roman"/>
          <w:b/>
          <w:sz w:val="24"/>
          <w:szCs w:val="24"/>
        </w:rPr>
        <w:t xml:space="preserve">MR. </w:t>
      </w:r>
      <w:r w:rsidRPr="00BF100B">
        <w:rPr>
          <w:rFonts w:ascii="Times New Roman" w:hAnsi="Times New Roman" w:cs="Times New Roman"/>
          <w:b/>
          <w:sz w:val="24"/>
          <w:szCs w:val="24"/>
        </w:rPr>
        <w:t>JUSTICE B. KAINAMURA</w:t>
      </w:r>
    </w:p>
    <w:p w:rsidR="0070496D" w:rsidRPr="00BF100B" w:rsidRDefault="0070496D" w:rsidP="003871CA">
      <w:pPr>
        <w:spacing w:line="360" w:lineRule="auto"/>
        <w:jc w:val="center"/>
        <w:rPr>
          <w:rFonts w:ascii="Times New Roman" w:hAnsi="Times New Roman" w:cs="Times New Roman"/>
          <w:b/>
          <w:sz w:val="24"/>
          <w:szCs w:val="24"/>
        </w:rPr>
      </w:pPr>
      <w:r w:rsidRPr="00BF100B">
        <w:rPr>
          <w:rFonts w:ascii="Times New Roman" w:hAnsi="Times New Roman" w:cs="Times New Roman"/>
          <w:b/>
          <w:sz w:val="24"/>
          <w:szCs w:val="24"/>
        </w:rPr>
        <w:t>JUDGMENT</w:t>
      </w:r>
    </w:p>
    <w:p w:rsidR="00012DAD" w:rsidRPr="00BF100B" w:rsidRDefault="00DC046E"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The</w:t>
      </w:r>
      <w:r w:rsidR="00F03936" w:rsidRPr="00BF100B">
        <w:rPr>
          <w:rFonts w:ascii="Times New Roman" w:hAnsi="Times New Roman" w:cs="Times New Roman"/>
          <w:sz w:val="24"/>
          <w:szCs w:val="24"/>
        </w:rPr>
        <w:t xml:space="preserve"> plaintiffs are proved creditors of Uganda General</w:t>
      </w:r>
      <w:r w:rsidR="006E2C6D" w:rsidRPr="00BF100B">
        <w:rPr>
          <w:rFonts w:ascii="Times New Roman" w:hAnsi="Times New Roman" w:cs="Times New Roman"/>
          <w:sz w:val="24"/>
          <w:szCs w:val="24"/>
        </w:rPr>
        <w:t xml:space="preserve"> Merchandise Limited and Uganda </w:t>
      </w:r>
      <w:r w:rsidR="00F03936" w:rsidRPr="00BF100B">
        <w:rPr>
          <w:rFonts w:ascii="Times New Roman" w:hAnsi="Times New Roman" w:cs="Times New Roman"/>
          <w:sz w:val="24"/>
          <w:szCs w:val="24"/>
        </w:rPr>
        <w:t>Transport Company Limited</w:t>
      </w:r>
      <w:r w:rsidR="00A6051F" w:rsidRPr="00BF100B">
        <w:rPr>
          <w:rFonts w:ascii="Times New Roman" w:hAnsi="Times New Roman" w:cs="Times New Roman"/>
          <w:sz w:val="24"/>
          <w:szCs w:val="24"/>
        </w:rPr>
        <w:t>,</w:t>
      </w:r>
      <w:r w:rsidR="00F03936" w:rsidRPr="00BF100B">
        <w:rPr>
          <w:rFonts w:ascii="Times New Roman" w:hAnsi="Times New Roman" w:cs="Times New Roman"/>
          <w:sz w:val="24"/>
          <w:szCs w:val="24"/>
        </w:rPr>
        <w:t xml:space="preserve"> which were divested and </w:t>
      </w:r>
      <w:r w:rsidR="00A6051F" w:rsidRPr="00BF100B">
        <w:rPr>
          <w:rFonts w:ascii="Times New Roman" w:hAnsi="Times New Roman" w:cs="Times New Roman"/>
          <w:sz w:val="24"/>
          <w:szCs w:val="24"/>
        </w:rPr>
        <w:t>liquidated</w:t>
      </w:r>
      <w:r w:rsidR="00F03936" w:rsidRPr="00BF100B">
        <w:rPr>
          <w:rFonts w:ascii="Times New Roman" w:hAnsi="Times New Roman" w:cs="Times New Roman"/>
          <w:sz w:val="24"/>
          <w:szCs w:val="24"/>
        </w:rPr>
        <w:t xml:space="preserve"> under the Public Enterprises Reform and Divesture Act, 1993</w:t>
      </w:r>
      <w:r w:rsidR="00012DAD" w:rsidRPr="00BF100B">
        <w:rPr>
          <w:rFonts w:ascii="Times New Roman" w:hAnsi="Times New Roman" w:cs="Times New Roman"/>
          <w:sz w:val="24"/>
          <w:szCs w:val="24"/>
        </w:rPr>
        <w:t xml:space="preserve">. However, according to the Liquidators Statements of Account which listed the plaintiffs as creditors, the proceeds from the liquidation process were not sufficient to pay the creditors, including the plaintiffs herein. </w:t>
      </w:r>
    </w:p>
    <w:p w:rsidR="0041258C" w:rsidRPr="00BF100B" w:rsidRDefault="00012DAD"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lastRenderedPageBreak/>
        <w:t xml:space="preserve">The plaintiffs separately instituted civil suits No. 4 and </w:t>
      </w:r>
      <w:r w:rsidR="00AE06C9" w:rsidRPr="00BF100B">
        <w:rPr>
          <w:rFonts w:ascii="Times New Roman" w:hAnsi="Times New Roman" w:cs="Times New Roman"/>
          <w:sz w:val="24"/>
          <w:szCs w:val="24"/>
        </w:rPr>
        <w:t>616 of 2007 against the defendant claiming for amounts due to them that were proved in liquidation and interest</w:t>
      </w:r>
      <w:r w:rsidR="00A6051F" w:rsidRPr="00BF100B">
        <w:rPr>
          <w:rFonts w:ascii="Times New Roman" w:hAnsi="Times New Roman" w:cs="Times New Roman"/>
          <w:sz w:val="24"/>
          <w:szCs w:val="24"/>
        </w:rPr>
        <w:t xml:space="preserve"> thereon. It was the plaintiffs’</w:t>
      </w:r>
      <w:r w:rsidR="00AE06C9" w:rsidRPr="00BF100B">
        <w:rPr>
          <w:rFonts w:ascii="Times New Roman" w:hAnsi="Times New Roman" w:cs="Times New Roman"/>
          <w:sz w:val="24"/>
          <w:szCs w:val="24"/>
        </w:rPr>
        <w:t xml:space="preserve"> case that the defendant had a statutory duty to pay the </w:t>
      </w:r>
      <w:proofErr w:type="spellStart"/>
      <w:r w:rsidR="00AE06C9" w:rsidRPr="00BF100B">
        <w:rPr>
          <w:rFonts w:ascii="Times New Roman" w:hAnsi="Times New Roman" w:cs="Times New Roman"/>
          <w:sz w:val="24"/>
          <w:szCs w:val="24"/>
        </w:rPr>
        <w:t>plaintiffs</w:t>
      </w:r>
      <w:proofErr w:type="spellEnd"/>
      <w:r w:rsidR="00AE06C9" w:rsidRPr="00BF100B">
        <w:rPr>
          <w:rFonts w:ascii="Times New Roman" w:hAnsi="Times New Roman" w:cs="Times New Roman"/>
          <w:sz w:val="24"/>
          <w:szCs w:val="24"/>
        </w:rPr>
        <w:t xml:space="preserve"> claims by virtue of </w:t>
      </w:r>
      <w:r w:rsidR="0077475A" w:rsidRPr="00BF100B">
        <w:rPr>
          <w:rFonts w:ascii="Times New Roman" w:hAnsi="Times New Roman" w:cs="Times New Roman"/>
          <w:b/>
          <w:sz w:val="24"/>
          <w:szCs w:val="24"/>
        </w:rPr>
        <w:t>S</w:t>
      </w:r>
      <w:r w:rsidR="00AE06C9" w:rsidRPr="00BF100B">
        <w:rPr>
          <w:rFonts w:ascii="Times New Roman" w:hAnsi="Times New Roman" w:cs="Times New Roman"/>
          <w:b/>
          <w:sz w:val="24"/>
          <w:szCs w:val="24"/>
        </w:rPr>
        <w:t>ection 2</w:t>
      </w:r>
      <w:r w:rsidR="00AE06C9" w:rsidRPr="00BF100B">
        <w:rPr>
          <w:rFonts w:ascii="Times New Roman" w:hAnsi="Times New Roman" w:cs="Times New Roman"/>
          <w:sz w:val="24"/>
          <w:szCs w:val="24"/>
        </w:rPr>
        <w:t xml:space="preserve"> and </w:t>
      </w:r>
      <w:r w:rsidR="00AE06C9" w:rsidRPr="00BF100B">
        <w:rPr>
          <w:rFonts w:ascii="Times New Roman" w:hAnsi="Times New Roman" w:cs="Times New Roman"/>
          <w:b/>
          <w:sz w:val="24"/>
          <w:szCs w:val="24"/>
        </w:rPr>
        <w:t>34</w:t>
      </w:r>
      <w:r w:rsidR="00AE06C9" w:rsidRPr="00BF100B">
        <w:rPr>
          <w:rFonts w:ascii="Times New Roman" w:hAnsi="Times New Roman" w:cs="Times New Roman"/>
          <w:sz w:val="24"/>
          <w:szCs w:val="24"/>
        </w:rPr>
        <w:t xml:space="preserve"> of the </w:t>
      </w:r>
      <w:r w:rsidR="00AE06C9" w:rsidRPr="00BF100B">
        <w:rPr>
          <w:rFonts w:ascii="Times New Roman" w:hAnsi="Times New Roman" w:cs="Times New Roman"/>
          <w:b/>
          <w:sz w:val="24"/>
          <w:szCs w:val="24"/>
        </w:rPr>
        <w:t>Public Enterprise Reform</w:t>
      </w:r>
      <w:r w:rsidR="00AE06C9" w:rsidRPr="00BF100B">
        <w:rPr>
          <w:rFonts w:ascii="Times New Roman" w:hAnsi="Times New Roman" w:cs="Times New Roman"/>
          <w:sz w:val="24"/>
          <w:szCs w:val="24"/>
        </w:rPr>
        <w:t xml:space="preserve"> and </w:t>
      </w:r>
      <w:r w:rsidR="00AE06C9" w:rsidRPr="00BF100B">
        <w:rPr>
          <w:rFonts w:ascii="Times New Roman" w:hAnsi="Times New Roman" w:cs="Times New Roman"/>
          <w:b/>
          <w:sz w:val="24"/>
          <w:szCs w:val="24"/>
        </w:rPr>
        <w:t>Divesture Act</w:t>
      </w:r>
      <w:r w:rsidR="00AE06C9" w:rsidRPr="00BF100B">
        <w:rPr>
          <w:rFonts w:ascii="Times New Roman" w:hAnsi="Times New Roman" w:cs="Times New Roman"/>
          <w:sz w:val="24"/>
          <w:szCs w:val="24"/>
        </w:rPr>
        <w:t xml:space="preserve"> (PERD Statute) and under </w:t>
      </w:r>
      <w:r w:rsidR="0077475A" w:rsidRPr="00BF100B">
        <w:rPr>
          <w:rFonts w:ascii="Times New Roman" w:hAnsi="Times New Roman" w:cs="Times New Roman"/>
          <w:b/>
          <w:sz w:val="24"/>
          <w:szCs w:val="24"/>
        </w:rPr>
        <w:t>S</w:t>
      </w:r>
      <w:r w:rsidR="00AE06C9" w:rsidRPr="00BF100B">
        <w:rPr>
          <w:rFonts w:ascii="Times New Roman" w:hAnsi="Times New Roman" w:cs="Times New Roman"/>
          <w:b/>
          <w:sz w:val="24"/>
          <w:szCs w:val="24"/>
        </w:rPr>
        <w:t>ection 21</w:t>
      </w:r>
      <w:r w:rsidR="00AE06C9" w:rsidRPr="00BF100B">
        <w:rPr>
          <w:rFonts w:ascii="Times New Roman" w:hAnsi="Times New Roman" w:cs="Times New Roman"/>
          <w:sz w:val="24"/>
          <w:szCs w:val="24"/>
        </w:rPr>
        <w:t xml:space="preserve"> of the</w:t>
      </w:r>
      <w:r w:rsidR="008D1E06" w:rsidRPr="00BF100B">
        <w:rPr>
          <w:rFonts w:ascii="Times New Roman" w:hAnsi="Times New Roman" w:cs="Times New Roman"/>
          <w:sz w:val="24"/>
          <w:szCs w:val="24"/>
        </w:rPr>
        <w:t xml:space="preserve"> </w:t>
      </w:r>
      <w:r w:rsidR="008D1E06" w:rsidRPr="00BF100B">
        <w:rPr>
          <w:rFonts w:ascii="Times New Roman" w:hAnsi="Times New Roman" w:cs="Times New Roman"/>
          <w:b/>
          <w:sz w:val="24"/>
          <w:szCs w:val="24"/>
        </w:rPr>
        <w:t>PERD (Amendment) Statue, 2000</w:t>
      </w:r>
      <w:r w:rsidR="008D1E06" w:rsidRPr="00BF100B">
        <w:rPr>
          <w:rFonts w:ascii="Times New Roman" w:hAnsi="Times New Roman" w:cs="Times New Roman"/>
          <w:sz w:val="24"/>
          <w:szCs w:val="24"/>
        </w:rPr>
        <w:t>. It was the plaintiffs</w:t>
      </w:r>
      <w:r w:rsidR="0041258C" w:rsidRPr="00BF100B">
        <w:rPr>
          <w:rFonts w:ascii="Times New Roman" w:hAnsi="Times New Roman" w:cs="Times New Roman"/>
          <w:sz w:val="24"/>
          <w:szCs w:val="24"/>
        </w:rPr>
        <w:t>’</w:t>
      </w:r>
      <w:r w:rsidR="008D1E06" w:rsidRPr="00BF100B">
        <w:rPr>
          <w:rFonts w:ascii="Times New Roman" w:hAnsi="Times New Roman" w:cs="Times New Roman"/>
          <w:sz w:val="24"/>
          <w:szCs w:val="24"/>
        </w:rPr>
        <w:t xml:space="preserve"> further </w:t>
      </w:r>
      <w:r w:rsidR="00AF0FA3" w:rsidRPr="00BF100B">
        <w:rPr>
          <w:rFonts w:ascii="Times New Roman" w:hAnsi="Times New Roman" w:cs="Times New Roman"/>
          <w:sz w:val="24"/>
          <w:szCs w:val="24"/>
        </w:rPr>
        <w:t xml:space="preserve">contention that in total disregard of the Attorney General’s and Solicitor General’s advice that the plaintiffs ought to be paid, Government officials neglected/refused to pay the plaintiffs. </w:t>
      </w:r>
      <w:r w:rsidR="0041258C" w:rsidRPr="00BF100B">
        <w:rPr>
          <w:rFonts w:ascii="Times New Roman" w:hAnsi="Times New Roman" w:cs="Times New Roman"/>
          <w:sz w:val="24"/>
          <w:szCs w:val="24"/>
        </w:rPr>
        <w:t xml:space="preserve">When the </w:t>
      </w:r>
      <w:r w:rsidR="00A6051F" w:rsidRPr="00BF100B">
        <w:rPr>
          <w:rFonts w:ascii="Times New Roman" w:hAnsi="Times New Roman" w:cs="Times New Roman"/>
          <w:sz w:val="24"/>
          <w:szCs w:val="24"/>
        </w:rPr>
        <w:t xml:space="preserve">matter </w:t>
      </w:r>
      <w:r w:rsidR="0041258C" w:rsidRPr="00BF100B">
        <w:rPr>
          <w:rFonts w:ascii="Times New Roman" w:hAnsi="Times New Roman" w:cs="Times New Roman"/>
          <w:sz w:val="24"/>
          <w:szCs w:val="24"/>
        </w:rPr>
        <w:t xml:space="preserve">came up for hearing, the suits were consolidated considering that the claims were similar in substance and the defendant was the same. </w:t>
      </w:r>
    </w:p>
    <w:p w:rsidR="00646DA3" w:rsidRPr="00BF100B" w:rsidRDefault="0041258C"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its written statement of </w:t>
      </w:r>
      <w:proofErr w:type="spellStart"/>
      <w:r w:rsidRPr="00BF100B">
        <w:rPr>
          <w:rFonts w:ascii="Times New Roman" w:hAnsi="Times New Roman" w:cs="Times New Roman"/>
          <w:sz w:val="24"/>
          <w:szCs w:val="24"/>
        </w:rPr>
        <w:t>defence</w:t>
      </w:r>
      <w:proofErr w:type="spellEnd"/>
      <w:r w:rsidRPr="00BF100B">
        <w:rPr>
          <w:rFonts w:ascii="Times New Roman" w:hAnsi="Times New Roman" w:cs="Times New Roman"/>
          <w:sz w:val="24"/>
          <w:szCs w:val="24"/>
        </w:rPr>
        <w:t>, the defendant contended that it was not legally bound by requests from liquidators to remit any fun</w:t>
      </w:r>
      <w:r w:rsidR="00A6051F" w:rsidRPr="00BF100B">
        <w:rPr>
          <w:rFonts w:ascii="Times New Roman" w:hAnsi="Times New Roman" w:cs="Times New Roman"/>
          <w:sz w:val="24"/>
          <w:szCs w:val="24"/>
        </w:rPr>
        <w:t>ds in respect of the plaintiffs’</w:t>
      </w:r>
      <w:r w:rsidRPr="00BF100B">
        <w:rPr>
          <w:rFonts w:ascii="Times New Roman" w:hAnsi="Times New Roman" w:cs="Times New Roman"/>
          <w:sz w:val="24"/>
          <w:szCs w:val="24"/>
        </w:rPr>
        <w:t xml:space="preserve"> claims and that the </w:t>
      </w:r>
      <w:r w:rsidRPr="00BF100B">
        <w:rPr>
          <w:rFonts w:ascii="Times New Roman" w:hAnsi="Times New Roman" w:cs="Times New Roman"/>
          <w:b/>
          <w:sz w:val="24"/>
          <w:szCs w:val="24"/>
        </w:rPr>
        <w:t>PERD Statute, 1993,</w:t>
      </w:r>
      <w:r w:rsidRPr="00BF100B">
        <w:rPr>
          <w:rFonts w:ascii="Times New Roman" w:hAnsi="Times New Roman" w:cs="Times New Roman"/>
          <w:sz w:val="24"/>
          <w:szCs w:val="24"/>
        </w:rPr>
        <w:t xml:space="preserve"> was inapplicable to the present case and did not entitle the plaintiffs to any claim against Government.</w:t>
      </w:r>
      <w:r w:rsidR="00646DA3" w:rsidRPr="00BF100B">
        <w:rPr>
          <w:rFonts w:ascii="Times New Roman" w:hAnsi="Times New Roman" w:cs="Times New Roman"/>
          <w:sz w:val="24"/>
          <w:szCs w:val="24"/>
        </w:rPr>
        <w:t xml:space="preserve"> Further, that there were no funds on the Divesture Account which coul</w:t>
      </w:r>
      <w:r w:rsidR="00A6051F" w:rsidRPr="00BF100B">
        <w:rPr>
          <w:rFonts w:ascii="Times New Roman" w:hAnsi="Times New Roman" w:cs="Times New Roman"/>
          <w:sz w:val="24"/>
          <w:szCs w:val="24"/>
        </w:rPr>
        <w:t xml:space="preserve">d be used to pay the </w:t>
      </w:r>
      <w:proofErr w:type="spellStart"/>
      <w:r w:rsidR="00A6051F" w:rsidRPr="00BF100B">
        <w:rPr>
          <w:rFonts w:ascii="Times New Roman" w:hAnsi="Times New Roman" w:cs="Times New Roman"/>
          <w:sz w:val="24"/>
          <w:szCs w:val="24"/>
        </w:rPr>
        <w:t>plaintiffs</w:t>
      </w:r>
      <w:proofErr w:type="spellEnd"/>
      <w:r w:rsidR="00646DA3" w:rsidRPr="00BF100B">
        <w:rPr>
          <w:rFonts w:ascii="Times New Roman" w:hAnsi="Times New Roman" w:cs="Times New Roman"/>
          <w:sz w:val="24"/>
          <w:szCs w:val="24"/>
        </w:rPr>
        <w:t xml:space="preserve"> claims, which in any case were payable in liquidation and not from the Divesture Account. </w:t>
      </w:r>
    </w:p>
    <w:p w:rsidR="00646DA3" w:rsidRPr="00BF100B" w:rsidRDefault="00646DA3"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At the scheduling conference, the following issues were agreed upon for determination:</w:t>
      </w:r>
      <w:r w:rsidR="00A6051F" w:rsidRPr="00BF100B">
        <w:rPr>
          <w:rFonts w:ascii="Times New Roman" w:hAnsi="Times New Roman" w:cs="Times New Roman"/>
          <w:sz w:val="24"/>
          <w:szCs w:val="24"/>
        </w:rPr>
        <w:t>-</w:t>
      </w:r>
    </w:p>
    <w:p w:rsidR="00646DA3" w:rsidRPr="00BF100B" w:rsidRDefault="00646DA3" w:rsidP="003871CA">
      <w:pPr>
        <w:pStyle w:val="ListParagraph"/>
        <w:numPr>
          <w:ilvl w:val="0"/>
          <w:numId w:val="2"/>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 xml:space="preserve">Whether the Minister of Finance and the Divesture and Reform Implementation Committee have a statutory duty to pay the plaintiffs’ claim under the </w:t>
      </w:r>
      <w:r w:rsidRPr="00BF100B">
        <w:rPr>
          <w:rFonts w:ascii="Times New Roman" w:hAnsi="Times New Roman" w:cs="Times New Roman"/>
          <w:b/>
          <w:i/>
          <w:sz w:val="24"/>
          <w:szCs w:val="24"/>
        </w:rPr>
        <w:t>PERD Act.</w:t>
      </w:r>
    </w:p>
    <w:p w:rsidR="00646DA3" w:rsidRPr="00BF100B" w:rsidRDefault="00646DA3" w:rsidP="003871CA">
      <w:pPr>
        <w:pStyle w:val="ListParagraph"/>
        <w:numPr>
          <w:ilvl w:val="0"/>
          <w:numId w:val="2"/>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 xml:space="preserve">Whether the Development Credit Agreement was incorporated by reference into the </w:t>
      </w:r>
      <w:r w:rsidRPr="00BF100B">
        <w:rPr>
          <w:rFonts w:ascii="Times New Roman" w:hAnsi="Times New Roman" w:cs="Times New Roman"/>
          <w:b/>
          <w:i/>
          <w:sz w:val="24"/>
          <w:szCs w:val="24"/>
        </w:rPr>
        <w:t>PERD Act</w:t>
      </w:r>
      <w:r w:rsidRPr="00BF100B">
        <w:rPr>
          <w:rFonts w:ascii="Times New Roman" w:hAnsi="Times New Roman" w:cs="Times New Roman"/>
          <w:i/>
          <w:sz w:val="24"/>
          <w:szCs w:val="24"/>
        </w:rPr>
        <w:t>.</w:t>
      </w:r>
    </w:p>
    <w:p w:rsidR="001F3584" w:rsidRPr="00BF100B" w:rsidRDefault="00646DA3" w:rsidP="003871CA">
      <w:pPr>
        <w:pStyle w:val="ListParagraph"/>
        <w:numPr>
          <w:ilvl w:val="0"/>
          <w:numId w:val="2"/>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 xml:space="preserve">Whether the plaintiffs are entitled to the prayers in the </w:t>
      </w:r>
      <w:r w:rsidR="001F3584" w:rsidRPr="00BF100B">
        <w:rPr>
          <w:rFonts w:ascii="Times New Roman" w:hAnsi="Times New Roman" w:cs="Times New Roman"/>
          <w:i/>
          <w:sz w:val="24"/>
          <w:szCs w:val="24"/>
        </w:rPr>
        <w:t xml:space="preserve">plaint. </w:t>
      </w:r>
    </w:p>
    <w:p w:rsidR="001F3584" w:rsidRPr="00BF100B" w:rsidRDefault="001F3584"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At the commencement of the hearing,</w:t>
      </w:r>
      <w:r w:rsidR="00A6051F" w:rsidRPr="00BF100B">
        <w:rPr>
          <w:rFonts w:ascii="Times New Roman" w:hAnsi="Times New Roman" w:cs="Times New Roman"/>
          <w:sz w:val="24"/>
          <w:szCs w:val="24"/>
        </w:rPr>
        <w:t xml:space="preserve"> and</w:t>
      </w:r>
      <w:r w:rsidRPr="00BF100B">
        <w:rPr>
          <w:rFonts w:ascii="Times New Roman" w:hAnsi="Times New Roman" w:cs="Times New Roman"/>
          <w:sz w:val="24"/>
          <w:szCs w:val="24"/>
        </w:rPr>
        <w:t xml:space="preserve"> </w:t>
      </w:r>
      <w:r w:rsidR="00A6051F" w:rsidRPr="00BF100B">
        <w:rPr>
          <w:rFonts w:ascii="Times New Roman" w:hAnsi="Times New Roman" w:cs="Times New Roman"/>
          <w:sz w:val="24"/>
          <w:szCs w:val="24"/>
        </w:rPr>
        <w:t xml:space="preserve">at the request of </w:t>
      </w:r>
      <w:r w:rsidR="003E2098"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A6051F" w:rsidRPr="00BF100B">
        <w:rPr>
          <w:rFonts w:ascii="Times New Roman" w:hAnsi="Times New Roman" w:cs="Times New Roman"/>
          <w:sz w:val="24"/>
          <w:szCs w:val="24"/>
        </w:rPr>
        <w:t>for the defendant, the following additional issue was allowed for determination</w:t>
      </w:r>
      <w:r w:rsidRPr="00BF100B">
        <w:rPr>
          <w:rFonts w:ascii="Times New Roman" w:hAnsi="Times New Roman" w:cs="Times New Roman"/>
          <w:sz w:val="24"/>
          <w:szCs w:val="24"/>
        </w:rPr>
        <w:t>:</w:t>
      </w:r>
      <w:r w:rsidR="00A6051F" w:rsidRPr="00BF100B">
        <w:rPr>
          <w:rFonts w:ascii="Times New Roman" w:hAnsi="Times New Roman" w:cs="Times New Roman"/>
          <w:sz w:val="24"/>
          <w:szCs w:val="24"/>
        </w:rPr>
        <w:t>-</w:t>
      </w:r>
    </w:p>
    <w:p w:rsidR="00A6051F" w:rsidRPr="00BF100B" w:rsidRDefault="001F3584" w:rsidP="003871CA">
      <w:pPr>
        <w:spacing w:line="360" w:lineRule="auto"/>
        <w:ind w:left="1440"/>
        <w:jc w:val="both"/>
        <w:rPr>
          <w:rFonts w:ascii="Times New Roman" w:hAnsi="Times New Roman" w:cs="Times New Roman"/>
          <w:i/>
          <w:sz w:val="24"/>
          <w:szCs w:val="24"/>
        </w:rPr>
      </w:pPr>
      <w:proofErr w:type="gramStart"/>
      <w:r w:rsidRPr="00BF100B">
        <w:rPr>
          <w:rFonts w:ascii="Times New Roman" w:hAnsi="Times New Roman" w:cs="Times New Roman"/>
          <w:i/>
          <w:sz w:val="24"/>
          <w:szCs w:val="24"/>
        </w:rPr>
        <w:t>Whether or not the suit was filed with the authority of the 1</w:t>
      </w:r>
      <w:r w:rsidRPr="00BF100B">
        <w:rPr>
          <w:rFonts w:ascii="Times New Roman" w:hAnsi="Times New Roman" w:cs="Times New Roman"/>
          <w:i/>
          <w:sz w:val="24"/>
          <w:szCs w:val="24"/>
          <w:vertAlign w:val="superscript"/>
        </w:rPr>
        <w:t>st</w:t>
      </w:r>
      <w:r w:rsidRPr="00BF100B">
        <w:rPr>
          <w:rFonts w:ascii="Times New Roman" w:hAnsi="Times New Roman" w:cs="Times New Roman"/>
          <w:i/>
          <w:sz w:val="24"/>
          <w:szCs w:val="24"/>
        </w:rPr>
        <w:t>, 10</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13</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15</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16</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18</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19</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22</w:t>
      </w:r>
      <w:r w:rsidRPr="00BF100B">
        <w:rPr>
          <w:rFonts w:ascii="Times New Roman" w:hAnsi="Times New Roman" w:cs="Times New Roman"/>
          <w:i/>
          <w:sz w:val="24"/>
          <w:szCs w:val="24"/>
          <w:vertAlign w:val="superscript"/>
        </w:rPr>
        <w:t>nd</w:t>
      </w:r>
      <w:r w:rsidRPr="00BF100B">
        <w:rPr>
          <w:rFonts w:ascii="Times New Roman" w:hAnsi="Times New Roman" w:cs="Times New Roman"/>
          <w:i/>
          <w:sz w:val="24"/>
          <w:szCs w:val="24"/>
        </w:rPr>
        <w:t xml:space="preserve"> and 23</w:t>
      </w:r>
      <w:r w:rsidRPr="00BF100B">
        <w:rPr>
          <w:rFonts w:ascii="Times New Roman" w:hAnsi="Times New Roman" w:cs="Times New Roman"/>
          <w:i/>
          <w:sz w:val="24"/>
          <w:szCs w:val="24"/>
          <w:vertAlign w:val="superscript"/>
        </w:rPr>
        <w:t>rd</w:t>
      </w:r>
      <w:r w:rsidRPr="00BF100B">
        <w:rPr>
          <w:rFonts w:ascii="Times New Roman" w:hAnsi="Times New Roman" w:cs="Times New Roman"/>
          <w:i/>
          <w:sz w:val="24"/>
          <w:szCs w:val="24"/>
        </w:rPr>
        <w:t xml:space="preserve"> plaintiffs.</w:t>
      </w:r>
      <w:proofErr w:type="gramEnd"/>
      <w:r w:rsidRPr="00BF100B">
        <w:rPr>
          <w:rFonts w:ascii="Times New Roman" w:hAnsi="Times New Roman" w:cs="Times New Roman"/>
          <w:i/>
          <w:sz w:val="24"/>
          <w:szCs w:val="24"/>
        </w:rPr>
        <w:t xml:space="preserve"> </w:t>
      </w:r>
    </w:p>
    <w:p w:rsidR="001F3584" w:rsidRPr="00BF100B" w:rsidRDefault="001F3584"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 shall rearrange the issues in the following order:</w:t>
      </w:r>
    </w:p>
    <w:p w:rsidR="001F3584" w:rsidRPr="00BF100B" w:rsidRDefault="001F3584" w:rsidP="003871CA">
      <w:pPr>
        <w:pStyle w:val="ListParagraph"/>
        <w:numPr>
          <w:ilvl w:val="0"/>
          <w:numId w:val="3"/>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Whether or not the suit was filed with the authority of the 1</w:t>
      </w:r>
      <w:r w:rsidRPr="00BF100B">
        <w:rPr>
          <w:rFonts w:ascii="Times New Roman" w:hAnsi="Times New Roman" w:cs="Times New Roman"/>
          <w:i/>
          <w:sz w:val="24"/>
          <w:szCs w:val="24"/>
          <w:vertAlign w:val="superscript"/>
        </w:rPr>
        <w:t>st</w:t>
      </w:r>
      <w:r w:rsidRPr="00BF100B">
        <w:rPr>
          <w:rFonts w:ascii="Times New Roman" w:hAnsi="Times New Roman" w:cs="Times New Roman"/>
          <w:i/>
          <w:sz w:val="24"/>
          <w:szCs w:val="24"/>
        </w:rPr>
        <w:t>, 10</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13</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15</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16</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18</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19</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22</w:t>
      </w:r>
      <w:r w:rsidRPr="00BF100B">
        <w:rPr>
          <w:rFonts w:ascii="Times New Roman" w:hAnsi="Times New Roman" w:cs="Times New Roman"/>
          <w:i/>
          <w:sz w:val="24"/>
          <w:szCs w:val="24"/>
          <w:vertAlign w:val="superscript"/>
        </w:rPr>
        <w:t>nd</w:t>
      </w:r>
      <w:r w:rsidRPr="00BF100B">
        <w:rPr>
          <w:rFonts w:ascii="Times New Roman" w:hAnsi="Times New Roman" w:cs="Times New Roman"/>
          <w:i/>
          <w:sz w:val="24"/>
          <w:szCs w:val="24"/>
        </w:rPr>
        <w:t xml:space="preserve"> and 23</w:t>
      </w:r>
      <w:r w:rsidRPr="00BF100B">
        <w:rPr>
          <w:rFonts w:ascii="Times New Roman" w:hAnsi="Times New Roman" w:cs="Times New Roman"/>
          <w:i/>
          <w:sz w:val="24"/>
          <w:szCs w:val="24"/>
          <w:vertAlign w:val="superscript"/>
        </w:rPr>
        <w:t>rd</w:t>
      </w:r>
      <w:r w:rsidRPr="00BF100B">
        <w:rPr>
          <w:rFonts w:ascii="Times New Roman" w:hAnsi="Times New Roman" w:cs="Times New Roman"/>
          <w:i/>
          <w:sz w:val="24"/>
          <w:szCs w:val="24"/>
        </w:rPr>
        <w:t xml:space="preserve"> plaintiffs</w:t>
      </w:r>
    </w:p>
    <w:p w:rsidR="001F3584" w:rsidRPr="00BF100B" w:rsidRDefault="001F3584" w:rsidP="003871CA">
      <w:pPr>
        <w:pStyle w:val="ListParagraph"/>
        <w:numPr>
          <w:ilvl w:val="0"/>
          <w:numId w:val="3"/>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lastRenderedPageBreak/>
        <w:t xml:space="preserve">Whether the Minister of Finance and the Divesture and Reform Implementation Committee have a statutory duty to pay the plaintiffs’ claim under the </w:t>
      </w:r>
      <w:r w:rsidRPr="00BF100B">
        <w:rPr>
          <w:rFonts w:ascii="Times New Roman" w:hAnsi="Times New Roman" w:cs="Times New Roman"/>
          <w:b/>
          <w:i/>
          <w:sz w:val="24"/>
          <w:szCs w:val="24"/>
        </w:rPr>
        <w:t>PERD Act.</w:t>
      </w:r>
    </w:p>
    <w:p w:rsidR="001F3584" w:rsidRPr="00BF100B" w:rsidRDefault="001F3584" w:rsidP="003871CA">
      <w:pPr>
        <w:pStyle w:val="ListParagraph"/>
        <w:numPr>
          <w:ilvl w:val="0"/>
          <w:numId w:val="3"/>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 xml:space="preserve">Whether the Development Credit Agreement was incorporated by reference into the </w:t>
      </w:r>
      <w:r w:rsidRPr="00BF100B">
        <w:rPr>
          <w:rFonts w:ascii="Times New Roman" w:hAnsi="Times New Roman" w:cs="Times New Roman"/>
          <w:b/>
          <w:i/>
          <w:sz w:val="24"/>
          <w:szCs w:val="24"/>
        </w:rPr>
        <w:t>PERD Act</w:t>
      </w:r>
      <w:r w:rsidRPr="00BF100B">
        <w:rPr>
          <w:rFonts w:ascii="Times New Roman" w:hAnsi="Times New Roman" w:cs="Times New Roman"/>
          <w:i/>
          <w:sz w:val="24"/>
          <w:szCs w:val="24"/>
        </w:rPr>
        <w:t>.</w:t>
      </w:r>
    </w:p>
    <w:p w:rsidR="001F3584" w:rsidRPr="00BF100B" w:rsidRDefault="001F3584" w:rsidP="003871CA">
      <w:pPr>
        <w:pStyle w:val="ListParagraph"/>
        <w:numPr>
          <w:ilvl w:val="0"/>
          <w:numId w:val="3"/>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Whether the plaintiffs are entitled to the prayers in the plaint</w:t>
      </w:r>
    </w:p>
    <w:p w:rsidR="00DC046E" w:rsidRPr="00BF100B" w:rsidRDefault="001F3584"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At the hearing, the plaintiff</w:t>
      </w:r>
      <w:r w:rsidR="00467CBC" w:rsidRPr="00BF100B">
        <w:rPr>
          <w:rFonts w:ascii="Times New Roman" w:hAnsi="Times New Roman" w:cs="Times New Roman"/>
          <w:sz w:val="24"/>
          <w:szCs w:val="24"/>
        </w:rPr>
        <w:t>s were</w:t>
      </w:r>
      <w:r w:rsidRPr="00BF100B">
        <w:rPr>
          <w:rFonts w:ascii="Times New Roman" w:hAnsi="Times New Roman" w:cs="Times New Roman"/>
          <w:sz w:val="24"/>
          <w:szCs w:val="24"/>
        </w:rPr>
        <w:t xml:space="preserve"> represented </w:t>
      </w:r>
      <w:r w:rsidR="00251D8E" w:rsidRPr="00BF100B">
        <w:rPr>
          <w:rFonts w:ascii="Times New Roman" w:hAnsi="Times New Roman" w:cs="Times New Roman"/>
          <w:sz w:val="24"/>
          <w:szCs w:val="24"/>
        </w:rPr>
        <w:t xml:space="preserve">by Mr. Everest </w:t>
      </w:r>
      <w:proofErr w:type="spellStart"/>
      <w:r w:rsidR="00251D8E" w:rsidRPr="00BF100B">
        <w:rPr>
          <w:rFonts w:ascii="Times New Roman" w:hAnsi="Times New Roman" w:cs="Times New Roman"/>
          <w:sz w:val="24"/>
          <w:szCs w:val="24"/>
        </w:rPr>
        <w:t>Mugabi</w:t>
      </w:r>
      <w:proofErr w:type="spellEnd"/>
      <w:r w:rsidR="00251D8E" w:rsidRPr="00BF100B">
        <w:rPr>
          <w:rFonts w:ascii="Times New Roman" w:hAnsi="Times New Roman" w:cs="Times New Roman"/>
          <w:sz w:val="24"/>
          <w:szCs w:val="24"/>
        </w:rPr>
        <w:t xml:space="preserve"> </w:t>
      </w:r>
      <w:r w:rsidR="009471AD" w:rsidRPr="00BF100B">
        <w:rPr>
          <w:rFonts w:ascii="Times New Roman" w:hAnsi="Times New Roman" w:cs="Times New Roman"/>
          <w:sz w:val="24"/>
          <w:szCs w:val="24"/>
        </w:rPr>
        <w:t xml:space="preserve">and Mr. </w:t>
      </w:r>
      <w:proofErr w:type="spellStart"/>
      <w:r w:rsidR="009B38D0" w:rsidRPr="00BF100B">
        <w:rPr>
          <w:rFonts w:ascii="Times New Roman" w:hAnsi="Times New Roman" w:cs="Times New Roman"/>
          <w:sz w:val="24"/>
          <w:szCs w:val="24"/>
        </w:rPr>
        <w:t>Asa</w:t>
      </w:r>
      <w:proofErr w:type="spellEnd"/>
      <w:r w:rsidR="009B38D0" w:rsidRPr="00BF100B">
        <w:rPr>
          <w:rFonts w:ascii="Times New Roman" w:hAnsi="Times New Roman" w:cs="Times New Roman"/>
          <w:sz w:val="24"/>
          <w:szCs w:val="24"/>
        </w:rPr>
        <w:t xml:space="preserve"> </w:t>
      </w:r>
      <w:proofErr w:type="spellStart"/>
      <w:r w:rsidR="009B38D0" w:rsidRPr="00BF100B">
        <w:rPr>
          <w:rFonts w:ascii="Times New Roman" w:hAnsi="Times New Roman" w:cs="Times New Roman"/>
          <w:sz w:val="24"/>
          <w:szCs w:val="24"/>
        </w:rPr>
        <w:t>Mugenyi</w:t>
      </w:r>
      <w:proofErr w:type="spellEnd"/>
      <w:r w:rsidR="009B38D0" w:rsidRPr="00BF100B">
        <w:rPr>
          <w:rFonts w:ascii="Times New Roman" w:hAnsi="Times New Roman" w:cs="Times New Roman"/>
          <w:sz w:val="24"/>
          <w:szCs w:val="24"/>
        </w:rPr>
        <w:t xml:space="preserve"> </w:t>
      </w:r>
      <w:r w:rsidR="00251D8E" w:rsidRPr="00BF100B">
        <w:rPr>
          <w:rFonts w:ascii="Times New Roman" w:hAnsi="Times New Roman" w:cs="Times New Roman"/>
          <w:sz w:val="24"/>
          <w:szCs w:val="24"/>
        </w:rPr>
        <w:t xml:space="preserve">and the defendant was represented by Ms. Margaret </w:t>
      </w:r>
      <w:proofErr w:type="spellStart"/>
      <w:r w:rsidR="00251D8E" w:rsidRPr="00BF100B">
        <w:rPr>
          <w:rFonts w:ascii="Times New Roman" w:hAnsi="Times New Roman" w:cs="Times New Roman"/>
          <w:sz w:val="24"/>
          <w:szCs w:val="24"/>
        </w:rPr>
        <w:t>Nabakooza</w:t>
      </w:r>
      <w:proofErr w:type="spellEnd"/>
      <w:r w:rsidR="00251D8E" w:rsidRPr="00BF100B">
        <w:rPr>
          <w:rFonts w:ascii="Times New Roman" w:hAnsi="Times New Roman" w:cs="Times New Roman"/>
          <w:sz w:val="24"/>
          <w:szCs w:val="24"/>
        </w:rPr>
        <w:t>.</w:t>
      </w:r>
      <w:r w:rsidR="00490073" w:rsidRPr="00BF100B">
        <w:rPr>
          <w:rFonts w:ascii="Times New Roman" w:hAnsi="Times New Roman" w:cs="Times New Roman"/>
          <w:sz w:val="24"/>
          <w:szCs w:val="24"/>
        </w:rPr>
        <w:t xml:space="preserve"> </w:t>
      </w:r>
    </w:p>
    <w:p w:rsidR="00251D8E" w:rsidRPr="00BF100B" w:rsidRDefault="00251D8E" w:rsidP="003871CA">
      <w:pPr>
        <w:spacing w:after="0" w:line="360" w:lineRule="auto"/>
        <w:ind w:left="1440" w:hanging="1440"/>
        <w:jc w:val="both"/>
        <w:rPr>
          <w:rFonts w:ascii="Times New Roman" w:hAnsi="Times New Roman" w:cs="Times New Roman"/>
          <w:b/>
          <w:i/>
          <w:sz w:val="24"/>
          <w:szCs w:val="24"/>
        </w:rPr>
      </w:pPr>
      <w:r w:rsidRPr="00BF100B">
        <w:rPr>
          <w:rFonts w:ascii="Times New Roman" w:hAnsi="Times New Roman" w:cs="Times New Roman"/>
          <w:b/>
          <w:i/>
          <w:sz w:val="24"/>
          <w:szCs w:val="24"/>
        </w:rPr>
        <w:t>ISSUE 1</w:t>
      </w:r>
      <w:r w:rsidR="00490073" w:rsidRPr="00BF100B">
        <w:rPr>
          <w:rFonts w:ascii="Times New Roman" w:hAnsi="Times New Roman" w:cs="Times New Roman"/>
          <w:b/>
          <w:i/>
          <w:sz w:val="24"/>
          <w:szCs w:val="24"/>
        </w:rPr>
        <w:t>:</w:t>
      </w:r>
      <w:r w:rsidR="00490073" w:rsidRPr="00BF100B">
        <w:rPr>
          <w:rFonts w:ascii="Times New Roman" w:hAnsi="Times New Roman" w:cs="Times New Roman"/>
          <w:b/>
          <w:i/>
          <w:sz w:val="24"/>
          <w:szCs w:val="24"/>
        </w:rPr>
        <w:tab/>
      </w:r>
      <w:r w:rsidRPr="00BF100B">
        <w:rPr>
          <w:rFonts w:ascii="Times New Roman" w:hAnsi="Times New Roman" w:cs="Times New Roman"/>
          <w:b/>
          <w:i/>
          <w:sz w:val="24"/>
          <w:szCs w:val="24"/>
        </w:rPr>
        <w:t>Whether or not the suit was filed with the authority of the 1</w:t>
      </w:r>
      <w:r w:rsidRPr="00BF100B">
        <w:rPr>
          <w:rFonts w:ascii="Times New Roman" w:hAnsi="Times New Roman" w:cs="Times New Roman"/>
          <w:b/>
          <w:i/>
          <w:sz w:val="24"/>
          <w:szCs w:val="24"/>
          <w:vertAlign w:val="superscript"/>
        </w:rPr>
        <w:t>st</w:t>
      </w:r>
      <w:r w:rsidRPr="00BF100B">
        <w:rPr>
          <w:rFonts w:ascii="Times New Roman" w:hAnsi="Times New Roman" w:cs="Times New Roman"/>
          <w:b/>
          <w:i/>
          <w:sz w:val="24"/>
          <w:szCs w:val="24"/>
        </w:rPr>
        <w:t>, 10</w:t>
      </w:r>
      <w:r w:rsidRPr="00BF100B">
        <w:rPr>
          <w:rFonts w:ascii="Times New Roman" w:hAnsi="Times New Roman" w:cs="Times New Roman"/>
          <w:b/>
          <w:i/>
          <w:sz w:val="24"/>
          <w:szCs w:val="24"/>
          <w:vertAlign w:val="superscript"/>
        </w:rPr>
        <w:t>th</w:t>
      </w:r>
      <w:r w:rsidRPr="00BF100B">
        <w:rPr>
          <w:rFonts w:ascii="Times New Roman" w:hAnsi="Times New Roman" w:cs="Times New Roman"/>
          <w:b/>
          <w:i/>
          <w:sz w:val="24"/>
          <w:szCs w:val="24"/>
        </w:rPr>
        <w:t>, 13</w:t>
      </w:r>
      <w:r w:rsidRPr="00BF100B">
        <w:rPr>
          <w:rFonts w:ascii="Times New Roman" w:hAnsi="Times New Roman" w:cs="Times New Roman"/>
          <w:b/>
          <w:i/>
          <w:sz w:val="24"/>
          <w:szCs w:val="24"/>
          <w:vertAlign w:val="superscript"/>
        </w:rPr>
        <w:t>th</w:t>
      </w:r>
      <w:r w:rsidRPr="00BF100B">
        <w:rPr>
          <w:rFonts w:ascii="Times New Roman" w:hAnsi="Times New Roman" w:cs="Times New Roman"/>
          <w:b/>
          <w:i/>
          <w:sz w:val="24"/>
          <w:szCs w:val="24"/>
        </w:rPr>
        <w:t>, 15</w:t>
      </w:r>
      <w:r w:rsidRPr="00BF100B">
        <w:rPr>
          <w:rFonts w:ascii="Times New Roman" w:hAnsi="Times New Roman" w:cs="Times New Roman"/>
          <w:b/>
          <w:i/>
          <w:sz w:val="24"/>
          <w:szCs w:val="24"/>
          <w:vertAlign w:val="superscript"/>
        </w:rPr>
        <w:t>th</w:t>
      </w:r>
      <w:r w:rsidRPr="00BF100B">
        <w:rPr>
          <w:rFonts w:ascii="Times New Roman" w:hAnsi="Times New Roman" w:cs="Times New Roman"/>
          <w:b/>
          <w:i/>
          <w:sz w:val="24"/>
          <w:szCs w:val="24"/>
        </w:rPr>
        <w:t>, 16</w:t>
      </w:r>
      <w:r w:rsidRPr="00BF100B">
        <w:rPr>
          <w:rFonts w:ascii="Times New Roman" w:hAnsi="Times New Roman" w:cs="Times New Roman"/>
          <w:b/>
          <w:i/>
          <w:sz w:val="24"/>
          <w:szCs w:val="24"/>
          <w:vertAlign w:val="superscript"/>
        </w:rPr>
        <w:t>th</w:t>
      </w:r>
      <w:r w:rsidRPr="00BF100B">
        <w:rPr>
          <w:rFonts w:ascii="Times New Roman" w:hAnsi="Times New Roman" w:cs="Times New Roman"/>
          <w:b/>
          <w:i/>
          <w:sz w:val="24"/>
          <w:szCs w:val="24"/>
        </w:rPr>
        <w:t>, 18</w:t>
      </w:r>
      <w:r w:rsidRPr="00BF100B">
        <w:rPr>
          <w:rFonts w:ascii="Times New Roman" w:hAnsi="Times New Roman" w:cs="Times New Roman"/>
          <w:b/>
          <w:i/>
          <w:sz w:val="24"/>
          <w:szCs w:val="24"/>
          <w:vertAlign w:val="superscript"/>
        </w:rPr>
        <w:t>th</w:t>
      </w:r>
      <w:r w:rsidRPr="00BF100B">
        <w:rPr>
          <w:rFonts w:ascii="Times New Roman" w:hAnsi="Times New Roman" w:cs="Times New Roman"/>
          <w:b/>
          <w:i/>
          <w:sz w:val="24"/>
          <w:szCs w:val="24"/>
        </w:rPr>
        <w:t>, 19</w:t>
      </w:r>
      <w:r w:rsidRPr="00BF100B">
        <w:rPr>
          <w:rFonts w:ascii="Times New Roman" w:hAnsi="Times New Roman" w:cs="Times New Roman"/>
          <w:b/>
          <w:i/>
          <w:sz w:val="24"/>
          <w:szCs w:val="24"/>
          <w:vertAlign w:val="superscript"/>
        </w:rPr>
        <w:t>th</w:t>
      </w:r>
      <w:r w:rsidRPr="00BF100B">
        <w:rPr>
          <w:rFonts w:ascii="Times New Roman" w:hAnsi="Times New Roman" w:cs="Times New Roman"/>
          <w:b/>
          <w:i/>
          <w:sz w:val="24"/>
          <w:szCs w:val="24"/>
        </w:rPr>
        <w:t>, 22</w:t>
      </w:r>
      <w:r w:rsidRPr="00BF100B">
        <w:rPr>
          <w:rFonts w:ascii="Times New Roman" w:hAnsi="Times New Roman" w:cs="Times New Roman"/>
          <w:b/>
          <w:i/>
          <w:sz w:val="24"/>
          <w:szCs w:val="24"/>
          <w:vertAlign w:val="superscript"/>
        </w:rPr>
        <w:t>nd</w:t>
      </w:r>
      <w:r w:rsidRPr="00BF100B">
        <w:rPr>
          <w:rFonts w:ascii="Times New Roman" w:hAnsi="Times New Roman" w:cs="Times New Roman"/>
          <w:b/>
          <w:i/>
          <w:sz w:val="24"/>
          <w:szCs w:val="24"/>
        </w:rPr>
        <w:t xml:space="preserve"> and 23</w:t>
      </w:r>
      <w:r w:rsidRPr="00BF100B">
        <w:rPr>
          <w:rFonts w:ascii="Times New Roman" w:hAnsi="Times New Roman" w:cs="Times New Roman"/>
          <w:b/>
          <w:i/>
          <w:sz w:val="24"/>
          <w:szCs w:val="24"/>
          <w:vertAlign w:val="superscript"/>
        </w:rPr>
        <w:t>rd</w:t>
      </w:r>
      <w:r w:rsidRPr="00BF100B">
        <w:rPr>
          <w:rFonts w:ascii="Times New Roman" w:hAnsi="Times New Roman" w:cs="Times New Roman"/>
          <w:b/>
          <w:i/>
          <w:sz w:val="24"/>
          <w:szCs w:val="24"/>
        </w:rPr>
        <w:t xml:space="preserve"> plaintiffs.</w:t>
      </w:r>
    </w:p>
    <w:p w:rsidR="00251D8E" w:rsidRPr="00BF100B" w:rsidRDefault="00F933D6"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At the hearing of the </w:t>
      </w:r>
      <w:r w:rsidR="00680984" w:rsidRPr="00BF100B">
        <w:rPr>
          <w:rFonts w:ascii="Times New Roman" w:hAnsi="Times New Roman" w:cs="Times New Roman"/>
          <w:sz w:val="24"/>
          <w:szCs w:val="24"/>
        </w:rPr>
        <w:t>case</w:t>
      </w:r>
      <w:r w:rsidRPr="00BF100B">
        <w:rPr>
          <w:rFonts w:ascii="Times New Roman" w:hAnsi="Times New Roman" w:cs="Times New Roman"/>
          <w:sz w:val="24"/>
          <w:szCs w:val="24"/>
        </w:rPr>
        <w:t xml:space="preserve">, </w:t>
      </w:r>
      <w:r w:rsidR="003E2098"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defendant raised a point of law that while the present matter was not a representative action, the 1</w:t>
      </w:r>
      <w:r w:rsidRPr="00BF100B">
        <w:rPr>
          <w:rFonts w:ascii="Times New Roman" w:hAnsi="Times New Roman" w:cs="Times New Roman"/>
          <w:sz w:val="24"/>
          <w:szCs w:val="24"/>
          <w:vertAlign w:val="superscript"/>
        </w:rPr>
        <w:t>st</w:t>
      </w:r>
      <w:r w:rsidRPr="00BF100B">
        <w:rPr>
          <w:rFonts w:ascii="Times New Roman" w:hAnsi="Times New Roman" w:cs="Times New Roman"/>
          <w:sz w:val="24"/>
          <w:szCs w:val="24"/>
        </w:rPr>
        <w:t xml:space="preserve"> to the 23</w:t>
      </w:r>
      <w:r w:rsidRPr="00BF100B">
        <w:rPr>
          <w:rFonts w:ascii="Times New Roman" w:hAnsi="Times New Roman" w:cs="Times New Roman"/>
          <w:sz w:val="24"/>
          <w:szCs w:val="24"/>
          <w:vertAlign w:val="superscript"/>
        </w:rPr>
        <w:t>rd</w:t>
      </w:r>
      <w:r w:rsidRPr="00BF100B">
        <w:rPr>
          <w:rFonts w:ascii="Times New Roman" w:hAnsi="Times New Roman" w:cs="Times New Roman"/>
          <w:sz w:val="24"/>
          <w:szCs w:val="24"/>
        </w:rPr>
        <w:t xml:space="preserve"> plaintiffs had never appeared in </w:t>
      </w:r>
      <w:r w:rsidR="00F540B4" w:rsidRPr="00BF100B">
        <w:rPr>
          <w:rFonts w:ascii="Times New Roman" w:hAnsi="Times New Roman" w:cs="Times New Roman"/>
          <w:sz w:val="24"/>
          <w:szCs w:val="24"/>
        </w:rPr>
        <w:t>c</w:t>
      </w:r>
      <w:r w:rsidRPr="00BF100B">
        <w:rPr>
          <w:rFonts w:ascii="Times New Roman" w:hAnsi="Times New Roman" w:cs="Times New Roman"/>
          <w:sz w:val="24"/>
          <w:szCs w:val="24"/>
        </w:rPr>
        <w:t xml:space="preserve">ourt and neither of them had filed witness statements in support of the case. In that regard, </w:t>
      </w:r>
      <w:r w:rsidR="003E2098"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contended that the suit was instituted without the </w:t>
      </w:r>
      <w:r w:rsidR="00AD1A04" w:rsidRPr="00BF100B">
        <w:rPr>
          <w:rFonts w:ascii="Times New Roman" w:hAnsi="Times New Roman" w:cs="Times New Roman"/>
          <w:sz w:val="24"/>
          <w:szCs w:val="24"/>
        </w:rPr>
        <w:t>authority from the plaintiffs.</w:t>
      </w:r>
    </w:p>
    <w:p w:rsidR="00FE5AF9"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E12AF3" w:rsidRPr="00BF100B">
        <w:rPr>
          <w:rFonts w:ascii="Times New Roman" w:hAnsi="Times New Roman" w:cs="Times New Roman"/>
          <w:sz w:val="24"/>
          <w:szCs w:val="24"/>
        </w:rPr>
        <w:t xml:space="preserve">made reference to the </w:t>
      </w:r>
      <w:r w:rsidR="00B664E4" w:rsidRPr="00BF100B">
        <w:rPr>
          <w:rFonts w:ascii="Times New Roman" w:hAnsi="Times New Roman" w:cs="Times New Roman"/>
          <w:sz w:val="24"/>
          <w:szCs w:val="24"/>
        </w:rPr>
        <w:t>letter</w:t>
      </w:r>
      <w:r w:rsidR="00344345" w:rsidRPr="00BF100B">
        <w:rPr>
          <w:rFonts w:ascii="Times New Roman" w:hAnsi="Times New Roman" w:cs="Times New Roman"/>
          <w:sz w:val="24"/>
          <w:szCs w:val="24"/>
        </w:rPr>
        <w:t xml:space="preserve"> from the Registrar of Companies</w:t>
      </w:r>
      <w:r w:rsidR="00B664E4" w:rsidRPr="00BF100B">
        <w:rPr>
          <w:rFonts w:ascii="Times New Roman" w:hAnsi="Times New Roman" w:cs="Times New Roman"/>
          <w:sz w:val="24"/>
          <w:szCs w:val="24"/>
        </w:rPr>
        <w:t xml:space="preserve"> dated 20</w:t>
      </w:r>
      <w:r w:rsidR="00B664E4" w:rsidRPr="00BF100B">
        <w:rPr>
          <w:rFonts w:ascii="Times New Roman" w:hAnsi="Times New Roman" w:cs="Times New Roman"/>
          <w:sz w:val="24"/>
          <w:szCs w:val="24"/>
          <w:vertAlign w:val="superscript"/>
        </w:rPr>
        <w:t>th</w:t>
      </w:r>
      <w:r w:rsidR="00B664E4" w:rsidRPr="00BF100B">
        <w:rPr>
          <w:rFonts w:ascii="Times New Roman" w:hAnsi="Times New Roman" w:cs="Times New Roman"/>
          <w:sz w:val="24"/>
          <w:szCs w:val="24"/>
        </w:rPr>
        <w:t xml:space="preserve"> August, 2015, (EXH D3) to the Director, Privatization Unit in the Ministry of Finance, Planning and Economic Development</w:t>
      </w:r>
      <w:r w:rsidR="00344345" w:rsidRPr="00BF100B">
        <w:rPr>
          <w:rFonts w:ascii="Times New Roman" w:hAnsi="Times New Roman" w:cs="Times New Roman"/>
          <w:sz w:val="24"/>
          <w:szCs w:val="24"/>
        </w:rPr>
        <w:t>,</w:t>
      </w:r>
      <w:r w:rsidR="00B664E4" w:rsidRPr="00BF100B">
        <w:rPr>
          <w:rFonts w:ascii="Times New Roman" w:hAnsi="Times New Roman" w:cs="Times New Roman"/>
          <w:sz w:val="24"/>
          <w:szCs w:val="24"/>
        </w:rPr>
        <w:t xml:space="preserve"> indicating that upon conducting a search, the first plaintiff was not reflected in the records. Further, that the evidence of Moses</w:t>
      </w:r>
      <w:r w:rsidR="00EE6C43" w:rsidRPr="00BF100B">
        <w:rPr>
          <w:rFonts w:ascii="Times New Roman" w:hAnsi="Times New Roman" w:cs="Times New Roman"/>
          <w:sz w:val="24"/>
          <w:szCs w:val="24"/>
        </w:rPr>
        <w:t xml:space="preserve"> B. </w:t>
      </w:r>
      <w:proofErr w:type="spellStart"/>
      <w:r w:rsidR="00EE6C43" w:rsidRPr="00BF100B">
        <w:rPr>
          <w:rFonts w:ascii="Times New Roman" w:hAnsi="Times New Roman" w:cs="Times New Roman"/>
          <w:sz w:val="24"/>
          <w:szCs w:val="24"/>
        </w:rPr>
        <w:t>M</w:t>
      </w:r>
      <w:r w:rsidR="00231E0C" w:rsidRPr="00BF100B">
        <w:rPr>
          <w:rFonts w:ascii="Times New Roman" w:hAnsi="Times New Roman" w:cs="Times New Roman"/>
          <w:sz w:val="24"/>
          <w:szCs w:val="24"/>
        </w:rPr>
        <w:t>wase</w:t>
      </w:r>
      <w:proofErr w:type="spellEnd"/>
      <w:r w:rsidR="00231E0C" w:rsidRPr="00BF100B">
        <w:rPr>
          <w:rFonts w:ascii="Times New Roman" w:hAnsi="Times New Roman" w:cs="Times New Roman"/>
          <w:sz w:val="24"/>
          <w:szCs w:val="24"/>
        </w:rPr>
        <w:t xml:space="preserve"> (DW1), who was the Director of Privatization Unit</w:t>
      </w:r>
      <w:r w:rsidR="00EE6C43" w:rsidRPr="00BF100B">
        <w:rPr>
          <w:rFonts w:ascii="Times New Roman" w:hAnsi="Times New Roman" w:cs="Times New Roman"/>
          <w:sz w:val="24"/>
          <w:szCs w:val="24"/>
        </w:rPr>
        <w:t>,</w:t>
      </w:r>
      <w:r w:rsidR="007009ED" w:rsidRPr="00BF100B">
        <w:rPr>
          <w:rFonts w:ascii="Times New Roman" w:hAnsi="Times New Roman" w:cs="Times New Roman"/>
          <w:sz w:val="24"/>
          <w:szCs w:val="24"/>
        </w:rPr>
        <w:t xml:space="preserve"> </w:t>
      </w:r>
      <w:r w:rsidR="00344345" w:rsidRPr="00BF100B">
        <w:rPr>
          <w:rFonts w:ascii="Times New Roman" w:hAnsi="Times New Roman" w:cs="Times New Roman"/>
          <w:sz w:val="24"/>
          <w:szCs w:val="24"/>
        </w:rPr>
        <w:t>also indicated that from a Search conducted with</w:t>
      </w:r>
      <w:r w:rsidR="007009ED" w:rsidRPr="00BF100B">
        <w:rPr>
          <w:rFonts w:ascii="Times New Roman" w:hAnsi="Times New Roman" w:cs="Times New Roman"/>
          <w:sz w:val="24"/>
          <w:szCs w:val="24"/>
        </w:rPr>
        <w:t xml:space="preserve"> the </w:t>
      </w:r>
      <w:r w:rsidR="006B66DD" w:rsidRPr="00BF100B">
        <w:rPr>
          <w:rFonts w:ascii="Times New Roman" w:hAnsi="Times New Roman" w:cs="Times New Roman"/>
          <w:sz w:val="24"/>
          <w:szCs w:val="24"/>
        </w:rPr>
        <w:t>Uganda Registration Services Bureau</w:t>
      </w:r>
      <w:r w:rsidR="00344345" w:rsidRPr="00BF100B">
        <w:rPr>
          <w:rFonts w:ascii="Times New Roman" w:hAnsi="Times New Roman" w:cs="Times New Roman"/>
          <w:sz w:val="24"/>
          <w:szCs w:val="24"/>
        </w:rPr>
        <w:t xml:space="preserve">, </w:t>
      </w:r>
      <w:r w:rsidR="007009ED" w:rsidRPr="00BF100B">
        <w:rPr>
          <w:rFonts w:ascii="Times New Roman" w:hAnsi="Times New Roman" w:cs="Times New Roman"/>
          <w:sz w:val="24"/>
          <w:szCs w:val="24"/>
        </w:rPr>
        <w:t>the 2</w:t>
      </w:r>
      <w:r w:rsidR="007009ED" w:rsidRPr="00BF100B">
        <w:rPr>
          <w:rFonts w:ascii="Times New Roman" w:hAnsi="Times New Roman" w:cs="Times New Roman"/>
          <w:sz w:val="24"/>
          <w:szCs w:val="24"/>
          <w:vertAlign w:val="superscript"/>
        </w:rPr>
        <w:t>nd</w:t>
      </w:r>
      <w:r w:rsidR="007009ED" w:rsidRPr="00BF100B">
        <w:rPr>
          <w:rFonts w:ascii="Times New Roman" w:hAnsi="Times New Roman" w:cs="Times New Roman"/>
          <w:sz w:val="24"/>
          <w:szCs w:val="24"/>
        </w:rPr>
        <w:t>, 4</w:t>
      </w:r>
      <w:r w:rsidR="007009ED" w:rsidRPr="00BF100B">
        <w:rPr>
          <w:rFonts w:ascii="Times New Roman" w:hAnsi="Times New Roman" w:cs="Times New Roman"/>
          <w:sz w:val="24"/>
          <w:szCs w:val="24"/>
          <w:vertAlign w:val="superscript"/>
        </w:rPr>
        <w:t>th</w:t>
      </w:r>
      <w:r w:rsidR="007009ED" w:rsidRPr="00BF100B">
        <w:rPr>
          <w:rFonts w:ascii="Times New Roman" w:hAnsi="Times New Roman" w:cs="Times New Roman"/>
          <w:sz w:val="24"/>
          <w:szCs w:val="24"/>
        </w:rPr>
        <w:t xml:space="preserve"> and 1</w:t>
      </w:r>
      <w:r w:rsidR="006B66DD" w:rsidRPr="00BF100B">
        <w:rPr>
          <w:rFonts w:ascii="Times New Roman" w:hAnsi="Times New Roman" w:cs="Times New Roman"/>
          <w:sz w:val="24"/>
          <w:szCs w:val="24"/>
        </w:rPr>
        <w:t>3</w:t>
      </w:r>
      <w:r w:rsidR="007009ED" w:rsidRPr="00BF100B">
        <w:rPr>
          <w:rFonts w:ascii="Times New Roman" w:hAnsi="Times New Roman" w:cs="Times New Roman"/>
          <w:sz w:val="24"/>
          <w:szCs w:val="24"/>
          <w:vertAlign w:val="superscript"/>
        </w:rPr>
        <w:t>th</w:t>
      </w:r>
      <w:r w:rsidR="007009ED" w:rsidRPr="00BF100B">
        <w:rPr>
          <w:rFonts w:ascii="Times New Roman" w:hAnsi="Times New Roman" w:cs="Times New Roman"/>
          <w:sz w:val="24"/>
          <w:szCs w:val="24"/>
        </w:rPr>
        <w:t xml:space="preserve"> plaintiffs were </w:t>
      </w:r>
      <w:r w:rsidR="006B66DD" w:rsidRPr="00BF100B">
        <w:rPr>
          <w:rFonts w:ascii="Times New Roman" w:hAnsi="Times New Roman" w:cs="Times New Roman"/>
          <w:sz w:val="24"/>
          <w:szCs w:val="24"/>
        </w:rPr>
        <w:t>not reflected in their system.</w:t>
      </w:r>
      <w:r w:rsidR="00FE5AF9" w:rsidRPr="00BF100B">
        <w:rPr>
          <w:rFonts w:ascii="Times New Roman" w:hAnsi="Times New Roman" w:cs="Times New Roman"/>
          <w:sz w:val="24"/>
          <w:szCs w:val="24"/>
        </w:rPr>
        <w:t xml:space="preserve"> </w:t>
      </w: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FE5AF9" w:rsidRPr="00BF100B">
        <w:rPr>
          <w:rFonts w:ascii="Times New Roman" w:hAnsi="Times New Roman" w:cs="Times New Roman"/>
          <w:sz w:val="24"/>
          <w:szCs w:val="24"/>
        </w:rPr>
        <w:t>submitted that the plaintiffs who were non</w:t>
      </w:r>
      <w:r w:rsidR="00344345" w:rsidRPr="00BF100B">
        <w:rPr>
          <w:rFonts w:ascii="Times New Roman" w:hAnsi="Times New Roman" w:cs="Times New Roman"/>
          <w:sz w:val="24"/>
          <w:szCs w:val="24"/>
        </w:rPr>
        <w:t>-</w:t>
      </w:r>
      <w:r w:rsidR="00FE5AF9" w:rsidRPr="00BF100B">
        <w:rPr>
          <w:rFonts w:ascii="Times New Roman" w:hAnsi="Times New Roman" w:cs="Times New Roman"/>
          <w:sz w:val="24"/>
          <w:szCs w:val="24"/>
        </w:rPr>
        <w:t xml:space="preserve">existent could not have authorized the institution of the present suit. </w:t>
      </w: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FE5AF9" w:rsidRPr="00BF100B">
        <w:rPr>
          <w:rFonts w:ascii="Times New Roman" w:hAnsi="Times New Roman" w:cs="Times New Roman"/>
          <w:sz w:val="24"/>
          <w:szCs w:val="24"/>
        </w:rPr>
        <w:t xml:space="preserve">cited </w:t>
      </w:r>
      <w:proofErr w:type="spellStart"/>
      <w:r w:rsidR="00FE5AF9" w:rsidRPr="00BF100B">
        <w:rPr>
          <w:rFonts w:ascii="Times New Roman" w:hAnsi="Times New Roman" w:cs="Times New Roman"/>
          <w:b/>
          <w:i/>
          <w:sz w:val="24"/>
          <w:szCs w:val="24"/>
        </w:rPr>
        <w:t>Kilembe</w:t>
      </w:r>
      <w:proofErr w:type="spellEnd"/>
      <w:r w:rsidR="00FE5AF9" w:rsidRPr="00BF100B">
        <w:rPr>
          <w:rFonts w:ascii="Times New Roman" w:hAnsi="Times New Roman" w:cs="Times New Roman"/>
          <w:b/>
          <w:i/>
          <w:sz w:val="24"/>
          <w:szCs w:val="24"/>
        </w:rPr>
        <w:t xml:space="preserve"> Mines Limited Versus Uganda Gold Mines Limited, High Court Miscellaneous Application No.312 of 2012</w:t>
      </w:r>
      <w:r w:rsidR="00FE5AF9" w:rsidRPr="00BF100B">
        <w:rPr>
          <w:rFonts w:ascii="Times New Roman" w:hAnsi="Times New Roman" w:cs="Times New Roman"/>
          <w:sz w:val="24"/>
          <w:szCs w:val="24"/>
        </w:rPr>
        <w:t>, to support the above submission.</w:t>
      </w:r>
    </w:p>
    <w:p w:rsidR="00262C29"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FE5AF9" w:rsidRPr="00BF100B">
        <w:rPr>
          <w:rFonts w:ascii="Times New Roman" w:hAnsi="Times New Roman" w:cs="Times New Roman"/>
          <w:sz w:val="24"/>
          <w:szCs w:val="24"/>
        </w:rPr>
        <w:t xml:space="preserve">further submitted that the plaint was drawn by M/S </w:t>
      </w:r>
      <w:proofErr w:type="spellStart"/>
      <w:r w:rsidR="00FE5AF9" w:rsidRPr="00BF100B">
        <w:rPr>
          <w:rFonts w:ascii="Times New Roman" w:hAnsi="Times New Roman" w:cs="Times New Roman"/>
          <w:sz w:val="24"/>
          <w:szCs w:val="24"/>
        </w:rPr>
        <w:t>Mugenyi</w:t>
      </w:r>
      <w:proofErr w:type="spellEnd"/>
      <w:r w:rsidR="00FE5AF9" w:rsidRPr="00BF100B">
        <w:rPr>
          <w:rFonts w:ascii="Times New Roman" w:hAnsi="Times New Roman" w:cs="Times New Roman"/>
          <w:sz w:val="24"/>
          <w:szCs w:val="24"/>
        </w:rPr>
        <w:t xml:space="preserve"> &amp; Co Advocates and a Notice of Change of Advocates was drawn and filed by </w:t>
      </w:r>
      <w:proofErr w:type="spellStart"/>
      <w:r w:rsidR="00FE5AF9" w:rsidRPr="00BF100B">
        <w:rPr>
          <w:rFonts w:ascii="Times New Roman" w:hAnsi="Times New Roman" w:cs="Times New Roman"/>
          <w:sz w:val="24"/>
          <w:szCs w:val="24"/>
        </w:rPr>
        <w:t>Mugabi</w:t>
      </w:r>
      <w:proofErr w:type="spellEnd"/>
      <w:r w:rsidR="00FE5AF9" w:rsidRPr="00BF100B">
        <w:rPr>
          <w:rFonts w:ascii="Times New Roman" w:hAnsi="Times New Roman" w:cs="Times New Roman"/>
          <w:sz w:val="24"/>
          <w:szCs w:val="24"/>
        </w:rPr>
        <w:t xml:space="preserve"> &amp; Co Advocates and the same was filed on the 28</w:t>
      </w:r>
      <w:r w:rsidR="00FE5AF9" w:rsidRPr="00BF100B">
        <w:rPr>
          <w:rFonts w:ascii="Times New Roman" w:hAnsi="Times New Roman" w:cs="Times New Roman"/>
          <w:sz w:val="24"/>
          <w:szCs w:val="24"/>
          <w:vertAlign w:val="superscript"/>
        </w:rPr>
        <w:t>th</w:t>
      </w:r>
      <w:r w:rsidR="00FE5AF9" w:rsidRPr="00BF100B">
        <w:rPr>
          <w:rFonts w:ascii="Times New Roman" w:hAnsi="Times New Roman" w:cs="Times New Roman"/>
          <w:sz w:val="24"/>
          <w:szCs w:val="24"/>
        </w:rPr>
        <w:t xml:space="preserve"> October, 2014. </w:t>
      </w:r>
      <w:r w:rsidR="00262C29" w:rsidRPr="00BF100B">
        <w:rPr>
          <w:rFonts w:ascii="Times New Roman" w:hAnsi="Times New Roman" w:cs="Times New Roman"/>
          <w:sz w:val="24"/>
          <w:szCs w:val="24"/>
        </w:rPr>
        <w:t xml:space="preserve">However, that there was no evidence to show that the said law firms were instructed to institute the present suit on behalf of the plaintiffs stated above. </w:t>
      </w: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262C29" w:rsidRPr="00BF100B">
        <w:rPr>
          <w:rFonts w:ascii="Times New Roman" w:hAnsi="Times New Roman" w:cs="Times New Roman"/>
          <w:sz w:val="24"/>
          <w:szCs w:val="24"/>
        </w:rPr>
        <w:t xml:space="preserve">contended that the burden was then shifted </w:t>
      </w:r>
      <w:r w:rsidR="00344345" w:rsidRPr="00BF100B">
        <w:rPr>
          <w:rFonts w:ascii="Times New Roman" w:hAnsi="Times New Roman" w:cs="Times New Roman"/>
          <w:sz w:val="24"/>
          <w:szCs w:val="24"/>
        </w:rPr>
        <w:t xml:space="preserve">onto </w:t>
      </w: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262C29" w:rsidRPr="00BF100B">
        <w:rPr>
          <w:rFonts w:ascii="Times New Roman" w:hAnsi="Times New Roman" w:cs="Times New Roman"/>
          <w:sz w:val="24"/>
          <w:szCs w:val="24"/>
        </w:rPr>
        <w:t xml:space="preserve">for the said plaintiffs to prove that authority to institute the suit had been obtained </w:t>
      </w:r>
      <w:r w:rsidR="00344345" w:rsidRPr="00BF100B">
        <w:rPr>
          <w:rFonts w:ascii="Times New Roman" w:hAnsi="Times New Roman" w:cs="Times New Roman"/>
          <w:sz w:val="24"/>
          <w:szCs w:val="24"/>
        </w:rPr>
        <w:t>from the said plaintiffs</w:t>
      </w:r>
      <w:r w:rsidR="00262C29" w:rsidRPr="00BF100B">
        <w:rPr>
          <w:rFonts w:ascii="Times New Roman" w:hAnsi="Times New Roman" w:cs="Times New Roman"/>
          <w:sz w:val="24"/>
          <w:szCs w:val="24"/>
        </w:rPr>
        <w:t xml:space="preserve">. </w:t>
      </w: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262C29" w:rsidRPr="00BF100B">
        <w:rPr>
          <w:rFonts w:ascii="Times New Roman" w:hAnsi="Times New Roman" w:cs="Times New Roman"/>
          <w:sz w:val="24"/>
          <w:szCs w:val="24"/>
        </w:rPr>
        <w:t xml:space="preserve">relied on </w:t>
      </w:r>
      <w:r w:rsidR="00417902" w:rsidRPr="00BF100B">
        <w:rPr>
          <w:rFonts w:ascii="Times New Roman" w:hAnsi="Times New Roman" w:cs="Times New Roman"/>
          <w:b/>
          <w:sz w:val="24"/>
          <w:szCs w:val="24"/>
        </w:rPr>
        <w:t xml:space="preserve">Soon Production Ltd </w:t>
      </w:r>
      <w:proofErr w:type="spellStart"/>
      <w:r w:rsidR="00417902" w:rsidRPr="00BF100B">
        <w:rPr>
          <w:rFonts w:ascii="Times New Roman" w:hAnsi="Times New Roman" w:cs="Times New Roman"/>
          <w:b/>
          <w:sz w:val="24"/>
          <w:szCs w:val="24"/>
        </w:rPr>
        <w:t>V</w:t>
      </w:r>
      <w:r w:rsidR="00262C29" w:rsidRPr="00BF100B">
        <w:rPr>
          <w:rFonts w:ascii="Times New Roman" w:hAnsi="Times New Roman" w:cs="Times New Roman"/>
          <w:b/>
          <w:sz w:val="24"/>
          <w:szCs w:val="24"/>
        </w:rPr>
        <w:t>s</w:t>
      </w:r>
      <w:proofErr w:type="spellEnd"/>
      <w:r w:rsidR="00262C29" w:rsidRPr="00BF100B">
        <w:rPr>
          <w:rFonts w:ascii="Times New Roman" w:hAnsi="Times New Roman" w:cs="Times New Roman"/>
          <w:b/>
          <w:sz w:val="24"/>
          <w:szCs w:val="24"/>
        </w:rPr>
        <w:t xml:space="preserve"> Soon </w:t>
      </w:r>
      <w:proofErr w:type="spellStart"/>
      <w:r w:rsidR="00262C29" w:rsidRPr="00BF100B">
        <w:rPr>
          <w:rFonts w:ascii="Times New Roman" w:hAnsi="Times New Roman" w:cs="Times New Roman"/>
          <w:b/>
          <w:sz w:val="24"/>
          <w:szCs w:val="24"/>
        </w:rPr>
        <w:t>Yeon</w:t>
      </w:r>
      <w:proofErr w:type="spellEnd"/>
      <w:r w:rsidR="00262C29" w:rsidRPr="00BF100B">
        <w:rPr>
          <w:rFonts w:ascii="Times New Roman" w:hAnsi="Times New Roman" w:cs="Times New Roman"/>
          <w:b/>
          <w:sz w:val="24"/>
          <w:szCs w:val="24"/>
        </w:rPr>
        <w:t xml:space="preserve"> Hong &amp; Another, Miscellaneous Application No.190 of </w:t>
      </w:r>
      <w:r w:rsidR="00262C29" w:rsidRPr="00BF100B">
        <w:rPr>
          <w:rFonts w:ascii="Times New Roman" w:hAnsi="Times New Roman" w:cs="Times New Roman"/>
          <w:b/>
          <w:sz w:val="24"/>
          <w:szCs w:val="24"/>
        </w:rPr>
        <w:lastRenderedPageBreak/>
        <w:t>2005</w:t>
      </w:r>
      <w:r w:rsidR="00262C29" w:rsidRPr="00BF100B">
        <w:rPr>
          <w:rFonts w:ascii="Times New Roman" w:hAnsi="Times New Roman" w:cs="Times New Roman"/>
          <w:sz w:val="24"/>
          <w:szCs w:val="24"/>
        </w:rPr>
        <w:t>, and submitted that to bring an action in the name of a company, there must be authorization o</w:t>
      </w:r>
      <w:r w:rsidR="00344345" w:rsidRPr="00BF100B">
        <w:rPr>
          <w:rFonts w:ascii="Times New Roman" w:hAnsi="Times New Roman" w:cs="Times New Roman"/>
          <w:sz w:val="24"/>
          <w:szCs w:val="24"/>
        </w:rPr>
        <w:t xml:space="preserve">f the company’s relevant organs; </w:t>
      </w:r>
      <w:r w:rsidR="00262C29" w:rsidRPr="00BF100B">
        <w:rPr>
          <w:rFonts w:ascii="Times New Roman" w:hAnsi="Times New Roman" w:cs="Times New Roman"/>
          <w:sz w:val="24"/>
          <w:szCs w:val="24"/>
        </w:rPr>
        <w:t xml:space="preserve">the board of directors or the general meeting. </w:t>
      </w:r>
    </w:p>
    <w:p w:rsidR="00220296"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417902" w:rsidRPr="00BF100B">
        <w:rPr>
          <w:rFonts w:ascii="Times New Roman" w:hAnsi="Times New Roman" w:cs="Times New Roman"/>
          <w:sz w:val="24"/>
          <w:szCs w:val="24"/>
        </w:rPr>
        <w:t xml:space="preserve"> </w:t>
      </w:r>
      <w:r w:rsidR="00220296" w:rsidRPr="00BF100B">
        <w:rPr>
          <w:rFonts w:ascii="Times New Roman" w:hAnsi="Times New Roman" w:cs="Times New Roman"/>
          <w:sz w:val="24"/>
          <w:szCs w:val="24"/>
        </w:rPr>
        <w:t xml:space="preserve">further submitted that neither of the plaintiffs stated above had ever been represented by a Director in </w:t>
      </w:r>
      <w:r w:rsidR="00042555" w:rsidRPr="00BF100B">
        <w:rPr>
          <w:rFonts w:ascii="Times New Roman" w:hAnsi="Times New Roman" w:cs="Times New Roman"/>
          <w:sz w:val="24"/>
          <w:szCs w:val="24"/>
        </w:rPr>
        <w:t>c</w:t>
      </w:r>
      <w:r w:rsidR="00220296" w:rsidRPr="00BF100B">
        <w:rPr>
          <w:rFonts w:ascii="Times New Roman" w:hAnsi="Times New Roman" w:cs="Times New Roman"/>
          <w:sz w:val="24"/>
          <w:szCs w:val="24"/>
        </w:rPr>
        <w:t xml:space="preserve">ourt and there was no correspondence whatsoever communicating instructions to the Advocates who originally instituted the plaint in the present suit or who supposedly took over instructions to represent the said plaintiffs in 2014. </w:t>
      </w:r>
    </w:p>
    <w:p w:rsidR="005B7ECB"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65D1C" w:rsidRPr="00BF100B">
        <w:rPr>
          <w:rFonts w:ascii="Times New Roman" w:hAnsi="Times New Roman" w:cs="Times New Roman"/>
          <w:sz w:val="24"/>
          <w:szCs w:val="24"/>
        </w:rPr>
        <w:t xml:space="preserve"> </w:t>
      </w:r>
      <w:r w:rsidR="00220296" w:rsidRPr="00BF100B">
        <w:rPr>
          <w:rFonts w:ascii="Times New Roman" w:hAnsi="Times New Roman" w:cs="Times New Roman"/>
          <w:sz w:val="24"/>
          <w:szCs w:val="24"/>
        </w:rPr>
        <w:t xml:space="preserve">prayed that the suit brought </w:t>
      </w:r>
      <w:r w:rsidR="005B7ECB" w:rsidRPr="00BF100B">
        <w:rPr>
          <w:rFonts w:ascii="Times New Roman" w:hAnsi="Times New Roman" w:cs="Times New Roman"/>
          <w:sz w:val="24"/>
          <w:szCs w:val="24"/>
        </w:rPr>
        <w:t>in respect of the 1</w:t>
      </w:r>
      <w:r w:rsidR="005B7ECB" w:rsidRPr="00BF100B">
        <w:rPr>
          <w:rFonts w:ascii="Times New Roman" w:hAnsi="Times New Roman" w:cs="Times New Roman"/>
          <w:sz w:val="24"/>
          <w:szCs w:val="24"/>
          <w:vertAlign w:val="superscript"/>
        </w:rPr>
        <w:t>st</w:t>
      </w:r>
      <w:r w:rsidR="005B7ECB" w:rsidRPr="00BF100B">
        <w:rPr>
          <w:rFonts w:ascii="Times New Roman" w:hAnsi="Times New Roman" w:cs="Times New Roman"/>
          <w:sz w:val="24"/>
          <w:szCs w:val="24"/>
        </w:rPr>
        <w:t>, 10</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13</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15</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16</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18</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19</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xml:space="preserve"> 22</w:t>
      </w:r>
      <w:r w:rsidR="005B7ECB" w:rsidRPr="00BF100B">
        <w:rPr>
          <w:rFonts w:ascii="Times New Roman" w:hAnsi="Times New Roman" w:cs="Times New Roman"/>
          <w:sz w:val="24"/>
          <w:szCs w:val="24"/>
          <w:vertAlign w:val="superscript"/>
        </w:rPr>
        <w:t>nd</w:t>
      </w:r>
      <w:r w:rsidR="005B7ECB" w:rsidRPr="00BF100B">
        <w:rPr>
          <w:rFonts w:ascii="Times New Roman" w:hAnsi="Times New Roman" w:cs="Times New Roman"/>
          <w:sz w:val="24"/>
          <w:szCs w:val="24"/>
        </w:rPr>
        <w:t xml:space="preserve"> and 23</w:t>
      </w:r>
      <w:r w:rsidR="005B7ECB" w:rsidRPr="00BF100B">
        <w:rPr>
          <w:rFonts w:ascii="Times New Roman" w:hAnsi="Times New Roman" w:cs="Times New Roman"/>
          <w:sz w:val="24"/>
          <w:szCs w:val="24"/>
          <w:vertAlign w:val="superscript"/>
        </w:rPr>
        <w:t>rd</w:t>
      </w:r>
      <w:r w:rsidR="005B7ECB" w:rsidRPr="00BF100B">
        <w:rPr>
          <w:rFonts w:ascii="Times New Roman" w:hAnsi="Times New Roman" w:cs="Times New Roman"/>
          <w:sz w:val="24"/>
          <w:szCs w:val="24"/>
        </w:rPr>
        <w:t xml:space="preserve"> plaintiffs as well as the 2</w:t>
      </w:r>
      <w:r w:rsidR="005B7ECB" w:rsidRPr="00BF100B">
        <w:rPr>
          <w:rFonts w:ascii="Times New Roman" w:hAnsi="Times New Roman" w:cs="Times New Roman"/>
          <w:sz w:val="24"/>
          <w:szCs w:val="24"/>
          <w:vertAlign w:val="superscript"/>
        </w:rPr>
        <w:t>nd</w:t>
      </w:r>
      <w:r w:rsidR="005B7ECB" w:rsidRPr="00BF100B">
        <w:rPr>
          <w:rFonts w:ascii="Times New Roman" w:hAnsi="Times New Roman" w:cs="Times New Roman"/>
          <w:sz w:val="24"/>
          <w:szCs w:val="24"/>
        </w:rPr>
        <w:t>, 3</w:t>
      </w:r>
      <w:r w:rsidR="005B7ECB" w:rsidRPr="00BF100B">
        <w:rPr>
          <w:rFonts w:ascii="Times New Roman" w:hAnsi="Times New Roman" w:cs="Times New Roman"/>
          <w:sz w:val="24"/>
          <w:szCs w:val="24"/>
          <w:vertAlign w:val="superscript"/>
        </w:rPr>
        <w:t>rd</w:t>
      </w:r>
      <w:r w:rsidR="005B7ECB" w:rsidRPr="00BF100B">
        <w:rPr>
          <w:rFonts w:ascii="Times New Roman" w:hAnsi="Times New Roman" w:cs="Times New Roman"/>
          <w:sz w:val="24"/>
          <w:szCs w:val="24"/>
        </w:rPr>
        <w:t>, 4</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5</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7</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11</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14</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21</w:t>
      </w:r>
      <w:r w:rsidR="005B7ECB" w:rsidRPr="00BF100B">
        <w:rPr>
          <w:rFonts w:ascii="Times New Roman" w:hAnsi="Times New Roman" w:cs="Times New Roman"/>
          <w:sz w:val="24"/>
          <w:szCs w:val="24"/>
          <w:vertAlign w:val="superscript"/>
        </w:rPr>
        <w:t>st</w:t>
      </w:r>
      <w:r w:rsidR="005B7ECB" w:rsidRPr="00BF100B">
        <w:rPr>
          <w:rFonts w:ascii="Times New Roman" w:hAnsi="Times New Roman" w:cs="Times New Roman"/>
          <w:sz w:val="24"/>
          <w:szCs w:val="24"/>
        </w:rPr>
        <w:t xml:space="preserve"> and 26</w:t>
      </w:r>
      <w:r w:rsidR="005B7ECB" w:rsidRPr="00BF100B">
        <w:rPr>
          <w:rFonts w:ascii="Times New Roman" w:hAnsi="Times New Roman" w:cs="Times New Roman"/>
          <w:sz w:val="24"/>
          <w:szCs w:val="24"/>
          <w:vertAlign w:val="superscript"/>
        </w:rPr>
        <w:t>th</w:t>
      </w:r>
      <w:r w:rsidR="005B7ECB" w:rsidRPr="00BF100B">
        <w:rPr>
          <w:rFonts w:ascii="Times New Roman" w:hAnsi="Times New Roman" w:cs="Times New Roman"/>
          <w:sz w:val="24"/>
          <w:szCs w:val="24"/>
        </w:rPr>
        <w:t xml:space="preserve"> plaintiffs </w:t>
      </w:r>
      <w:r w:rsidR="007E4E38" w:rsidRPr="00BF100B">
        <w:rPr>
          <w:rFonts w:ascii="Times New Roman" w:hAnsi="Times New Roman" w:cs="Times New Roman"/>
          <w:sz w:val="24"/>
          <w:szCs w:val="24"/>
        </w:rPr>
        <w:t>should</w:t>
      </w:r>
      <w:r w:rsidR="005B7ECB" w:rsidRPr="00BF100B">
        <w:rPr>
          <w:rFonts w:ascii="Times New Roman" w:hAnsi="Times New Roman" w:cs="Times New Roman"/>
          <w:sz w:val="24"/>
          <w:szCs w:val="24"/>
        </w:rPr>
        <w:t xml:space="preserve"> to be dismissed /struck out for lack of</w:t>
      </w:r>
      <w:r w:rsidR="007E4E38" w:rsidRPr="00BF100B">
        <w:rPr>
          <w:rFonts w:ascii="Times New Roman" w:hAnsi="Times New Roman" w:cs="Times New Roman"/>
          <w:sz w:val="24"/>
          <w:szCs w:val="24"/>
        </w:rPr>
        <w:t xml:space="preserve"> authority to institute the</w:t>
      </w:r>
      <w:r w:rsidR="005B7ECB" w:rsidRPr="00BF100B">
        <w:rPr>
          <w:rFonts w:ascii="Times New Roman" w:hAnsi="Times New Roman" w:cs="Times New Roman"/>
          <w:sz w:val="24"/>
          <w:szCs w:val="24"/>
        </w:rPr>
        <w:t xml:space="preserve"> suit on their behalf.</w:t>
      </w:r>
    </w:p>
    <w:p w:rsidR="00381982" w:rsidRPr="00BF100B" w:rsidRDefault="005B7ECB"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reply, </w:t>
      </w:r>
      <w:r w:rsidR="003E2098" w:rsidRPr="00BF100B">
        <w:rPr>
          <w:rFonts w:ascii="Times New Roman" w:hAnsi="Times New Roman" w:cs="Times New Roman"/>
          <w:sz w:val="24"/>
          <w:szCs w:val="24"/>
        </w:rPr>
        <w:t>Counsel</w:t>
      </w:r>
      <w:r w:rsidR="00165D1C"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plaintiffs submitted that</w:t>
      </w:r>
      <w:r w:rsidR="00FF09D1" w:rsidRPr="00BF100B">
        <w:rPr>
          <w:rFonts w:ascii="Times New Roman" w:hAnsi="Times New Roman" w:cs="Times New Roman"/>
          <w:sz w:val="24"/>
          <w:szCs w:val="24"/>
        </w:rPr>
        <w:t xml:space="preserve"> </w:t>
      </w:r>
      <w:r w:rsidR="007E4E38" w:rsidRPr="00BF100B">
        <w:rPr>
          <w:rFonts w:ascii="Times New Roman" w:hAnsi="Times New Roman" w:cs="Times New Roman"/>
          <w:sz w:val="24"/>
          <w:szCs w:val="24"/>
        </w:rPr>
        <w:t>the same Firm of Advocates</w:t>
      </w:r>
      <w:r w:rsidR="00FF09D1" w:rsidRPr="00BF100B">
        <w:rPr>
          <w:rFonts w:ascii="Times New Roman" w:hAnsi="Times New Roman" w:cs="Times New Roman"/>
          <w:sz w:val="24"/>
          <w:szCs w:val="24"/>
        </w:rPr>
        <w:t xml:space="preserve"> had assisted the plaintiffs in proving in liquidation and the plaintiffs had appeared in person or with a representative before the liquidators to prove their claims</w:t>
      </w:r>
      <w:r w:rsidR="00381982" w:rsidRPr="00BF100B">
        <w:rPr>
          <w:rFonts w:ascii="Times New Roman" w:hAnsi="Times New Roman" w:cs="Times New Roman"/>
          <w:sz w:val="24"/>
          <w:szCs w:val="24"/>
        </w:rPr>
        <w:t>. Further, that the defendant had known the plaintiffs since 1994 when they proved their claims and that the plaintiffs’ witnesses had disclosed the addresses of the plaintiffs to the defendant in their respective witness statements filed in the present suit.</w:t>
      </w:r>
    </w:p>
    <w:p w:rsidR="00D656F0"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65D1C" w:rsidRPr="00BF100B">
        <w:rPr>
          <w:rFonts w:ascii="Times New Roman" w:hAnsi="Times New Roman" w:cs="Times New Roman"/>
          <w:sz w:val="24"/>
          <w:szCs w:val="24"/>
        </w:rPr>
        <w:t xml:space="preserve"> </w:t>
      </w:r>
      <w:r w:rsidR="00381982" w:rsidRPr="00BF100B">
        <w:rPr>
          <w:rFonts w:ascii="Times New Roman" w:hAnsi="Times New Roman" w:cs="Times New Roman"/>
          <w:sz w:val="24"/>
          <w:szCs w:val="24"/>
        </w:rPr>
        <w:t xml:space="preserve">cited </w:t>
      </w:r>
      <w:r w:rsidR="00F540B4" w:rsidRPr="00BF100B">
        <w:rPr>
          <w:rFonts w:ascii="Times New Roman" w:hAnsi="Times New Roman" w:cs="Times New Roman"/>
          <w:b/>
          <w:sz w:val="24"/>
          <w:szCs w:val="24"/>
        </w:rPr>
        <w:t>S</w:t>
      </w:r>
      <w:r w:rsidR="00381982" w:rsidRPr="00BF100B">
        <w:rPr>
          <w:rFonts w:ascii="Times New Roman" w:hAnsi="Times New Roman" w:cs="Times New Roman"/>
          <w:b/>
          <w:sz w:val="24"/>
          <w:szCs w:val="24"/>
        </w:rPr>
        <w:t>ection 101(1)</w:t>
      </w:r>
      <w:r w:rsidR="00381982" w:rsidRPr="00BF100B">
        <w:rPr>
          <w:rFonts w:ascii="Times New Roman" w:hAnsi="Times New Roman" w:cs="Times New Roman"/>
          <w:sz w:val="24"/>
          <w:szCs w:val="24"/>
        </w:rPr>
        <w:t xml:space="preserve"> of the </w:t>
      </w:r>
      <w:r w:rsidR="00F540B4" w:rsidRPr="00BF100B">
        <w:rPr>
          <w:rFonts w:ascii="Times New Roman" w:hAnsi="Times New Roman" w:cs="Times New Roman"/>
          <w:b/>
          <w:sz w:val="24"/>
          <w:szCs w:val="24"/>
        </w:rPr>
        <w:t>Eviden</w:t>
      </w:r>
      <w:r w:rsidR="00381982" w:rsidRPr="00BF100B">
        <w:rPr>
          <w:rFonts w:ascii="Times New Roman" w:hAnsi="Times New Roman" w:cs="Times New Roman"/>
          <w:b/>
          <w:sz w:val="24"/>
          <w:szCs w:val="24"/>
        </w:rPr>
        <w:t xml:space="preserve">ce Act </w:t>
      </w:r>
      <w:r w:rsidR="00381982" w:rsidRPr="00BF100B">
        <w:rPr>
          <w:rFonts w:ascii="Times New Roman" w:hAnsi="Times New Roman" w:cs="Times New Roman"/>
          <w:sz w:val="24"/>
          <w:szCs w:val="24"/>
        </w:rPr>
        <w:t xml:space="preserve">where it is provided that in order for any court to give judgment as to any legal right or liability </w:t>
      </w:r>
      <w:proofErr w:type="spellStart"/>
      <w:r w:rsidR="00381982" w:rsidRPr="00BF100B">
        <w:rPr>
          <w:rFonts w:ascii="Times New Roman" w:hAnsi="Times New Roman" w:cs="Times New Roman"/>
          <w:sz w:val="24"/>
          <w:szCs w:val="24"/>
        </w:rPr>
        <w:t>dependant</w:t>
      </w:r>
      <w:proofErr w:type="spellEnd"/>
      <w:r w:rsidR="00381982" w:rsidRPr="00BF100B">
        <w:rPr>
          <w:rFonts w:ascii="Times New Roman" w:hAnsi="Times New Roman" w:cs="Times New Roman"/>
          <w:sz w:val="24"/>
          <w:szCs w:val="24"/>
        </w:rPr>
        <w:t xml:space="preserve"> on the existence of facts which he or s</w:t>
      </w:r>
      <w:r w:rsidR="007E4E38" w:rsidRPr="00BF100B">
        <w:rPr>
          <w:rFonts w:ascii="Times New Roman" w:hAnsi="Times New Roman" w:cs="Times New Roman"/>
          <w:sz w:val="24"/>
          <w:szCs w:val="24"/>
        </w:rPr>
        <w:t>he asserts must prove that those</w:t>
      </w:r>
      <w:r w:rsidR="00381982" w:rsidRPr="00BF100B">
        <w:rPr>
          <w:rFonts w:ascii="Times New Roman" w:hAnsi="Times New Roman" w:cs="Times New Roman"/>
          <w:sz w:val="24"/>
          <w:szCs w:val="24"/>
        </w:rPr>
        <w:t xml:space="preserve"> facts </w:t>
      </w:r>
      <w:r w:rsidR="00D656F0" w:rsidRPr="00BF100B">
        <w:rPr>
          <w:rFonts w:ascii="Times New Roman" w:hAnsi="Times New Roman" w:cs="Times New Roman"/>
          <w:sz w:val="24"/>
          <w:szCs w:val="24"/>
        </w:rPr>
        <w:t xml:space="preserve">exist. </w:t>
      </w:r>
      <w:r w:rsidRPr="00BF100B">
        <w:rPr>
          <w:rFonts w:ascii="Times New Roman" w:hAnsi="Times New Roman" w:cs="Times New Roman"/>
          <w:sz w:val="24"/>
          <w:szCs w:val="24"/>
        </w:rPr>
        <w:t>Counsel</w:t>
      </w:r>
      <w:r w:rsidR="00165D1C" w:rsidRPr="00BF100B">
        <w:rPr>
          <w:rFonts w:ascii="Times New Roman" w:hAnsi="Times New Roman" w:cs="Times New Roman"/>
          <w:sz w:val="24"/>
          <w:szCs w:val="24"/>
        </w:rPr>
        <w:t xml:space="preserve"> </w:t>
      </w:r>
      <w:r w:rsidR="00D656F0" w:rsidRPr="00BF100B">
        <w:rPr>
          <w:rFonts w:ascii="Times New Roman" w:hAnsi="Times New Roman" w:cs="Times New Roman"/>
          <w:sz w:val="24"/>
          <w:szCs w:val="24"/>
        </w:rPr>
        <w:t xml:space="preserve">submitted that the defendant had failed to prove on a balance of probabilities that the listed plaintiffs did not instruct </w:t>
      </w:r>
      <w:r w:rsidRPr="00BF100B">
        <w:rPr>
          <w:rFonts w:ascii="Times New Roman" w:hAnsi="Times New Roman" w:cs="Times New Roman"/>
          <w:sz w:val="24"/>
          <w:szCs w:val="24"/>
        </w:rPr>
        <w:t>Counsel</w:t>
      </w:r>
      <w:r w:rsidR="00165D1C" w:rsidRPr="00BF100B">
        <w:rPr>
          <w:rFonts w:ascii="Times New Roman" w:hAnsi="Times New Roman" w:cs="Times New Roman"/>
          <w:sz w:val="24"/>
          <w:szCs w:val="24"/>
        </w:rPr>
        <w:t xml:space="preserve"> </w:t>
      </w:r>
      <w:r w:rsidR="00D656F0" w:rsidRPr="00BF100B">
        <w:rPr>
          <w:rFonts w:ascii="Times New Roman" w:hAnsi="Times New Roman" w:cs="Times New Roman"/>
          <w:sz w:val="24"/>
          <w:szCs w:val="24"/>
        </w:rPr>
        <w:t xml:space="preserve">to file the suit. </w:t>
      </w:r>
      <w:r w:rsidRPr="00BF100B">
        <w:rPr>
          <w:rFonts w:ascii="Times New Roman" w:hAnsi="Times New Roman" w:cs="Times New Roman"/>
          <w:sz w:val="24"/>
          <w:szCs w:val="24"/>
        </w:rPr>
        <w:t>Counsel</w:t>
      </w:r>
      <w:r w:rsidR="00165D1C" w:rsidRPr="00BF100B">
        <w:rPr>
          <w:rFonts w:ascii="Times New Roman" w:hAnsi="Times New Roman" w:cs="Times New Roman"/>
          <w:sz w:val="24"/>
          <w:szCs w:val="24"/>
        </w:rPr>
        <w:t xml:space="preserve"> </w:t>
      </w:r>
      <w:r w:rsidR="00D656F0" w:rsidRPr="00BF100B">
        <w:rPr>
          <w:rFonts w:ascii="Times New Roman" w:hAnsi="Times New Roman" w:cs="Times New Roman"/>
          <w:sz w:val="24"/>
          <w:szCs w:val="24"/>
        </w:rPr>
        <w:t xml:space="preserve">contended that once the plaintiffs were agreed as proved creditors at the scheduling conference, there was no need to call them to testify in this matter. Further, that the plaintiffs who were free attended and were pointed out to the </w:t>
      </w:r>
      <w:proofErr w:type="gramStart"/>
      <w:r w:rsidR="00EF5118" w:rsidRPr="00BF100B">
        <w:rPr>
          <w:rFonts w:ascii="Times New Roman" w:hAnsi="Times New Roman" w:cs="Times New Roman"/>
          <w:sz w:val="24"/>
          <w:szCs w:val="24"/>
        </w:rPr>
        <w:t>c</w:t>
      </w:r>
      <w:r w:rsidR="00D656F0" w:rsidRPr="00BF100B">
        <w:rPr>
          <w:rFonts w:ascii="Times New Roman" w:hAnsi="Times New Roman" w:cs="Times New Roman"/>
          <w:sz w:val="24"/>
          <w:szCs w:val="24"/>
        </w:rPr>
        <w:t>ourt,</w:t>
      </w:r>
      <w:proofErr w:type="gramEnd"/>
      <w:r w:rsidR="00D656F0" w:rsidRPr="00BF100B">
        <w:rPr>
          <w:rFonts w:ascii="Times New Roman" w:hAnsi="Times New Roman" w:cs="Times New Roman"/>
          <w:sz w:val="24"/>
          <w:szCs w:val="24"/>
        </w:rPr>
        <w:t xml:space="preserve"> and this was the same procedure adopted in a similar matter in </w:t>
      </w:r>
      <w:r w:rsidR="00D656F0" w:rsidRPr="00BF100B">
        <w:rPr>
          <w:rFonts w:ascii="Times New Roman" w:hAnsi="Times New Roman" w:cs="Times New Roman"/>
          <w:b/>
          <w:i/>
          <w:sz w:val="24"/>
          <w:szCs w:val="24"/>
        </w:rPr>
        <w:t xml:space="preserve">High Court Civil Suit No. 63 of 2008; </w:t>
      </w:r>
      <w:proofErr w:type="spellStart"/>
      <w:r w:rsidR="00D656F0" w:rsidRPr="00BF100B">
        <w:rPr>
          <w:rFonts w:ascii="Times New Roman" w:hAnsi="Times New Roman" w:cs="Times New Roman"/>
          <w:b/>
          <w:i/>
          <w:sz w:val="24"/>
          <w:szCs w:val="24"/>
        </w:rPr>
        <w:t>Specioza</w:t>
      </w:r>
      <w:proofErr w:type="spellEnd"/>
      <w:r w:rsidR="00D656F0" w:rsidRPr="00BF100B">
        <w:rPr>
          <w:rFonts w:ascii="Times New Roman" w:hAnsi="Times New Roman" w:cs="Times New Roman"/>
          <w:b/>
          <w:i/>
          <w:sz w:val="24"/>
          <w:szCs w:val="24"/>
        </w:rPr>
        <w:t xml:space="preserve"> </w:t>
      </w:r>
      <w:proofErr w:type="spellStart"/>
      <w:r w:rsidR="00D656F0" w:rsidRPr="00BF100B">
        <w:rPr>
          <w:rFonts w:ascii="Times New Roman" w:hAnsi="Times New Roman" w:cs="Times New Roman"/>
          <w:b/>
          <w:i/>
          <w:sz w:val="24"/>
          <w:szCs w:val="24"/>
        </w:rPr>
        <w:t>Kalungi</w:t>
      </w:r>
      <w:proofErr w:type="spellEnd"/>
      <w:r w:rsidR="00D656F0" w:rsidRPr="00BF100B">
        <w:rPr>
          <w:rFonts w:ascii="Times New Roman" w:hAnsi="Times New Roman" w:cs="Times New Roman"/>
          <w:b/>
          <w:i/>
          <w:sz w:val="24"/>
          <w:szCs w:val="24"/>
        </w:rPr>
        <w:t xml:space="preserve"> and others Versus Attorney </w:t>
      </w:r>
      <w:proofErr w:type="spellStart"/>
      <w:r w:rsidR="00D656F0" w:rsidRPr="00BF100B">
        <w:rPr>
          <w:rFonts w:ascii="Times New Roman" w:hAnsi="Times New Roman" w:cs="Times New Roman"/>
          <w:b/>
          <w:i/>
          <w:sz w:val="24"/>
          <w:szCs w:val="24"/>
        </w:rPr>
        <w:t>Genaral</w:t>
      </w:r>
      <w:proofErr w:type="spellEnd"/>
      <w:r w:rsidR="00D656F0" w:rsidRPr="00BF100B">
        <w:rPr>
          <w:rFonts w:ascii="Times New Roman" w:hAnsi="Times New Roman" w:cs="Times New Roman"/>
          <w:sz w:val="24"/>
          <w:szCs w:val="24"/>
        </w:rPr>
        <w:t xml:space="preserve">. </w:t>
      </w:r>
    </w:p>
    <w:p w:rsidR="000629F0" w:rsidRPr="00BF100B" w:rsidRDefault="00E461C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 have carefully considered the s</w:t>
      </w:r>
      <w:r w:rsidR="00B8238F" w:rsidRPr="00BF100B">
        <w:rPr>
          <w:rFonts w:ascii="Times New Roman" w:hAnsi="Times New Roman" w:cs="Times New Roman"/>
          <w:sz w:val="24"/>
          <w:szCs w:val="24"/>
        </w:rPr>
        <w:t xml:space="preserve">ubmissions of </w:t>
      </w:r>
      <w:r w:rsidR="003E2098" w:rsidRPr="00BF100B">
        <w:rPr>
          <w:rFonts w:ascii="Times New Roman" w:hAnsi="Times New Roman" w:cs="Times New Roman"/>
          <w:sz w:val="24"/>
          <w:szCs w:val="24"/>
        </w:rPr>
        <w:t>Counsel</w:t>
      </w:r>
      <w:r w:rsidR="006243BE" w:rsidRPr="00BF100B">
        <w:rPr>
          <w:rFonts w:ascii="Times New Roman" w:hAnsi="Times New Roman" w:cs="Times New Roman"/>
          <w:sz w:val="24"/>
          <w:szCs w:val="24"/>
        </w:rPr>
        <w:t xml:space="preserve"> </w:t>
      </w:r>
      <w:r w:rsidR="00B8238F" w:rsidRPr="00BF100B">
        <w:rPr>
          <w:rFonts w:ascii="Times New Roman" w:hAnsi="Times New Roman" w:cs="Times New Roman"/>
          <w:sz w:val="24"/>
          <w:szCs w:val="24"/>
        </w:rPr>
        <w:t xml:space="preserve">on </w:t>
      </w:r>
      <w:proofErr w:type="gramStart"/>
      <w:r w:rsidR="00B8238F" w:rsidRPr="00BF100B">
        <w:rPr>
          <w:rFonts w:ascii="Times New Roman" w:hAnsi="Times New Roman" w:cs="Times New Roman"/>
          <w:sz w:val="24"/>
          <w:szCs w:val="24"/>
        </w:rPr>
        <w:t xml:space="preserve">either </w:t>
      </w:r>
      <w:r w:rsidRPr="00BF100B">
        <w:rPr>
          <w:rFonts w:ascii="Times New Roman" w:hAnsi="Times New Roman" w:cs="Times New Roman"/>
          <w:sz w:val="24"/>
          <w:szCs w:val="24"/>
        </w:rPr>
        <w:t>side</w:t>
      </w:r>
      <w:proofErr w:type="gramEnd"/>
      <w:r w:rsidRPr="00BF100B">
        <w:rPr>
          <w:rFonts w:ascii="Times New Roman" w:hAnsi="Times New Roman" w:cs="Times New Roman"/>
          <w:sz w:val="24"/>
          <w:szCs w:val="24"/>
        </w:rPr>
        <w:t>, the evidence,</w:t>
      </w:r>
      <w:r w:rsidR="000629F0" w:rsidRPr="00BF100B">
        <w:rPr>
          <w:rFonts w:ascii="Times New Roman" w:hAnsi="Times New Roman" w:cs="Times New Roman"/>
          <w:sz w:val="24"/>
          <w:szCs w:val="24"/>
        </w:rPr>
        <w:t xml:space="preserve"> law and authorities relied upon</w:t>
      </w:r>
      <w:r w:rsidR="00B8238F" w:rsidRPr="00BF100B">
        <w:rPr>
          <w:rFonts w:ascii="Times New Roman" w:hAnsi="Times New Roman" w:cs="Times New Roman"/>
          <w:sz w:val="24"/>
          <w:szCs w:val="24"/>
        </w:rPr>
        <w:t>.</w:t>
      </w:r>
      <w:r w:rsidR="000629F0" w:rsidRPr="00BF100B">
        <w:rPr>
          <w:rFonts w:ascii="Times New Roman" w:hAnsi="Times New Roman" w:cs="Times New Roman"/>
          <w:sz w:val="24"/>
          <w:szCs w:val="24"/>
        </w:rPr>
        <w:t xml:space="preserve"> From the submissions of counsel, this issue raises two points of law questioning the legal existence of the 1</w:t>
      </w:r>
      <w:r w:rsidR="000629F0" w:rsidRPr="00BF100B">
        <w:rPr>
          <w:rFonts w:ascii="Times New Roman" w:hAnsi="Times New Roman" w:cs="Times New Roman"/>
          <w:sz w:val="24"/>
          <w:szCs w:val="24"/>
          <w:vertAlign w:val="superscript"/>
        </w:rPr>
        <w:t>st</w:t>
      </w:r>
      <w:r w:rsidR="000629F0" w:rsidRPr="00BF100B">
        <w:rPr>
          <w:rFonts w:ascii="Times New Roman" w:hAnsi="Times New Roman" w:cs="Times New Roman"/>
          <w:sz w:val="24"/>
          <w:szCs w:val="24"/>
        </w:rPr>
        <w:t>, 10</w:t>
      </w:r>
      <w:r w:rsidR="000629F0" w:rsidRPr="00BF100B">
        <w:rPr>
          <w:rFonts w:ascii="Times New Roman" w:hAnsi="Times New Roman" w:cs="Times New Roman"/>
          <w:sz w:val="24"/>
          <w:szCs w:val="24"/>
          <w:vertAlign w:val="superscript"/>
        </w:rPr>
        <w:t>th</w:t>
      </w:r>
      <w:r w:rsidR="000629F0" w:rsidRPr="00BF100B">
        <w:rPr>
          <w:rFonts w:ascii="Times New Roman" w:hAnsi="Times New Roman" w:cs="Times New Roman"/>
          <w:sz w:val="24"/>
          <w:szCs w:val="24"/>
        </w:rPr>
        <w:t>, 13</w:t>
      </w:r>
      <w:r w:rsidR="000629F0" w:rsidRPr="00BF100B">
        <w:rPr>
          <w:rFonts w:ascii="Times New Roman" w:hAnsi="Times New Roman" w:cs="Times New Roman"/>
          <w:sz w:val="24"/>
          <w:szCs w:val="24"/>
          <w:vertAlign w:val="superscript"/>
        </w:rPr>
        <w:t>th</w:t>
      </w:r>
      <w:r w:rsidR="000629F0" w:rsidRPr="00BF100B">
        <w:rPr>
          <w:rFonts w:ascii="Times New Roman" w:hAnsi="Times New Roman" w:cs="Times New Roman"/>
          <w:sz w:val="24"/>
          <w:szCs w:val="24"/>
        </w:rPr>
        <w:t>, 15</w:t>
      </w:r>
      <w:r w:rsidR="000629F0" w:rsidRPr="00BF100B">
        <w:rPr>
          <w:rFonts w:ascii="Times New Roman" w:hAnsi="Times New Roman" w:cs="Times New Roman"/>
          <w:sz w:val="24"/>
          <w:szCs w:val="24"/>
          <w:vertAlign w:val="superscript"/>
        </w:rPr>
        <w:t>th</w:t>
      </w:r>
      <w:r w:rsidR="000629F0" w:rsidRPr="00BF100B">
        <w:rPr>
          <w:rFonts w:ascii="Times New Roman" w:hAnsi="Times New Roman" w:cs="Times New Roman"/>
          <w:sz w:val="24"/>
          <w:szCs w:val="24"/>
        </w:rPr>
        <w:t>, 16</w:t>
      </w:r>
      <w:r w:rsidR="000629F0" w:rsidRPr="00BF100B">
        <w:rPr>
          <w:rFonts w:ascii="Times New Roman" w:hAnsi="Times New Roman" w:cs="Times New Roman"/>
          <w:sz w:val="24"/>
          <w:szCs w:val="24"/>
          <w:vertAlign w:val="superscript"/>
        </w:rPr>
        <w:t>th</w:t>
      </w:r>
      <w:r w:rsidR="000629F0" w:rsidRPr="00BF100B">
        <w:rPr>
          <w:rFonts w:ascii="Times New Roman" w:hAnsi="Times New Roman" w:cs="Times New Roman"/>
          <w:sz w:val="24"/>
          <w:szCs w:val="24"/>
        </w:rPr>
        <w:t>, 18</w:t>
      </w:r>
      <w:r w:rsidR="000629F0" w:rsidRPr="00BF100B">
        <w:rPr>
          <w:rFonts w:ascii="Times New Roman" w:hAnsi="Times New Roman" w:cs="Times New Roman"/>
          <w:sz w:val="24"/>
          <w:szCs w:val="24"/>
          <w:vertAlign w:val="superscript"/>
        </w:rPr>
        <w:t>th</w:t>
      </w:r>
      <w:r w:rsidR="000629F0" w:rsidRPr="00BF100B">
        <w:rPr>
          <w:rFonts w:ascii="Times New Roman" w:hAnsi="Times New Roman" w:cs="Times New Roman"/>
          <w:sz w:val="24"/>
          <w:szCs w:val="24"/>
        </w:rPr>
        <w:t>, 19</w:t>
      </w:r>
      <w:r w:rsidR="000629F0" w:rsidRPr="00BF100B">
        <w:rPr>
          <w:rFonts w:ascii="Times New Roman" w:hAnsi="Times New Roman" w:cs="Times New Roman"/>
          <w:sz w:val="24"/>
          <w:szCs w:val="24"/>
          <w:vertAlign w:val="superscript"/>
        </w:rPr>
        <w:t>th</w:t>
      </w:r>
      <w:r w:rsidR="000629F0" w:rsidRPr="00BF100B">
        <w:rPr>
          <w:rFonts w:ascii="Times New Roman" w:hAnsi="Times New Roman" w:cs="Times New Roman"/>
          <w:sz w:val="24"/>
          <w:szCs w:val="24"/>
        </w:rPr>
        <w:t>, 22</w:t>
      </w:r>
      <w:r w:rsidR="000629F0" w:rsidRPr="00BF100B">
        <w:rPr>
          <w:rFonts w:ascii="Times New Roman" w:hAnsi="Times New Roman" w:cs="Times New Roman"/>
          <w:sz w:val="24"/>
          <w:szCs w:val="24"/>
          <w:vertAlign w:val="superscript"/>
        </w:rPr>
        <w:t>nd</w:t>
      </w:r>
      <w:r w:rsidR="000629F0" w:rsidRPr="00BF100B">
        <w:rPr>
          <w:rFonts w:ascii="Times New Roman" w:hAnsi="Times New Roman" w:cs="Times New Roman"/>
          <w:sz w:val="24"/>
          <w:szCs w:val="24"/>
        </w:rPr>
        <w:t xml:space="preserve"> and 23</w:t>
      </w:r>
      <w:r w:rsidR="000629F0" w:rsidRPr="00BF100B">
        <w:rPr>
          <w:rFonts w:ascii="Times New Roman" w:hAnsi="Times New Roman" w:cs="Times New Roman"/>
          <w:sz w:val="24"/>
          <w:szCs w:val="24"/>
          <w:vertAlign w:val="superscript"/>
        </w:rPr>
        <w:t>rd</w:t>
      </w:r>
      <w:r w:rsidR="000629F0" w:rsidRPr="00BF100B">
        <w:rPr>
          <w:rFonts w:ascii="Times New Roman" w:hAnsi="Times New Roman" w:cs="Times New Roman"/>
          <w:sz w:val="24"/>
          <w:szCs w:val="24"/>
        </w:rPr>
        <w:t xml:space="preserve"> plaintiffs, and whether authority was obtained from the plaintiffs before instituting the present suit. </w:t>
      </w:r>
    </w:p>
    <w:p w:rsidR="00345211"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lastRenderedPageBreak/>
        <w:t>Counsel</w:t>
      </w:r>
      <w:r w:rsidR="006243BE" w:rsidRPr="00BF100B">
        <w:rPr>
          <w:rFonts w:ascii="Times New Roman" w:hAnsi="Times New Roman" w:cs="Times New Roman"/>
          <w:sz w:val="24"/>
          <w:szCs w:val="24"/>
        </w:rPr>
        <w:t xml:space="preserve"> </w:t>
      </w:r>
      <w:r w:rsidR="00436720" w:rsidRPr="00BF100B">
        <w:rPr>
          <w:rFonts w:ascii="Times New Roman" w:hAnsi="Times New Roman" w:cs="Times New Roman"/>
          <w:sz w:val="24"/>
          <w:szCs w:val="24"/>
        </w:rPr>
        <w:t>for the plaintiffs was of the view that the objection in regard to the legal existence of the</w:t>
      </w:r>
      <w:r w:rsidR="0034690D" w:rsidRPr="00BF100B">
        <w:rPr>
          <w:rFonts w:ascii="Times New Roman" w:hAnsi="Times New Roman" w:cs="Times New Roman"/>
          <w:sz w:val="24"/>
          <w:szCs w:val="24"/>
        </w:rPr>
        <w:t xml:space="preserve"> plaintiffs could not be raised at this point considering that it was not </w:t>
      </w:r>
      <w:proofErr w:type="spellStart"/>
      <w:r w:rsidR="0034690D" w:rsidRPr="00BF100B">
        <w:rPr>
          <w:rFonts w:ascii="Times New Roman" w:hAnsi="Times New Roman" w:cs="Times New Roman"/>
          <w:sz w:val="24"/>
          <w:szCs w:val="24"/>
        </w:rPr>
        <w:t>pleaded</w:t>
      </w:r>
      <w:proofErr w:type="spellEnd"/>
      <w:r w:rsidR="0034690D" w:rsidRPr="00BF100B">
        <w:rPr>
          <w:rFonts w:ascii="Times New Roman" w:hAnsi="Times New Roman" w:cs="Times New Roman"/>
          <w:sz w:val="24"/>
          <w:szCs w:val="24"/>
        </w:rPr>
        <w:t xml:space="preserve"> by the defendant. </w:t>
      </w:r>
      <w:r w:rsidR="008E097A" w:rsidRPr="00BF100B">
        <w:rPr>
          <w:rFonts w:ascii="Times New Roman" w:hAnsi="Times New Roman" w:cs="Times New Roman"/>
          <w:sz w:val="24"/>
          <w:szCs w:val="24"/>
        </w:rPr>
        <w:t>I do not accept the above submission</w:t>
      </w:r>
      <w:r w:rsidR="00345211" w:rsidRPr="00BF100B">
        <w:rPr>
          <w:rFonts w:ascii="Times New Roman" w:hAnsi="Times New Roman" w:cs="Times New Roman"/>
          <w:sz w:val="24"/>
          <w:szCs w:val="24"/>
        </w:rPr>
        <w:t xml:space="preserve"> because points of law can be raised at any stage of the proceedings regardless of the fact that they were </w:t>
      </w:r>
      <w:r w:rsidR="005C6171" w:rsidRPr="00BF100B">
        <w:rPr>
          <w:rFonts w:ascii="Times New Roman" w:hAnsi="Times New Roman" w:cs="Times New Roman"/>
          <w:sz w:val="24"/>
          <w:szCs w:val="24"/>
        </w:rPr>
        <w:t>not raised in the pleadings. I</w:t>
      </w:r>
      <w:r w:rsidR="00345211" w:rsidRPr="00BF100B">
        <w:rPr>
          <w:rFonts w:ascii="Times New Roman" w:hAnsi="Times New Roman" w:cs="Times New Roman"/>
          <w:sz w:val="24"/>
          <w:szCs w:val="24"/>
        </w:rPr>
        <w:t xml:space="preserve">n </w:t>
      </w:r>
      <w:r w:rsidR="00345211" w:rsidRPr="00BF100B">
        <w:rPr>
          <w:rFonts w:ascii="Times New Roman" w:hAnsi="Times New Roman" w:cs="Times New Roman"/>
          <w:b/>
          <w:i/>
          <w:sz w:val="24"/>
          <w:szCs w:val="24"/>
        </w:rPr>
        <w:t xml:space="preserve">Mathias </w:t>
      </w:r>
      <w:proofErr w:type="spellStart"/>
      <w:r w:rsidR="00345211" w:rsidRPr="00BF100B">
        <w:rPr>
          <w:rFonts w:ascii="Times New Roman" w:hAnsi="Times New Roman" w:cs="Times New Roman"/>
          <w:b/>
          <w:i/>
          <w:sz w:val="24"/>
          <w:szCs w:val="24"/>
        </w:rPr>
        <w:t>Lwanga</w:t>
      </w:r>
      <w:proofErr w:type="spellEnd"/>
      <w:r w:rsidR="00345211" w:rsidRPr="00BF100B">
        <w:rPr>
          <w:rFonts w:ascii="Times New Roman" w:hAnsi="Times New Roman" w:cs="Times New Roman"/>
          <w:b/>
          <w:i/>
          <w:sz w:val="24"/>
          <w:szCs w:val="24"/>
        </w:rPr>
        <w:t xml:space="preserve"> </w:t>
      </w:r>
      <w:proofErr w:type="spellStart"/>
      <w:r w:rsidR="00345211" w:rsidRPr="00BF100B">
        <w:rPr>
          <w:rFonts w:ascii="Times New Roman" w:hAnsi="Times New Roman" w:cs="Times New Roman"/>
          <w:b/>
          <w:i/>
          <w:sz w:val="24"/>
          <w:szCs w:val="24"/>
        </w:rPr>
        <w:t>Kaganda</w:t>
      </w:r>
      <w:proofErr w:type="spellEnd"/>
      <w:r w:rsidR="00345211" w:rsidRPr="00BF100B">
        <w:rPr>
          <w:rFonts w:ascii="Times New Roman" w:hAnsi="Times New Roman" w:cs="Times New Roman"/>
          <w:b/>
          <w:i/>
          <w:sz w:val="24"/>
          <w:szCs w:val="24"/>
        </w:rPr>
        <w:t xml:space="preserve"> </w:t>
      </w:r>
      <w:proofErr w:type="spellStart"/>
      <w:r w:rsidR="00345211" w:rsidRPr="00BF100B">
        <w:rPr>
          <w:rFonts w:ascii="Times New Roman" w:hAnsi="Times New Roman" w:cs="Times New Roman"/>
          <w:b/>
          <w:i/>
          <w:sz w:val="24"/>
          <w:szCs w:val="24"/>
        </w:rPr>
        <w:t>Vs</w:t>
      </w:r>
      <w:proofErr w:type="spellEnd"/>
      <w:r w:rsidR="00345211" w:rsidRPr="00BF100B">
        <w:rPr>
          <w:rFonts w:ascii="Times New Roman" w:hAnsi="Times New Roman" w:cs="Times New Roman"/>
          <w:b/>
          <w:i/>
          <w:sz w:val="24"/>
          <w:szCs w:val="24"/>
        </w:rPr>
        <w:t xml:space="preserve"> Uganda Electricity Board, High Court Civil Suit No.124 of 2003</w:t>
      </w:r>
      <w:r w:rsidR="00345211" w:rsidRPr="00BF100B">
        <w:rPr>
          <w:rFonts w:ascii="Times New Roman" w:hAnsi="Times New Roman" w:cs="Times New Roman"/>
          <w:sz w:val="24"/>
          <w:szCs w:val="24"/>
        </w:rPr>
        <w:t xml:space="preserve">, the </w:t>
      </w:r>
      <w:r w:rsidR="00336E13" w:rsidRPr="00BF100B">
        <w:rPr>
          <w:rFonts w:ascii="Times New Roman" w:hAnsi="Times New Roman" w:cs="Times New Roman"/>
          <w:sz w:val="24"/>
          <w:szCs w:val="24"/>
        </w:rPr>
        <w:t>c</w:t>
      </w:r>
      <w:r w:rsidR="00345211" w:rsidRPr="00BF100B">
        <w:rPr>
          <w:rFonts w:ascii="Times New Roman" w:hAnsi="Times New Roman" w:cs="Times New Roman"/>
          <w:sz w:val="24"/>
          <w:szCs w:val="24"/>
        </w:rPr>
        <w:t xml:space="preserve">ourt cited with approval the decision in </w:t>
      </w:r>
      <w:proofErr w:type="spellStart"/>
      <w:r w:rsidR="005E07AB" w:rsidRPr="00BF100B">
        <w:rPr>
          <w:rFonts w:ascii="Times New Roman" w:hAnsi="Times New Roman" w:cs="Times New Roman"/>
          <w:b/>
          <w:i/>
          <w:sz w:val="24"/>
          <w:szCs w:val="24"/>
        </w:rPr>
        <w:t>Ndaula</w:t>
      </w:r>
      <w:proofErr w:type="spellEnd"/>
      <w:r w:rsidR="005E07AB" w:rsidRPr="00BF100B">
        <w:rPr>
          <w:rFonts w:ascii="Times New Roman" w:hAnsi="Times New Roman" w:cs="Times New Roman"/>
          <w:b/>
          <w:i/>
          <w:sz w:val="24"/>
          <w:szCs w:val="24"/>
        </w:rPr>
        <w:t xml:space="preserve"> Ronald </w:t>
      </w:r>
      <w:proofErr w:type="spellStart"/>
      <w:r w:rsidR="005E07AB" w:rsidRPr="00BF100B">
        <w:rPr>
          <w:rFonts w:ascii="Times New Roman" w:hAnsi="Times New Roman" w:cs="Times New Roman"/>
          <w:b/>
          <w:i/>
          <w:sz w:val="24"/>
          <w:szCs w:val="24"/>
        </w:rPr>
        <w:t>V</w:t>
      </w:r>
      <w:r w:rsidR="00345211" w:rsidRPr="00BF100B">
        <w:rPr>
          <w:rFonts w:ascii="Times New Roman" w:hAnsi="Times New Roman" w:cs="Times New Roman"/>
          <w:b/>
          <w:i/>
          <w:sz w:val="24"/>
          <w:szCs w:val="24"/>
        </w:rPr>
        <w:t>s</w:t>
      </w:r>
      <w:proofErr w:type="spellEnd"/>
      <w:r w:rsidR="00345211" w:rsidRPr="00BF100B">
        <w:rPr>
          <w:rFonts w:ascii="Times New Roman" w:hAnsi="Times New Roman" w:cs="Times New Roman"/>
          <w:b/>
          <w:i/>
          <w:sz w:val="24"/>
          <w:szCs w:val="24"/>
        </w:rPr>
        <w:t xml:space="preserve"> Haji </w:t>
      </w:r>
      <w:proofErr w:type="spellStart"/>
      <w:r w:rsidR="00345211" w:rsidRPr="00BF100B">
        <w:rPr>
          <w:rFonts w:ascii="Times New Roman" w:hAnsi="Times New Roman" w:cs="Times New Roman"/>
          <w:b/>
          <w:i/>
          <w:sz w:val="24"/>
          <w:szCs w:val="24"/>
        </w:rPr>
        <w:t>Nadduli</w:t>
      </w:r>
      <w:proofErr w:type="spellEnd"/>
      <w:r w:rsidR="00345211" w:rsidRPr="00BF100B">
        <w:rPr>
          <w:rFonts w:ascii="Times New Roman" w:hAnsi="Times New Roman" w:cs="Times New Roman"/>
          <w:b/>
          <w:i/>
          <w:sz w:val="24"/>
          <w:szCs w:val="24"/>
        </w:rPr>
        <w:t xml:space="preserve"> Abdul, Election Petition No.20 of 2006</w:t>
      </w:r>
      <w:r w:rsidR="00345211" w:rsidRPr="00BF100B">
        <w:rPr>
          <w:rFonts w:ascii="Times New Roman" w:hAnsi="Times New Roman" w:cs="Times New Roman"/>
          <w:sz w:val="24"/>
          <w:szCs w:val="24"/>
        </w:rPr>
        <w:t>, where it was held as follows:</w:t>
      </w:r>
    </w:p>
    <w:p w:rsidR="00345211" w:rsidRPr="00BF100B" w:rsidRDefault="00345211" w:rsidP="003871CA">
      <w:pPr>
        <w:spacing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t>“On points of law, it is settled by the courts that illegality of an issue is a question of law which can be raised at any time or at any stage of the proceedings, with or without prior knowledge of the parties”.</w:t>
      </w:r>
    </w:p>
    <w:p w:rsidR="00D7784B" w:rsidRPr="00BF100B" w:rsidRDefault="00345211"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argument by </w:t>
      </w:r>
      <w:r w:rsidR="003E2098" w:rsidRPr="00BF100B">
        <w:rPr>
          <w:rFonts w:ascii="Times New Roman" w:hAnsi="Times New Roman" w:cs="Times New Roman"/>
          <w:sz w:val="24"/>
          <w:szCs w:val="24"/>
        </w:rPr>
        <w:t>Counsel</w:t>
      </w:r>
      <w:r w:rsidR="009F1679"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plaintiffs that the above issue could not therefore be raised at this stage is therefore unsustainable. Besides, </w:t>
      </w:r>
      <w:r w:rsidR="003E2098" w:rsidRPr="00BF100B">
        <w:rPr>
          <w:rFonts w:ascii="Times New Roman" w:hAnsi="Times New Roman" w:cs="Times New Roman"/>
          <w:sz w:val="24"/>
          <w:szCs w:val="24"/>
        </w:rPr>
        <w:t>Counsel</w:t>
      </w:r>
      <w:r w:rsidR="009F1679"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had the opportunity to respond to the same during his submissions. </w:t>
      </w:r>
    </w:p>
    <w:p w:rsidR="00D9137A" w:rsidRPr="00BF100B" w:rsidRDefault="00D9137A"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It was the contention of </w:t>
      </w:r>
      <w:r w:rsidR="003E2098" w:rsidRPr="00BF100B">
        <w:rPr>
          <w:rFonts w:ascii="Times New Roman" w:hAnsi="Times New Roman" w:cs="Times New Roman"/>
          <w:sz w:val="24"/>
          <w:szCs w:val="24"/>
        </w:rPr>
        <w:t>Counsel</w:t>
      </w:r>
      <w:r w:rsidR="009F1679"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defendant that</w:t>
      </w:r>
      <w:r w:rsidR="005C6171" w:rsidRPr="00BF100B">
        <w:rPr>
          <w:rFonts w:ascii="Times New Roman" w:hAnsi="Times New Roman" w:cs="Times New Roman"/>
          <w:sz w:val="24"/>
          <w:szCs w:val="24"/>
        </w:rPr>
        <w:t xml:space="preserve"> the</w:t>
      </w:r>
      <w:r w:rsidRPr="00BF100B">
        <w:rPr>
          <w:rFonts w:ascii="Times New Roman" w:hAnsi="Times New Roman" w:cs="Times New Roman"/>
          <w:sz w:val="24"/>
          <w:szCs w:val="24"/>
        </w:rPr>
        <w:t xml:space="preserve"> 1</w:t>
      </w:r>
      <w:r w:rsidRPr="00BF100B">
        <w:rPr>
          <w:rFonts w:ascii="Times New Roman" w:hAnsi="Times New Roman" w:cs="Times New Roman"/>
          <w:sz w:val="24"/>
          <w:szCs w:val="24"/>
          <w:vertAlign w:val="superscript"/>
        </w:rPr>
        <w:t>st</w:t>
      </w:r>
      <w:r w:rsidRPr="00BF100B">
        <w:rPr>
          <w:rFonts w:ascii="Times New Roman" w:hAnsi="Times New Roman" w:cs="Times New Roman"/>
          <w:sz w:val="24"/>
          <w:szCs w:val="24"/>
        </w:rPr>
        <w:t>, 2</w:t>
      </w:r>
      <w:r w:rsidRPr="00BF100B">
        <w:rPr>
          <w:rFonts w:ascii="Times New Roman" w:hAnsi="Times New Roman" w:cs="Times New Roman"/>
          <w:sz w:val="24"/>
          <w:szCs w:val="24"/>
          <w:vertAlign w:val="superscript"/>
        </w:rPr>
        <w:t>nd</w:t>
      </w:r>
      <w:r w:rsidRPr="00BF100B">
        <w:rPr>
          <w:rFonts w:ascii="Times New Roman" w:hAnsi="Times New Roman" w:cs="Times New Roman"/>
          <w:sz w:val="24"/>
          <w:szCs w:val="24"/>
        </w:rPr>
        <w:t xml:space="preserve"> 4</w:t>
      </w:r>
      <w:r w:rsidRPr="00BF100B">
        <w:rPr>
          <w:rFonts w:ascii="Times New Roman" w:hAnsi="Times New Roman" w:cs="Times New Roman"/>
          <w:sz w:val="24"/>
          <w:szCs w:val="24"/>
          <w:vertAlign w:val="superscript"/>
        </w:rPr>
        <w:t>th</w:t>
      </w:r>
      <w:r w:rsidRPr="00BF100B">
        <w:rPr>
          <w:rFonts w:ascii="Times New Roman" w:hAnsi="Times New Roman" w:cs="Times New Roman"/>
          <w:sz w:val="24"/>
          <w:szCs w:val="24"/>
        </w:rPr>
        <w:t xml:space="preserve"> and 13</w:t>
      </w:r>
      <w:r w:rsidRPr="00BF100B">
        <w:rPr>
          <w:rFonts w:ascii="Times New Roman" w:hAnsi="Times New Roman" w:cs="Times New Roman"/>
          <w:sz w:val="24"/>
          <w:szCs w:val="24"/>
          <w:vertAlign w:val="superscript"/>
        </w:rPr>
        <w:t>th</w:t>
      </w:r>
      <w:r w:rsidRPr="00BF100B">
        <w:rPr>
          <w:rFonts w:ascii="Times New Roman" w:hAnsi="Times New Roman" w:cs="Times New Roman"/>
          <w:sz w:val="24"/>
          <w:szCs w:val="24"/>
        </w:rPr>
        <w:t xml:space="preserve"> plaintiffs were nonexistent and could not have, therefore, authorized the institution of the present suit. It is trite law that a suit instituted in the names of a nonexistent person/entity is a nullity. In </w:t>
      </w:r>
      <w:proofErr w:type="spellStart"/>
      <w:r w:rsidR="009F1679" w:rsidRPr="00BF100B">
        <w:rPr>
          <w:rFonts w:ascii="Times New Roman" w:hAnsi="Times New Roman" w:cs="Times New Roman"/>
          <w:b/>
          <w:i/>
          <w:sz w:val="24"/>
          <w:szCs w:val="24"/>
        </w:rPr>
        <w:t>Mulangira</w:t>
      </w:r>
      <w:proofErr w:type="spellEnd"/>
      <w:r w:rsidR="009F1679" w:rsidRPr="00BF100B">
        <w:rPr>
          <w:rFonts w:ascii="Times New Roman" w:hAnsi="Times New Roman" w:cs="Times New Roman"/>
          <w:b/>
          <w:i/>
          <w:sz w:val="24"/>
          <w:szCs w:val="24"/>
        </w:rPr>
        <w:t xml:space="preserve"> </w:t>
      </w:r>
      <w:proofErr w:type="spellStart"/>
      <w:r w:rsidR="009F1679" w:rsidRPr="00BF100B">
        <w:rPr>
          <w:rFonts w:ascii="Times New Roman" w:hAnsi="Times New Roman" w:cs="Times New Roman"/>
          <w:b/>
          <w:i/>
          <w:sz w:val="24"/>
          <w:szCs w:val="24"/>
        </w:rPr>
        <w:t>Ssimbwa</w:t>
      </w:r>
      <w:proofErr w:type="spellEnd"/>
      <w:r w:rsidR="009F1679" w:rsidRPr="00BF100B">
        <w:rPr>
          <w:rFonts w:ascii="Times New Roman" w:hAnsi="Times New Roman" w:cs="Times New Roman"/>
          <w:b/>
          <w:i/>
          <w:sz w:val="24"/>
          <w:szCs w:val="24"/>
        </w:rPr>
        <w:t xml:space="preserve"> </w:t>
      </w:r>
      <w:proofErr w:type="spellStart"/>
      <w:r w:rsidR="009F1679" w:rsidRPr="00BF100B">
        <w:rPr>
          <w:rFonts w:ascii="Times New Roman" w:hAnsi="Times New Roman" w:cs="Times New Roman"/>
          <w:b/>
          <w:i/>
          <w:sz w:val="24"/>
          <w:szCs w:val="24"/>
        </w:rPr>
        <w:t>V</w:t>
      </w:r>
      <w:r w:rsidRPr="00BF100B">
        <w:rPr>
          <w:rFonts w:ascii="Times New Roman" w:hAnsi="Times New Roman" w:cs="Times New Roman"/>
          <w:b/>
          <w:i/>
          <w:sz w:val="24"/>
          <w:szCs w:val="24"/>
        </w:rPr>
        <w:t>s</w:t>
      </w:r>
      <w:proofErr w:type="spellEnd"/>
      <w:r w:rsidRPr="00BF100B">
        <w:rPr>
          <w:rFonts w:ascii="Times New Roman" w:hAnsi="Times New Roman" w:cs="Times New Roman"/>
          <w:b/>
          <w:i/>
          <w:sz w:val="24"/>
          <w:szCs w:val="24"/>
        </w:rPr>
        <w:t xml:space="preserve"> </w:t>
      </w:r>
      <w:proofErr w:type="gramStart"/>
      <w:r w:rsidRPr="00BF100B">
        <w:rPr>
          <w:rFonts w:ascii="Times New Roman" w:hAnsi="Times New Roman" w:cs="Times New Roman"/>
          <w:b/>
          <w:i/>
          <w:sz w:val="24"/>
          <w:szCs w:val="24"/>
        </w:rPr>
        <w:t>The</w:t>
      </w:r>
      <w:proofErr w:type="gramEnd"/>
      <w:r w:rsidRPr="00BF100B">
        <w:rPr>
          <w:rFonts w:ascii="Times New Roman" w:hAnsi="Times New Roman" w:cs="Times New Roman"/>
          <w:b/>
          <w:i/>
          <w:sz w:val="24"/>
          <w:szCs w:val="24"/>
        </w:rPr>
        <w:t xml:space="preserve"> Board of Trustees, Miracle Centre &amp; </w:t>
      </w:r>
      <w:proofErr w:type="spellStart"/>
      <w:r w:rsidRPr="00BF100B">
        <w:rPr>
          <w:rFonts w:ascii="Times New Roman" w:hAnsi="Times New Roman" w:cs="Times New Roman"/>
          <w:b/>
          <w:i/>
          <w:sz w:val="24"/>
          <w:szCs w:val="24"/>
        </w:rPr>
        <w:t>Anor</w:t>
      </w:r>
      <w:proofErr w:type="spellEnd"/>
      <w:r w:rsidRPr="00BF100B">
        <w:rPr>
          <w:rFonts w:ascii="Times New Roman" w:hAnsi="Times New Roman" w:cs="Times New Roman"/>
          <w:b/>
          <w:i/>
          <w:sz w:val="24"/>
          <w:szCs w:val="24"/>
        </w:rPr>
        <w:t xml:space="preserve">, </w:t>
      </w:r>
      <w:proofErr w:type="spellStart"/>
      <w:r w:rsidRPr="00BF100B">
        <w:rPr>
          <w:rFonts w:ascii="Times New Roman" w:hAnsi="Times New Roman" w:cs="Times New Roman"/>
          <w:b/>
          <w:i/>
          <w:sz w:val="24"/>
          <w:szCs w:val="24"/>
        </w:rPr>
        <w:t>Misc</w:t>
      </w:r>
      <w:proofErr w:type="spellEnd"/>
      <w:r w:rsidRPr="00BF100B">
        <w:rPr>
          <w:rFonts w:ascii="Times New Roman" w:hAnsi="Times New Roman" w:cs="Times New Roman"/>
          <w:b/>
          <w:i/>
          <w:sz w:val="24"/>
          <w:szCs w:val="24"/>
        </w:rPr>
        <w:t xml:space="preserve"> Application No.576 of 2006, </w:t>
      </w:r>
      <w:r w:rsidRPr="00BF100B">
        <w:rPr>
          <w:rFonts w:ascii="Times New Roman" w:hAnsi="Times New Roman" w:cs="Times New Roman"/>
          <w:sz w:val="24"/>
          <w:szCs w:val="24"/>
        </w:rPr>
        <w:t>it was stated that;</w:t>
      </w:r>
    </w:p>
    <w:p w:rsidR="006E5DBF" w:rsidRPr="00BF100B" w:rsidRDefault="00D9137A" w:rsidP="003871CA">
      <w:pPr>
        <w:spacing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t xml:space="preserve">“The law is now settled. A suit in the names of a wrong Plaintiff or Defendant cannot be cured by amendment…while Order 1 Rule 10(2) empowers Court to add or strike out a party improperly joined; and Order 1 Rule 10(4) allows amendment of a plaint where the Defendant is added or substituted, such amendments of the plaint can only be made if they are minor matters of form, not affecting the substance of the identity of the parties to the suit:…where the amendment by way of substitution of a party purports to replace a party that has no legal existence, the plaint, must be rejected as it is no plaint at all…” </w:t>
      </w:r>
    </w:p>
    <w:p w:rsidR="006B5DBE"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8A3BD9" w:rsidRPr="00BF100B">
        <w:rPr>
          <w:rFonts w:ascii="Times New Roman" w:hAnsi="Times New Roman" w:cs="Times New Roman"/>
          <w:sz w:val="24"/>
          <w:szCs w:val="24"/>
        </w:rPr>
        <w:t xml:space="preserve"> </w:t>
      </w:r>
      <w:r w:rsidR="00817692" w:rsidRPr="00BF100B">
        <w:rPr>
          <w:rFonts w:ascii="Times New Roman" w:hAnsi="Times New Roman" w:cs="Times New Roman"/>
          <w:sz w:val="24"/>
          <w:szCs w:val="24"/>
        </w:rPr>
        <w:t>for the defendant made reference to the letter dated 20</w:t>
      </w:r>
      <w:r w:rsidR="00817692" w:rsidRPr="00BF100B">
        <w:rPr>
          <w:rFonts w:ascii="Times New Roman" w:hAnsi="Times New Roman" w:cs="Times New Roman"/>
          <w:sz w:val="24"/>
          <w:szCs w:val="24"/>
          <w:vertAlign w:val="superscript"/>
        </w:rPr>
        <w:t>th</w:t>
      </w:r>
      <w:r w:rsidR="00817692" w:rsidRPr="00BF100B">
        <w:rPr>
          <w:rFonts w:ascii="Times New Roman" w:hAnsi="Times New Roman" w:cs="Times New Roman"/>
          <w:sz w:val="24"/>
          <w:szCs w:val="24"/>
        </w:rPr>
        <w:t xml:space="preserve"> August, 2015, from the Registrar General to the Director Privatization Unit indicating that the first plaintiff was not reflected in the records of the Uganda Registration Services Bureau. Further, that by letter dated 16</w:t>
      </w:r>
      <w:r w:rsidR="00817692" w:rsidRPr="00BF100B">
        <w:rPr>
          <w:rFonts w:ascii="Times New Roman" w:hAnsi="Times New Roman" w:cs="Times New Roman"/>
          <w:sz w:val="24"/>
          <w:szCs w:val="24"/>
          <w:vertAlign w:val="superscript"/>
        </w:rPr>
        <w:t>th</w:t>
      </w:r>
      <w:r w:rsidR="00817692" w:rsidRPr="00BF100B">
        <w:rPr>
          <w:rFonts w:ascii="Times New Roman" w:hAnsi="Times New Roman" w:cs="Times New Roman"/>
          <w:sz w:val="24"/>
          <w:szCs w:val="24"/>
        </w:rPr>
        <w:t xml:space="preserve"> June, 2015, it had been ascertained from the Uganda Registration Services Bureau that the </w:t>
      </w:r>
      <w:r w:rsidR="00817692" w:rsidRPr="00BF100B">
        <w:rPr>
          <w:rFonts w:ascii="Times New Roman" w:hAnsi="Times New Roman" w:cs="Times New Roman"/>
          <w:sz w:val="24"/>
          <w:szCs w:val="24"/>
        </w:rPr>
        <w:lastRenderedPageBreak/>
        <w:t>2</w:t>
      </w:r>
      <w:r w:rsidR="00817692" w:rsidRPr="00BF100B">
        <w:rPr>
          <w:rFonts w:ascii="Times New Roman" w:hAnsi="Times New Roman" w:cs="Times New Roman"/>
          <w:sz w:val="24"/>
          <w:szCs w:val="24"/>
          <w:vertAlign w:val="superscript"/>
        </w:rPr>
        <w:t>nd</w:t>
      </w:r>
      <w:r w:rsidR="00817692" w:rsidRPr="00BF100B">
        <w:rPr>
          <w:rFonts w:ascii="Times New Roman" w:hAnsi="Times New Roman" w:cs="Times New Roman"/>
          <w:sz w:val="24"/>
          <w:szCs w:val="24"/>
        </w:rPr>
        <w:t>, 4</w:t>
      </w:r>
      <w:r w:rsidR="00817692" w:rsidRPr="00BF100B">
        <w:rPr>
          <w:rFonts w:ascii="Times New Roman" w:hAnsi="Times New Roman" w:cs="Times New Roman"/>
          <w:sz w:val="24"/>
          <w:szCs w:val="24"/>
          <w:vertAlign w:val="superscript"/>
        </w:rPr>
        <w:t>th</w:t>
      </w:r>
      <w:r w:rsidR="00817692" w:rsidRPr="00BF100B">
        <w:rPr>
          <w:rFonts w:ascii="Times New Roman" w:hAnsi="Times New Roman" w:cs="Times New Roman"/>
          <w:sz w:val="24"/>
          <w:szCs w:val="24"/>
        </w:rPr>
        <w:t xml:space="preserve"> and 13</w:t>
      </w:r>
      <w:r w:rsidR="00817692" w:rsidRPr="00BF100B">
        <w:rPr>
          <w:rFonts w:ascii="Times New Roman" w:hAnsi="Times New Roman" w:cs="Times New Roman"/>
          <w:sz w:val="24"/>
          <w:szCs w:val="24"/>
          <w:vertAlign w:val="superscript"/>
        </w:rPr>
        <w:t>th</w:t>
      </w:r>
      <w:r w:rsidR="00817692" w:rsidRPr="00BF100B">
        <w:rPr>
          <w:rFonts w:ascii="Times New Roman" w:hAnsi="Times New Roman" w:cs="Times New Roman"/>
          <w:sz w:val="24"/>
          <w:szCs w:val="24"/>
        </w:rPr>
        <w:t xml:space="preserve"> plaintiffs were not reflected in their system. In that regard, </w:t>
      </w:r>
      <w:r w:rsidRPr="00BF100B">
        <w:rPr>
          <w:rFonts w:ascii="Times New Roman" w:hAnsi="Times New Roman" w:cs="Times New Roman"/>
          <w:sz w:val="24"/>
          <w:szCs w:val="24"/>
        </w:rPr>
        <w:t>Counsel</w:t>
      </w:r>
      <w:r w:rsidR="008A3BD9" w:rsidRPr="00BF100B">
        <w:rPr>
          <w:rFonts w:ascii="Times New Roman" w:hAnsi="Times New Roman" w:cs="Times New Roman"/>
          <w:sz w:val="24"/>
          <w:szCs w:val="24"/>
        </w:rPr>
        <w:t xml:space="preserve"> </w:t>
      </w:r>
      <w:r w:rsidR="00817692" w:rsidRPr="00BF100B">
        <w:rPr>
          <w:rFonts w:ascii="Times New Roman" w:hAnsi="Times New Roman" w:cs="Times New Roman"/>
          <w:sz w:val="24"/>
          <w:szCs w:val="24"/>
        </w:rPr>
        <w:t>contended that the above plaintiffs were non</w:t>
      </w:r>
      <w:r w:rsidR="005C6171" w:rsidRPr="00BF100B">
        <w:rPr>
          <w:rFonts w:ascii="Times New Roman" w:hAnsi="Times New Roman" w:cs="Times New Roman"/>
          <w:sz w:val="24"/>
          <w:szCs w:val="24"/>
        </w:rPr>
        <w:t>-</w:t>
      </w:r>
      <w:r w:rsidR="00817692" w:rsidRPr="00BF100B">
        <w:rPr>
          <w:rFonts w:ascii="Times New Roman" w:hAnsi="Times New Roman" w:cs="Times New Roman"/>
          <w:sz w:val="24"/>
          <w:szCs w:val="24"/>
        </w:rPr>
        <w:t>existent.</w:t>
      </w:r>
    </w:p>
    <w:p w:rsidR="00756BEB" w:rsidRPr="00BF100B" w:rsidRDefault="00756BEB"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A</w:t>
      </w:r>
      <w:r w:rsidR="006B5DBE" w:rsidRPr="00BF100B">
        <w:rPr>
          <w:rFonts w:ascii="Times New Roman" w:hAnsi="Times New Roman" w:cs="Times New Roman"/>
          <w:sz w:val="24"/>
          <w:szCs w:val="24"/>
        </w:rPr>
        <w:t>t the scheduling conference, it was agreed that the plaintiffs were proved creditors during the liquidation, including the plaintiffs whom the defendant is currently alleging were non</w:t>
      </w:r>
      <w:r w:rsidR="005C6171" w:rsidRPr="00BF100B">
        <w:rPr>
          <w:rFonts w:ascii="Times New Roman" w:hAnsi="Times New Roman" w:cs="Times New Roman"/>
          <w:sz w:val="24"/>
          <w:szCs w:val="24"/>
        </w:rPr>
        <w:t>-</w:t>
      </w:r>
      <w:r w:rsidR="006B5DBE" w:rsidRPr="00BF100B">
        <w:rPr>
          <w:rFonts w:ascii="Times New Roman" w:hAnsi="Times New Roman" w:cs="Times New Roman"/>
          <w:sz w:val="24"/>
          <w:szCs w:val="24"/>
        </w:rPr>
        <w:t xml:space="preserve">existent. I do not find it logical that the claims could have been accepted by the liquidators if the plaintiffs were not in existence at the time, unless fraud was being imputed on the liquidators. In that regard, I do not accept the submission of </w:t>
      </w:r>
      <w:r w:rsidR="003E2098" w:rsidRPr="00BF100B">
        <w:rPr>
          <w:rFonts w:ascii="Times New Roman" w:hAnsi="Times New Roman" w:cs="Times New Roman"/>
          <w:sz w:val="24"/>
          <w:szCs w:val="24"/>
        </w:rPr>
        <w:t>Counsel</w:t>
      </w:r>
      <w:r w:rsidR="008A3BD9" w:rsidRPr="00BF100B">
        <w:rPr>
          <w:rFonts w:ascii="Times New Roman" w:hAnsi="Times New Roman" w:cs="Times New Roman"/>
          <w:sz w:val="24"/>
          <w:szCs w:val="24"/>
        </w:rPr>
        <w:t xml:space="preserve"> </w:t>
      </w:r>
      <w:r w:rsidR="006B5DBE" w:rsidRPr="00BF100B">
        <w:rPr>
          <w:rFonts w:ascii="Times New Roman" w:hAnsi="Times New Roman" w:cs="Times New Roman"/>
          <w:sz w:val="24"/>
          <w:szCs w:val="24"/>
        </w:rPr>
        <w:t>for the defendant that the above stated plaintiffs were nonexistent, in the circumstances of this case.</w:t>
      </w:r>
    </w:p>
    <w:p w:rsidR="00756BEB" w:rsidRPr="00BF100B" w:rsidRDefault="00756BEB"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second limb to this objection is that this suit was instituted without the instructions from the plaintiffs. </w:t>
      </w:r>
      <w:r w:rsidR="003E2098" w:rsidRPr="00BF100B">
        <w:rPr>
          <w:rFonts w:ascii="Times New Roman" w:hAnsi="Times New Roman" w:cs="Times New Roman"/>
          <w:sz w:val="24"/>
          <w:szCs w:val="24"/>
        </w:rPr>
        <w:t>Counsel</w:t>
      </w:r>
      <w:r w:rsidR="008A3BD9"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the defendant submitted that the plaint was drawn by M/S </w:t>
      </w:r>
      <w:proofErr w:type="spellStart"/>
      <w:r w:rsidRPr="00BF100B">
        <w:rPr>
          <w:rFonts w:ascii="Times New Roman" w:hAnsi="Times New Roman" w:cs="Times New Roman"/>
          <w:sz w:val="24"/>
          <w:szCs w:val="24"/>
        </w:rPr>
        <w:t>Mugenyi</w:t>
      </w:r>
      <w:proofErr w:type="spellEnd"/>
      <w:r w:rsidRPr="00BF100B">
        <w:rPr>
          <w:rFonts w:ascii="Times New Roman" w:hAnsi="Times New Roman" w:cs="Times New Roman"/>
          <w:sz w:val="24"/>
          <w:szCs w:val="24"/>
        </w:rPr>
        <w:t xml:space="preserve"> &amp; Co. Advocates and subsequently a Notice of Change of Advocates was filed by </w:t>
      </w:r>
      <w:proofErr w:type="spellStart"/>
      <w:r w:rsidRPr="00BF100B">
        <w:rPr>
          <w:rFonts w:ascii="Times New Roman" w:hAnsi="Times New Roman" w:cs="Times New Roman"/>
          <w:sz w:val="24"/>
          <w:szCs w:val="24"/>
        </w:rPr>
        <w:t>Mugabi</w:t>
      </w:r>
      <w:proofErr w:type="spellEnd"/>
      <w:r w:rsidRPr="00BF100B">
        <w:rPr>
          <w:rFonts w:ascii="Times New Roman" w:hAnsi="Times New Roman" w:cs="Times New Roman"/>
          <w:sz w:val="24"/>
          <w:szCs w:val="24"/>
        </w:rPr>
        <w:t xml:space="preserve"> &amp; Co. Advocates. However, that there was no evidence that any of the above Firms of Advocates had been instructed by the plaintiffs to institute the suit.</w:t>
      </w:r>
      <w:r w:rsidR="00350077" w:rsidRPr="00BF100B">
        <w:rPr>
          <w:rFonts w:ascii="Times New Roman" w:hAnsi="Times New Roman" w:cs="Times New Roman"/>
          <w:sz w:val="24"/>
          <w:szCs w:val="24"/>
        </w:rPr>
        <w:t xml:space="preserve"> Further, that neither of the plaintiffs had ever appeared in Court and there were no resolutions from the plaintiff Companies to prove that a decision to institute the suit had been taken in accordance with the law.  </w:t>
      </w:r>
      <w:r w:rsidRPr="00BF100B">
        <w:rPr>
          <w:rFonts w:ascii="Times New Roman" w:hAnsi="Times New Roman" w:cs="Times New Roman"/>
          <w:sz w:val="24"/>
          <w:szCs w:val="24"/>
        </w:rPr>
        <w:t xml:space="preserve"> </w:t>
      </w:r>
    </w:p>
    <w:p w:rsidR="00350077" w:rsidRPr="00BF100B" w:rsidRDefault="00756BEB" w:rsidP="003871CA">
      <w:pPr>
        <w:spacing w:line="360" w:lineRule="auto"/>
        <w:jc w:val="both"/>
        <w:rPr>
          <w:rFonts w:ascii="Times New Roman" w:hAnsi="Times New Roman" w:cs="Times New Roman"/>
          <w:sz w:val="24"/>
          <w:szCs w:val="24"/>
        </w:rPr>
      </w:pPr>
      <w:r w:rsidRPr="00BF100B">
        <w:rPr>
          <w:rFonts w:ascii="Times New Roman" w:hAnsi="Times New Roman" w:cs="Times New Roman"/>
          <w:b/>
          <w:sz w:val="24"/>
          <w:szCs w:val="24"/>
        </w:rPr>
        <w:t xml:space="preserve">The Advocates (Professional Conduct) </w:t>
      </w:r>
      <w:r w:rsidR="00C6539A" w:rsidRPr="00BF100B">
        <w:rPr>
          <w:rFonts w:ascii="Times New Roman" w:hAnsi="Times New Roman" w:cs="Times New Roman"/>
          <w:b/>
          <w:sz w:val="24"/>
          <w:szCs w:val="24"/>
        </w:rPr>
        <w:t>Regulations</w:t>
      </w:r>
      <w:r w:rsidRPr="00BF100B">
        <w:rPr>
          <w:rFonts w:ascii="Times New Roman" w:hAnsi="Times New Roman" w:cs="Times New Roman"/>
          <w:sz w:val="24"/>
          <w:szCs w:val="24"/>
        </w:rPr>
        <w:t xml:space="preserve"> provide that no advocate shall act for any person unless he/she has received instructions from that person or his/her authorized agent</w:t>
      </w:r>
      <w:r w:rsidR="00C6539A" w:rsidRPr="00BF100B">
        <w:rPr>
          <w:rFonts w:ascii="Times New Roman" w:hAnsi="Times New Roman" w:cs="Times New Roman"/>
          <w:sz w:val="24"/>
          <w:szCs w:val="24"/>
        </w:rPr>
        <w:t>.</w:t>
      </w:r>
      <w:r w:rsidRPr="00BF100B">
        <w:rPr>
          <w:rFonts w:ascii="Times New Roman" w:hAnsi="Times New Roman" w:cs="Times New Roman"/>
          <w:sz w:val="24"/>
          <w:szCs w:val="24"/>
        </w:rPr>
        <w:t xml:space="preserve"> The question whether </w:t>
      </w:r>
      <w:proofErr w:type="spellStart"/>
      <w:proofErr w:type="gramStart"/>
      <w:r w:rsidRPr="00BF100B">
        <w:rPr>
          <w:rFonts w:ascii="Times New Roman" w:hAnsi="Times New Roman" w:cs="Times New Roman"/>
          <w:sz w:val="24"/>
          <w:szCs w:val="24"/>
        </w:rPr>
        <w:t>a</w:t>
      </w:r>
      <w:proofErr w:type="spellEnd"/>
      <w:proofErr w:type="gramEnd"/>
      <w:r w:rsidRPr="00BF100B">
        <w:rPr>
          <w:rFonts w:ascii="Times New Roman" w:hAnsi="Times New Roman" w:cs="Times New Roman"/>
          <w:sz w:val="24"/>
          <w:szCs w:val="24"/>
        </w:rPr>
        <w:t xml:space="preserve"> advocate represents a party is a question of fact and is usually a matter between the client and the advocate. Generally, without a complaint</w:t>
      </w:r>
      <w:r w:rsidR="00C6539A" w:rsidRPr="00BF100B">
        <w:rPr>
          <w:rFonts w:ascii="Times New Roman" w:hAnsi="Times New Roman" w:cs="Times New Roman"/>
          <w:sz w:val="24"/>
          <w:szCs w:val="24"/>
        </w:rPr>
        <w:t xml:space="preserve"> from the plaintiff, it is to be presumed that </w:t>
      </w:r>
      <w:r w:rsidR="003E2098" w:rsidRPr="00BF100B">
        <w:rPr>
          <w:rFonts w:ascii="Times New Roman" w:hAnsi="Times New Roman" w:cs="Times New Roman"/>
          <w:sz w:val="24"/>
          <w:szCs w:val="24"/>
        </w:rPr>
        <w:t>Counsel</w:t>
      </w:r>
      <w:r w:rsidR="002F311E" w:rsidRPr="00BF100B">
        <w:rPr>
          <w:rFonts w:ascii="Times New Roman" w:hAnsi="Times New Roman" w:cs="Times New Roman"/>
          <w:sz w:val="24"/>
          <w:szCs w:val="24"/>
        </w:rPr>
        <w:t xml:space="preserve"> </w:t>
      </w:r>
      <w:r w:rsidR="00C6539A" w:rsidRPr="00BF100B">
        <w:rPr>
          <w:rFonts w:ascii="Times New Roman" w:hAnsi="Times New Roman" w:cs="Times New Roman"/>
          <w:sz w:val="24"/>
          <w:szCs w:val="24"/>
        </w:rPr>
        <w:t xml:space="preserve">representing a party has instructions unless the contrary is proved. </w:t>
      </w:r>
      <w:r w:rsidR="00E81BF7" w:rsidRPr="00BF100B">
        <w:rPr>
          <w:rFonts w:ascii="Times New Roman" w:hAnsi="Times New Roman" w:cs="Times New Roman"/>
          <w:b/>
          <w:i/>
          <w:sz w:val="24"/>
          <w:szCs w:val="24"/>
        </w:rPr>
        <w:t xml:space="preserve">(See </w:t>
      </w:r>
      <w:proofErr w:type="spellStart"/>
      <w:r w:rsidR="00E81BF7" w:rsidRPr="00BF100B">
        <w:rPr>
          <w:rFonts w:ascii="Times New Roman" w:hAnsi="Times New Roman" w:cs="Times New Roman"/>
          <w:b/>
          <w:i/>
          <w:sz w:val="24"/>
          <w:szCs w:val="24"/>
        </w:rPr>
        <w:t>Ayebazibwe</w:t>
      </w:r>
      <w:proofErr w:type="spellEnd"/>
      <w:r w:rsidR="00E81BF7" w:rsidRPr="00BF100B">
        <w:rPr>
          <w:rFonts w:ascii="Times New Roman" w:hAnsi="Times New Roman" w:cs="Times New Roman"/>
          <w:b/>
          <w:i/>
          <w:sz w:val="24"/>
          <w:szCs w:val="24"/>
        </w:rPr>
        <w:t xml:space="preserve"> Raymond </w:t>
      </w:r>
      <w:proofErr w:type="spellStart"/>
      <w:r w:rsidR="00E81BF7" w:rsidRPr="00BF100B">
        <w:rPr>
          <w:rFonts w:ascii="Times New Roman" w:hAnsi="Times New Roman" w:cs="Times New Roman"/>
          <w:b/>
          <w:i/>
          <w:sz w:val="24"/>
          <w:szCs w:val="24"/>
        </w:rPr>
        <w:t>V</w:t>
      </w:r>
      <w:r w:rsidR="00C6539A" w:rsidRPr="00BF100B">
        <w:rPr>
          <w:rFonts w:ascii="Times New Roman" w:hAnsi="Times New Roman" w:cs="Times New Roman"/>
          <w:b/>
          <w:i/>
          <w:sz w:val="24"/>
          <w:szCs w:val="24"/>
        </w:rPr>
        <w:t>s</w:t>
      </w:r>
      <w:proofErr w:type="spellEnd"/>
      <w:r w:rsidR="00C6539A" w:rsidRPr="00BF100B">
        <w:rPr>
          <w:rFonts w:ascii="Times New Roman" w:hAnsi="Times New Roman" w:cs="Times New Roman"/>
          <w:b/>
          <w:i/>
          <w:sz w:val="24"/>
          <w:szCs w:val="24"/>
        </w:rPr>
        <w:t xml:space="preserve"> Barclays Bank, High Court Civil Suit No.165 of 2012</w:t>
      </w:r>
      <w:r w:rsidR="00C6539A" w:rsidRPr="00BF100B">
        <w:rPr>
          <w:rFonts w:ascii="Times New Roman" w:hAnsi="Times New Roman" w:cs="Times New Roman"/>
          <w:sz w:val="24"/>
          <w:szCs w:val="24"/>
        </w:rPr>
        <w:t>).</w:t>
      </w:r>
      <w:r w:rsidR="009A013B" w:rsidRPr="00BF100B">
        <w:rPr>
          <w:rFonts w:ascii="Times New Roman" w:hAnsi="Times New Roman" w:cs="Times New Roman"/>
          <w:sz w:val="24"/>
          <w:szCs w:val="24"/>
        </w:rPr>
        <w:t xml:space="preserve"> </w:t>
      </w:r>
    </w:p>
    <w:p w:rsidR="00EF36BE" w:rsidRPr="00BF100B" w:rsidRDefault="00EF36BE"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the present case, I have taken into consideration that some of the plaintiffs have never appeared in court and neither of the plaintiffs testified at the hearing of the suit. However, I do not find that the above in </w:t>
      </w:r>
      <w:proofErr w:type="gramStart"/>
      <w:r w:rsidRPr="00BF100B">
        <w:rPr>
          <w:rFonts w:ascii="Times New Roman" w:hAnsi="Times New Roman" w:cs="Times New Roman"/>
          <w:sz w:val="24"/>
          <w:szCs w:val="24"/>
        </w:rPr>
        <w:t>itself</w:t>
      </w:r>
      <w:proofErr w:type="gramEnd"/>
      <w:r w:rsidRPr="00BF100B">
        <w:rPr>
          <w:rFonts w:ascii="Times New Roman" w:hAnsi="Times New Roman" w:cs="Times New Roman"/>
          <w:sz w:val="24"/>
          <w:szCs w:val="24"/>
        </w:rPr>
        <w:t xml:space="preserve"> is evidence that the plaintiffs did not instruct </w:t>
      </w:r>
      <w:r w:rsidR="003E2098" w:rsidRPr="00BF100B">
        <w:rPr>
          <w:rFonts w:ascii="Times New Roman" w:hAnsi="Times New Roman" w:cs="Times New Roman"/>
          <w:sz w:val="24"/>
          <w:szCs w:val="24"/>
        </w:rPr>
        <w:t>Counsel</w:t>
      </w:r>
      <w:r w:rsidR="002F311E"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to file </w:t>
      </w:r>
      <w:r w:rsidR="000B2B6D" w:rsidRPr="00BF100B">
        <w:rPr>
          <w:rFonts w:ascii="Times New Roman" w:hAnsi="Times New Roman" w:cs="Times New Roman"/>
          <w:sz w:val="24"/>
          <w:szCs w:val="24"/>
        </w:rPr>
        <w:t>the suit. It is trite that a person may represent him/herself or may be represented by counsel.  As long as there is evidence on record to support the claim, it is not mandatory that a party to a suit should give evidence in court or even attend court hearings, as long as they are duly represented. In the present case, it is an agreed fact that the plaintiffs had proved their claims in liquidation. Therefore, it wo</w:t>
      </w:r>
      <w:r w:rsidR="00400407" w:rsidRPr="00BF100B">
        <w:rPr>
          <w:rFonts w:ascii="Times New Roman" w:hAnsi="Times New Roman" w:cs="Times New Roman"/>
          <w:sz w:val="24"/>
          <w:szCs w:val="24"/>
        </w:rPr>
        <w:t xml:space="preserve">uld not be mandatory for </w:t>
      </w:r>
      <w:r w:rsidR="00FF7CB3" w:rsidRPr="00BF100B">
        <w:rPr>
          <w:rFonts w:ascii="Times New Roman" w:hAnsi="Times New Roman" w:cs="Times New Roman"/>
          <w:sz w:val="24"/>
          <w:szCs w:val="24"/>
        </w:rPr>
        <w:t xml:space="preserve">all </w:t>
      </w:r>
      <w:r w:rsidR="00400407" w:rsidRPr="00BF100B">
        <w:rPr>
          <w:rFonts w:ascii="Times New Roman" w:hAnsi="Times New Roman" w:cs="Times New Roman"/>
          <w:sz w:val="24"/>
          <w:szCs w:val="24"/>
        </w:rPr>
        <w:t xml:space="preserve">the plaintiffs to testify in court or to appear at the hearing personally if they are represented by </w:t>
      </w:r>
      <w:r w:rsidR="006603BC" w:rsidRPr="00BF100B">
        <w:rPr>
          <w:rFonts w:ascii="Times New Roman" w:hAnsi="Times New Roman" w:cs="Times New Roman"/>
          <w:sz w:val="24"/>
          <w:szCs w:val="24"/>
        </w:rPr>
        <w:t>C</w:t>
      </w:r>
      <w:r w:rsidR="00400407" w:rsidRPr="00BF100B">
        <w:rPr>
          <w:rFonts w:ascii="Times New Roman" w:hAnsi="Times New Roman" w:cs="Times New Roman"/>
          <w:sz w:val="24"/>
          <w:szCs w:val="24"/>
        </w:rPr>
        <w:t xml:space="preserve">ounsel. </w:t>
      </w:r>
    </w:p>
    <w:p w:rsidR="00400407" w:rsidRPr="00BF100B" w:rsidRDefault="0040040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lastRenderedPageBreak/>
        <w:t xml:space="preserve">Further, </w:t>
      </w:r>
      <w:r w:rsidR="003E2098" w:rsidRPr="00BF100B">
        <w:rPr>
          <w:rFonts w:ascii="Times New Roman" w:hAnsi="Times New Roman" w:cs="Times New Roman"/>
          <w:sz w:val="24"/>
          <w:szCs w:val="24"/>
        </w:rPr>
        <w:t>Counsel</w:t>
      </w:r>
      <w:r w:rsidR="002F311E"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plaintiffs indicated that they had assisted the plaintiffs during the proof in liquidation</w:t>
      </w:r>
      <w:r w:rsidR="005C6171" w:rsidRPr="00BF100B">
        <w:rPr>
          <w:rFonts w:ascii="Times New Roman" w:hAnsi="Times New Roman" w:cs="Times New Roman"/>
          <w:sz w:val="24"/>
          <w:szCs w:val="24"/>
        </w:rPr>
        <w:t xml:space="preserve"> of the claims</w:t>
      </w:r>
      <w:r w:rsidRPr="00BF100B">
        <w:rPr>
          <w:rFonts w:ascii="Times New Roman" w:hAnsi="Times New Roman" w:cs="Times New Roman"/>
          <w:sz w:val="24"/>
          <w:szCs w:val="24"/>
        </w:rPr>
        <w:t xml:space="preserve"> and the defendant did not rebut this argument. This also points to the fact that the plaintiffs authorized the plaintiffs to represent them in this suit. </w:t>
      </w:r>
      <w:r w:rsidR="00FF7CB3" w:rsidRPr="00BF100B">
        <w:rPr>
          <w:rFonts w:ascii="Times New Roman" w:hAnsi="Times New Roman" w:cs="Times New Roman"/>
          <w:sz w:val="24"/>
          <w:szCs w:val="24"/>
        </w:rPr>
        <w:t xml:space="preserve">Even the plaintiffs who appeared at the hearing did not raise any complaint that they had not instructed </w:t>
      </w:r>
      <w:r w:rsidR="003E2098" w:rsidRPr="00BF100B">
        <w:rPr>
          <w:rFonts w:ascii="Times New Roman" w:hAnsi="Times New Roman" w:cs="Times New Roman"/>
          <w:sz w:val="24"/>
          <w:szCs w:val="24"/>
        </w:rPr>
        <w:t>Counsel</w:t>
      </w:r>
      <w:r w:rsidR="002F311E" w:rsidRPr="00BF100B">
        <w:rPr>
          <w:rFonts w:ascii="Times New Roman" w:hAnsi="Times New Roman" w:cs="Times New Roman"/>
          <w:sz w:val="24"/>
          <w:szCs w:val="24"/>
        </w:rPr>
        <w:t xml:space="preserve"> </w:t>
      </w:r>
      <w:r w:rsidR="00FF7CB3" w:rsidRPr="00BF100B">
        <w:rPr>
          <w:rFonts w:ascii="Times New Roman" w:hAnsi="Times New Roman" w:cs="Times New Roman"/>
          <w:sz w:val="24"/>
          <w:szCs w:val="24"/>
        </w:rPr>
        <w:t xml:space="preserve">to institute the suit. </w:t>
      </w:r>
      <w:r w:rsidRPr="00BF100B">
        <w:rPr>
          <w:rFonts w:ascii="Times New Roman" w:hAnsi="Times New Roman" w:cs="Times New Roman"/>
          <w:sz w:val="24"/>
          <w:szCs w:val="24"/>
        </w:rPr>
        <w:t xml:space="preserve"> </w:t>
      </w:r>
    </w:p>
    <w:p w:rsidR="00FF7CB3" w:rsidRPr="00BF100B" w:rsidRDefault="00FF7CB3"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the circumstances of this case, I find that the defendant has not proved on a balance of probabilities that the suit was instituted without the instructions of the plaintiffs. </w:t>
      </w:r>
    </w:p>
    <w:p w:rsidR="00FF7CB3" w:rsidRPr="00BF100B" w:rsidRDefault="00FF7CB3"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Issue 1 is</w:t>
      </w:r>
      <w:r w:rsidR="005C6171" w:rsidRPr="00BF100B">
        <w:rPr>
          <w:rFonts w:ascii="Times New Roman" w:hAnsi="Times New Roman" w:cs="Times New Roman"/>
          <w:sz w:val="24"/>
          <w:szCs w:val="24"/>
        </w:rPr>
        <w:t>,</w:t>
      </w:r>
      <w:r w:rsidRPr="00BF100B">
        <w:rPr>
          <w:rFonts w:ascii="Times New Roman" w:hAnsi="Times New Roman" w:cs="Times New Roman"/>
          <w:sz w:val="24"/>
          <w:szCs w:val="24"/>
        </w:rPr>
        <w:t xml:space="preserve"> therefore</w:t>
      </w:r>
      <w:r w:rsidR="005C6171" w:rsidRPr="00BF100B">
        <w:rPr>
          <w:rFonts w:ascii="Times New Roman" w:hAnsi="Times New Roman" w:cs="Times New Roman"/>
          <w:sz w:val="24"/>
          <w:szCs w:val="24"/>
        </w:rPr>
        <w:t>,</w:t>
      </w:r>
      <w:r w:rsidRPr="00BF100B">
        <w:rPr>
          <w:rFonts w:ascii="Times New Roman" w:hAnsi="Times New Roman" w:cs="Times New Roman"/>
          <w:sz w:val="24"/>
          <w:szCs w:val="24"/>
        </w:rPr>
        <w:t xml:space="preserve"> answered in the negative. </w:t>
      </w:r>
    </w:p>
    <w:p w:rsidR="00FF7CB3" w:rsidRPr="00BF100B" w:rsidRDefault="00FF7CB3" w:rsidP="003871CA">
      <w:pPr>
        <w:spacing w:after="0" w:line="360" w:lineRule="auto"/>
        <w:ind w:left="2160" w:hanging="2160"/>
        <w:jc w:val="both"/>
        <w:rPr>
          <w:rFonts w:ascii="Times New Roman" w:hAnsi="Times New Roman" w:cs="Times New Roman"/>
          <w:b/>
          <w:i/>
          <w:sz w:val="24"/>
          <w:szCs w:val="24"/>
        </w:rPr>
      </w:pPr>
      <w:r w:rsidRPr="00BF100B">
        <w:rPr>
          <w:rFonts w:ascii="Times New Roman" w:hAnsi="Times New Roman" w:cs="Times New Roman"/>
          <w:b/>
          <w:i/>
          <w:sz w:val="24"/>
          <w:szCs w:val="24"/>
        </w:rPr>
        <w:t>ISSUE 2</w:t>
      </w:r>
      <w:r w:rsidR="0004610C" w:rsidRPr="00BF100B">
        <w:rPr>
          <w:rFonts w:ascii="Times New Roman" w:hAnsi="Times New Roman" w:cs="Times New Roman"/>
          <w:b/>
          <w:i/>
          <w:sz w:val="24"/>
          <w:szCs w:val="24"/>
        </w:rPr>
        <w:t>:</w:t>
      </w:r>
      <w:r w:rsidR="0004610C" w:rsidRPr="00BF100B">
        <w:rPr>
          <w:rFonts w:ascii="Times New Roman" w:hAnsi="Times New Roman" w:cs="Times New Roman"/>
          <w:b/>
          <w:i/>
          <w:sz w:val="24"/>
          <w:szCs w:val="24"/>
        </w:rPr>
        <w:tab/>
      </w:r>
      <w:r w:rsidRPr="00BF100B">
        <w:rPr>
          <w:rFonts w:ascii="Times New Roman" w:hAnsi="Times New Roman" w:cs="Times New Roman"/>
          <w:b/>
          <w:i/>
          <w:sz w:val="24"/>
          <w:szCs w:val="24"/>
        </w:rPr>
        <w:t>Whether the Minister of Finance and the Divesture and Reform Implementation Committee have a statutory duty to pay the plaintiffs’ claim under the PERD Act.</w:t>
      </w:r>
    </w:p>
    <w:p w:rsidR="002513D1" w:rsidRPr="00BF100B" w:rsidRDefault="004F4781"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PW1, </w:t>
      </w:r>
      <w:proofErr w:type="spellStart"/>
      <w:r w:rsidRPr="00BF100B">
        <w:rPr>
          <w:rFonts w:ascii="Times New Roman" w:hAnsi="Times New Roman" w:cs="Times New Roman"/>
          <w:sz w:val="24"/>
          <w:szCs w:val="24"/>
        </w:rPr>
        <w:t>Yesero</w:t>
      </w:r>
      <w:proofErr w:type="spellEnd"/>
      <w:r w:rsidRPr="00BF100B">
        <w:rPr>
          <w:rFonts w:ascii="Times New Roman" w:hAnsi="Times New Roman" w:cs="Times New Roman"/>
          <w:sz w:val="24"/>
          <w:szCs w:val="24"/>
        </w:rPr>
        <w:t xml:space="preserve"> </w:t>
      </w:r>
      <w:proofErr w:type="spellStart"/>
      <w:r w:rsidRPr="00BF100B">
        <w:rPr>
          <w:rFonts w:ascii="Times New Roman" w:hAnsi="Times New Roman" w:cs="Times New Roman"/>
          <w:sz w:val="24"/>
          <w:szCs w:val="24"/>
        </w:rPr>
        <w:t>Mugenyi</w:t>
      </w:r>
      <w:proofErr w:type="spellEnd"/>
      <w:r w:rsidRPr="00BF100B">
        <w:rPr>
          <w:rFonts w:ascii="Times New Roman" w:hAnsi="Times New Roman" w:cs="Times New Roman"/>
          <w:sz w:val="24"/>
          <w:szCs w:val="24"/>
        </w:rPr>
        <w:t xml:space="preserve"> </w:t>
      </w:r>
      <w:r w:rsidR="009C05BF" w:rsidRPr="00BF100B">
        <w:rPr>
          <w:rFonts w:ascii="Times New Roman" w:hAnsi="Times New Roman" w:cs="Times New Roman"/>
          <w:sz w:val="24"/>
          <w:szCs w:val="24"/>
        </w:rPr>
        <w:t>testified that he was an Advocate and a sole proprietor of the 24</w:t>
      </w:r>
      <w:r w:rsidR="009C05BF" w:rsidRPr="00BF100B">
        <w:rPr>
          <w:rFonts w:ascii="Times New Roman" w:hAnsi="Times New Roman" w:cs="Times New Roman"/>
          <w:sz w:val="24"/>
          <w:szCs w:val="24"/>
          <w:vertAlign w:val="superscript"/>
        </w:rPr>
        <w:t>th</w:t>
      </w:r>
      <w:r w:rsidR="009C05BF" w:rsidRPr="00BF100B">
        <w:rPr>
          <w:rFonts w:ascii="Times New Roman" w:hAnsi="Times New Roman" w:cs="Times New Roman"/>
          <w:sz w:val="24"/>
          <w:szCs w:val="24"/>
        </w:rPr>
        <w:t xml:space="preserve"> plaintiff. </w:t>
      </w:r>
      <w:r w:rsidR="00302650" w:rsidRPr="00BF100B">
        <w:rPr>
          <w:rFonts w:ascii="Times New Roman" w:hAnsi="Times New Roman" w:cs="Times New Roman"/>
          <w:sz w:val="24"/>
          <w:szCs w:val="24"/>
        </w:rPr>
        <w:t xml:space="preserve"> </w:t>
      </w:r>
      <w:r w:rsidR="00BC6B69" w:rsidRPr="00BF100B">
        <w:rPr>
          <w:rFonts w:ascii="Times New Roman" w:hAnsi="Times New Roman" w:cs="Times New Roman"/>
          <w:sz w:val="24"/>
          <w:szCs w:val="24"/>
        </w:rPr>
        <w:t>It was his testimony that the 24</w:t>
      </w:r>
      <w:r w:rsidR="00BC6B69" w:rsidRPr="00BF100B">
        <w:rPr>
          <w:rFonts w:ascii="Times New Roman" w:hAnsi="Times New Roman" w:cs="Times New Roman"/>
          <w:sz w:val="24"/>
          <w:szCs w:val="24"/>
          <w:vertAlign w:val="superscript"/>
        </w:rPr>
        <w:t>th</w:t>
      </w:r>
      <w:r w:rsidR="00BC6B69" w:rsidRPr="00BF100B">
        <w:rPr>
          <w:rFonts w:ascii="Times New Roman" w:hAnsi="Times New Roman" w:cs="Times New Roman"/>
          <w:sz w:val="24"/>
          <w:szCs w:val="24"/>
        </w:rPr>
        <w:t xml:space="preserve"> </w:t>
      </w:r>
      <w:r w:rsidR="005C6171" w:rsidRPr="00BF100B">
        <w:rPr>
          <w:rFonts w:ascii="Times New Roman" w:hAnsi="Times New Roman" w:cs="Times New Roman"/>
          <w:sz w:val="24"/>
          <w:szCs w:val="24"/>
        </w:rPr>
        <w:t xml:space="preserve">plaintiff, which was a </w:t>
      </w:r>
      <w:r w:rsidR="00BC6B69" w:rsidRPr="00BF100B">
        <w:rPr>
          <w:rFonts w:ascii="Times New Roman" w:hAnsi="Times New Roman" w:cs="Times New Roman"/>
          <w:sz w:val="24"/>
          <w:szCs w:val="24"/>
        </w:rPr>
        <w:t xml:space="preserve">Firm of Advocates rendered legal services to a public enterprise then known as Uganda Transport Company (1975) Limited (UTC) which was a Government concern, able and regularly paying the said plaintiff’s legal fees. On </w:t>
      </w:r>
      <w:r w:rsidR="00133951" w:rsidRPr="00BF100B">
        <w:rPr>
          <w:rFonts w:ascii="Times New Roman" w:hAnsi="Times New Roman" w:cs="Times New Roman"/>
          <w:sz w:val="24"/>
          <w:szCs w:val="24"/>
        </w:rPr>
        <w:t>or about 9</w:t>
      </w:r>
      <w:r w:rsidR="00133951" w:rsidRPr="00BF100B">
        <w:rPr>
          <w:rFonts w:ascii="Times New Roman" w:hAnsi="Times New Roman" w:cs="Times New Roman"/>
          <w:sz w:val="24"/>
          <w:szCs w:val="24"/>
          <w:vertAlign w:val="superscript"/>
        </w:rPr>
        <w:t>th</w:t>
      </w:r>
      <w:r w:rsidR="00133951" w:rsidRPr="00BF100B">
        <w:rPr>
          <w:rFonts w:ascii="Times New Roman" w:hAnsi="Times New Roman" w:cs="Times New Roman"/>
          <w:sz w:val="24"/>
          <w:szCs w:val="24"/>
        </w:rPr>
        <w:t xml:space="preserve"> June, 1994, the Minister of Works, Transport and Communications called a meeting of all creditors of UTC, including the 24</w:t>
      </w:r>
      <w:r w:rsidR="00133951" w:rsidRPr="00BF100B">
        <w:rPr>
          <w:rFonts w:ascii="Times New Roman" w:hAnsi="Times New Roman" w:cs="Times New Roman"/>
          <w:sz w:val="24"/>
          <w:szCs w:val="24"/>
          <w:vertAlign w:val="superscript"/>
        </w:rPr>
        <w:t>th</w:t>
      </w:r>
      <w:r w:rsidR="00133951" w:rsidRPr="00BF100B">
        <w:rPr>
          <w:rFonts w:ascii="Times New Roman" w:hAnsi="Times New Roman" w:cs="Times New Roman"/>
          <w:sz w:val="24"/>
          <w:szCs w:val="24"/>
        </w:rPr>
        <w:t xml:space="preserve"> plaintiff and read to them the preamble of the </w:t>
      </w:r>
      <w:r w:rsidR="00133951" w:rsidRPr="00BF100B">
        <w:rPr>
          <w:rFonts w:ascii="Times New Roman" w:hAnsi="Times New Roman" w:cs="Times New Roman"/>
          <w:b/>
          <w:sz w:val="24"/>
          <w:szCs w:val="24"/>
        </w:rPr>
        <w:t>PERD Statute</w:t>
      </w:r>
      <w:r w:rsidR="00133951" w:rsidRPr="00BF100B">
        <w:rPr>
          <w:rFonts w:ascii="Times New Roman" w:hAnsi="Times New Roman" w:cs="Times New Roman"/>
          <w:sz w:val="24"/>
          <w:szCs w:val="24"/>
        </w:rPr>
        <w:t xml:space="preserve"> and from the Gazette No.48 of 1</w:t>
      </w:r>
      <w:r w:rsidR="00133951" w:rsidRPr="00BF100B">
        <w:rPr>
          <w:rFonts w:ascii="Times New Roman" w:hAnsi="Times New Roman" w:cs="Times New Roman"/>
          <w:sz w:val="24"/>
          <w:szCs w:val="24"/>
          <w:vertAlign w:val="superscript"/>
        </w:rPr>
        <w:t>st</w:t>
      </w:r>
      <w:r w:rsidR="00133951" w:rsidRPr="00BF100B">
        <w:rPr>
          <w:rFonts w:ascii="Times New Roman" w:hAnsi="Times New Roman" w:cs="Times New Roman"/>
          <w:sz w:val="24"/>
          <w:szCs w:val="24"/>
        </w:rPr>
        <w:t xml:space="preserve"> November, 1991, and informed them that UTC was under liquidation. Further, that at that </w:t>
      </w:r>
      <w:r w:rsidR="005C6171" w:rsidRPr="00BF100B">
        <w:rPr>
          <w:rFonts w:ascii="Times New Roman" w:hAnsi="Times New Roman" w:cs="Times New Roman"/>
          <w:sz w:val="24"/>
          <w:szCs w:val="24"/>
        </w:rPr>
        <w:t>time, UTC had accumulated un</w:t>
      </w:r>
      <w:r w:rsidR="00133951" w:rsidRPr="00BF100B">
        <w:rPr>
          <w:rFonts w:ascii="Times New Roman" w:hAnsi="Times New Roman" w:cs="Times New Roman"/>
          <w:sz w:val="24"/>
          <w:szCs w:val="24"/>
        </w:rPr>
        <w:t>paid bills for legal services rendered by the 24</w:t>
      </w:r>
      <w:r w:rsidR="00133951" w:rsidRPr="00BF100B">
        <w:rPr>
          <w:rFonts w:ascii="Times New Roman" w:hAnsi="Times New Roman" w:cs="Times New Roman"/>
          <w:sz w:val="24"/>
          <w:szCs w:val="24"/>
          <w:vertAlign w:val="superscript"/>
        </w:rPr>
        <w:t>th</w:t>
      </w:r>
      <w:r w:rsidR="00133951" w:rsidRPr="00BF100B">
        <w:rPr>
          <w:rFonts w:ascii="Times New Roman" w:hAnsi="Times New Roman" w:cs="Times New Roman"/>
          <w:sz w:val="24"/>
          <w:szCs w:val="24"/>
        </w:rPr>
        <w:t xml:space="preserve"> plaintiff of up to UGX 72,807,994/= </w:t>
      </w:r>
      <w:r w:rsidR="00FF3F0E" w:rsidRPr="00BF100B">
        <w:rPr>
          <w:rFonts w:ascii="Times New Roman" w:hAnsi="Times New Roman" w:cs="Times New Roman"/>
          <w:sz w:val="24"/>
          <w:szCs w:val="24"/>
        </w:rPr>
        <w:t>and the same claim was sent to the de</w:t>
      </w:r>
      <w:r w:rsidR="002513D1" w:rsidRPr="00BF100B">
        <w:rPr>
          <w:rFonts w:ascii="Times New Roman" w:hAnsi="Times New Roman" w:cs="Times New Roman"/>
          <w:sz w:val="24"/>
          <w:szCs w:val="24"/>
        </w:rPr>
        <w:t xml:space="preserve">fendant to arrange for payment. Upon </w:t>
      </w:r>
      <w:r w:rsidR="00FF3F0E" w:rsidRPr="00BF100B">
        <w:rPr>
          <w:rFonts w:ascii="Times New Roman" w:hAnsi="Times New Roman" w:cs="Times New Roman"/>
          <w:sz w:val="24"/>
          <w:szCs w:val="24"/>
        </w:rPr>
        <w:t xml:space="preserve">refusal </w:t>
      </w:r>
      <w:r w:rsidR="002513D1" w:rsidRPr="00BF100B">
        <w:rPr>
          <w:rFonts w:ascii="Times New Roman" w:hAnsi="Times New Roman" w:cs="Times New Roman"/>
          <w:sz w:val="24"/>
          <w:szCs w:val="24"/>
        </w:rPr>
        <w:t xml:space="preserve">by the defendant </w:t>
      </w:r>
      <w:r w:rsidR="00FF3F0E" w:rsidRPr="00BF100B">
        <w:rPr>
          <w:rFonts w:ascii="Times New Roman" w:hAnsi="Times New Roman" w:cs="Times New Roman"/>
          <w:sz w:val="24"/>
          <w:szCs w:val="24"/>
        </w:rPr>
        <w:t>to pay, the 24</w:t>
      </w:r>
      <w:r w:rsidR="00FF3F0E" w:rsidRPr="00BF100B">
        <w:rPr>
          <w:rFonts w:ascii="Times New Roman" w:hAnsi="Times New Roman" w:cs="Times New Roman"/>
          <w:sz w:val="24"/>
          <w:szCs w:val="24"/>
          <w:vertAlign w:val="superscript"/>
        </w:rPr>
        <w:t>th</w:t>
      </w:r>
      <w:r w:rsidR="00FF3F0E" w:rsidRPr="00BF100B">
        <w:rPr>
          <w:rFonts w:ascii="Times New Roman" w:hAnsi="Times New Roman" w:cs="Times New Roman"/>
          <w:sz w:val="24"/>
          <w:szCs w:val="24"/>
        </w:rPr>
        <w:t xml:space="preserve"> plaintiff instituted a suit that terminated in Supreme Court Civil Appeal No.43 of</w:t>
      </w:r>
      <w:r w:rsidR="002513D1" w:rsidRPr="00BF100B">
        <w:rPr>
          <w:rFonts w:ascii="Times New Roman" w:hAnsi="Times New Roman" w:cs="Times New Roman"/>
          <w:sz w:val="24"/>
          <w:szCs w:val="24"/>
        </w:rPr>
        <w:t xml:space="preserve"> 1995, and the </w:t>
      </w:r>
      <w:r w:rsidR="003A0B1E" w:rsidRPr="00BF100B">
        <w:rPr>
          <w:rFonts w:ascii="Times New Roman" w:hAnsi="Times New Roman" w:cs="Times New Roman"/>
          <w:sz w:val="24"/>
          <w:szCs w:val="24"/>
        </w:rPr>
        <w:t>c</w:t>
      </w:r>
      <w:r w:rsidR="002513D1" w:rsidRPr="00BF100B">
        <w:rPr>
          <w:rFonts w:ascii="Times New Roman" w:hAnsi="Times New Roman" w:cs="Times New Roman"/>
          <w:sz w:val="24"/>
          <w:szCs w:val="24"/>
        </w:rPr>
        <w:t>ourt made an order for the plaintiff to prove its claim in liquidation.</w:t>
      </w:r>
    </w:p>
    <w:p w:rsidR="000021DB" w:rsidRPr="00BF100B" w:rsidRDefault="002513D1"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It was his further testimony </w:t>
      </w:r>
      <w:r w:rsidR="00AC2C3E" w:rsidRPr="00BF100B">
        <w:rPr>
          <w:rFonts w:ascii="Times New Roman" w:hAnsi="Times New Roman" w:cs="Times New Roman"/>
          <w:sz w:val="24"/>
          <w:szCs w:val="24"/>
        </w:rPr>
        <w:t>that the 24</w:t>
      </w:r>
      <w:r w:rsidR="00AC2C3E" w:rsidRPr="00BF100B">
        <w:rPr>
          <w:rFonts w:ascii="Times New Roman" w:hAnsi="Times New Roman" w:cs="Times New Roman"/>
          <w:sz w:val="24"/>
          <w:szCs w:val="24"/>
          <w:vertAlign w:val="superscript"/>
        </w:rPr>
        <w:t>th</w:t>
      </w:r>
      <w:r w:rsidR="00AC2C3E" w:rsidRPr="00BF100B">
        <w:rPr>
          <w:rFonts w:ascii="Times New Roman" w:hAnsi="Times New Roman" w:cs="Times New Roman"/>
          <w:sz w:val="24"/>
          <w:szCs w:val="24"/>
        </w:rPr>
        <w:t xml:space="preserve"> plaintiff proved its claim in liquidation with the appointed liquidators, which was to be paid by the defendant in terms of the </w:t>
      </w:r>
      <w:r w:rsidR="00AC2C3E" w:rsidRPr="00BF100B">
        <w:rPr>
          <w:rFonts w:ascii="Times New Roman" w:hAnsi="Times New Roman" w:cs="Times New Roman"/>
          <w:b/>
          <w:sz w:val="24"/>
          <w:szCs w:val="24"/>
        </w:rPr>
        <w:t>PERD Statute</w:t>
      </w:r>
      <w:r w:rsidR="00AC2C3E" w:rsidRPr="00BF100B">
        <w:rPr>
          <w:rFonts w:ascii="Times New Roman" w:hAnsi="Times New Roman" w:cs="Times New Roman"/>
          <w:sz w:val="24"/>
          <w:szCs w:val="24"/>
        </w:rPr>
        <w:t>.</w:t>
      </w:r>
      <w:r w:rsidR="00F518A2" w:rsidRPr="00BF100B">
        <w:rPr>
          <w:rFonts w:ascii="Times New Roman" w:hAnsi="Times New Roman" w:cs="Times New Roman"/>
          <w:sz w:val="24"/>
          <w:szCs w:val="24"/>
        </w:rPr>
        <w:t xml:space="preserve"> On the 20</w:t>
      </w:r>
      <w:r w:rsidR="00F518A2" w:rsidRPr="00BF100B">
        <w:rPr>
          <w:rFonts w:ascii="Times New Roman" w:hAnsi="Times New Roman" w:cs="Times New Roman"/>
          <w:sz w:val="24"/>
          <w:szCs w:val="24"/>
          <w:vertAlign w:val="superscript"/>
        </w:rPr>
        <w:t>th</w:t>
      </w:r>
      <w:r w:rsidR="00F518A2" w:rsidRPr="00BF100B">
        <w:rPr>
          <w:rFonts w:ascii="Times New Roman" w:hAnsi="Times New Roman" w:cs="Times New Roman"/>
          <w:sz w:val="24"/>
          <w:szCs w:val="24"/>
        </w:rPr>
        <w:t xml:space="preserve"> July, 1999, the liquidators drew up their final report to the Registrar of Companies indicating that UTC had been wound up by the joint liquidators under Members Voluntary Winding Up, and a Statement of Account was also filed </w:t>
      </w:r>
      <w:r w:rsidR="00767520" w:rsidRPr="00BF100B">
        <w:rPr>
          <w:rFonts w:ascii="Times New Roman" w:hAnsi="Times New Roman" w:cs="Times New Roman"/>
          <w:sz w:val="24"/>
          <w:szCs w:val="24"/>
        </w:rPr>
        <w:t>which indicated that the 24</w:t>
      </w:r>
      <w:r w:rsidR="00767520" w:rsidRPr="00BF100B">
        <w:rPr>
          <w:rFonts w:ascii="Times New Roman" w:hAnsi="Times New Roman" w:cs="Times New Roman"/>
          <w:sz w:val="24"/>
          <w:szCs w:val="24"/>
          <w:vertAlign w:val="superscript"/>
        </w:rPr>
        <w:t>th</w:t>
      </w:r>
      <w:r w:rsidR="00767520" w:rsidRPr="00BF100B">
        <w:rPr>
          <w:rFonts w:ascii="Times New Roman" w:hAnsi="Times New Roman" w:cs="Times New Roman"/>
          <w:sz w:val="24"/>
          <w:szCs w:val="24"/>
        </w:rPr>
        <w:t xml:space="preserve"> plaintiff was a creditor who had not been paid in full. </w:t>
      </w:r>
      <w:r w:rsidR="000021DB" w:rsidRPr="00BF100B">
        <w:rPr>
          <w:rFonts w:ascii="Times New Roman" w:hAnsi="Times New Roman" w:cs="Times New Roman"/>
          <w:sz w:val="24"/>
          <w:szCs w:val="24"/>
        </w:rPr>
        <w:t xml:space="preserve">Further, that in August, 2005, the defendant </w:t>
      </w:r>
      <w:r w:rsidR="000021DB" w:rsidRPr="00BF100B">
        <w:rPr>
          <w:rFonts w:ascii="Times New Roman" w:hAnsi="Times New Roman" w:cs="Times New Roman"/>
          <w:sz w:val="24"/>
          <w:szCs w:val="24"/>
        </w:rPr>
        <w:lastRenderedPageBreak/>
        <w:t xml:space="preserve">acknowledged the outstanding balance of UGX 65,527,150/= due to the plaintiffs but only paid UGX 13,105,430/= leaving the plaintiffs claim of UGX 52,421,620/= unpaid. </w:t>
      </w:r>
    </w:p>
    <w:p w:rsidR="00575F44" w:rsidRPr="00BF100B" w:rsidRDefault="000021DB"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It was PW1’s further evidence that the defendant’s liability to pay </w:t>
      </w:r>
      <w:r w:rsidR="00D0035D" w:rsidRPr="00BF100B">
        <w:rPr>
          <w:rFonts w:ascii="Times New Roman" w:hAnsi="Times New Roman" w:cs="Times New Roman"/>
          <w:sz w:val="24"/>
          <w:szCs w:val="24"/>
        </w:rPr>
        <w:t xml:space="preserve">was created by the </w:t>
      </w:r>
      <w:r w:rsidR="00D0035D" w:rsidRPr="00BF100B">
        <w:rPr>
          <w:rFonts w:ascii="Times New Roman" w:hAnsi="Times New Roman" w:cs="Times New Roman"/>
          <w:b/>
          <w:sz w:val="24"/>
          <w:szCs w:val="24"/>
        </w:rPr>
        <w:t>PERD Statute</w:t>
      </w:r>
      <w:r w:rsidR="00D0035D" w:rsidRPr="00BF100B">
        <w:rPr>
          <w:rFonts w:ascii="Times New Roman" w:hAnsi="Times New Roman" w:cs="Times New Roman"/>
          <w:sz w:val="24"/>
          <w:szCs w:val="24"/>
        </w:rPr>
        <w:t xml:space="preserve"> and by </w:t>
      </w:r>
      <w:r w:rsidR="007E1247" w:rsidRPr="00BF100B">
        <w:rPr>
          <w:rFonts w:ascii="Times New Roman" w:hAnsi="Times New Roman" w:cs="Times New Roman"/>
          <w:b/>
          <w:sz w:val="24"/>
          <w:szCs w:val="24"/>
        </w:rPr>
        <w:t>S</w:t>
      </w:r>
      <w:r w:rsidR="00D0035D" w:rsidRPr="00BF100B">
        <w:rPr>
          <w:rFonts w:ascii="Times New Roman" w:hAnsi="Times New Roman" w:cs="Times New Roman"/>
          <w:b/>
          <w:sz w:val="24"/>
          <w:szCs w:val="24"/>
        </w:rPr>
        <w:t>ection 1</w:t>
      </w:r>
      <w:r w:rsidR="00D0035D" w:rsidRPr="00BF100B">
        <w:rPr>
          <w:rFonts w:ascii="Times New Roman" w:hAnsi="Times New Roman" w:cs="Times New Roman"/>
          <w:sz w:val="24"/>
          <w:szCs w:val="24"/>
        </w:rPr>
        <w:t xml:space="preserve"> of the </w:t>
      </w:r>
      <w:r w:rsidR="007E1247" w:rsidRPr="00BF100B">
        <w:rPr>
          <w:rFonts w:ascii="Times New Roman" w:hAnsi="Times New Roman" w:cs="Times New Roman"/>
          <w:sz w:val="24"/>
          <w:szCs w:val="24"/>
        </w:rPr>
        <w:t>D</w:t>
      </w:r>
      <w:r w:rsidR="00D0035D" w:rsidRPr="00BF100B">
        <w:rPr>
          <w:rFonts w:ascii="Times New Roman" w:hAnsi="Times New Roman" w:cs="Times New Roman"/>
          <w:sz w:val="24"/>
          <w:szCs w:val="24"/>
        </w:rPr>
        <w:t>evelopment Credit Agreement entered into by the Republic of Uganda and the World Bank</w:t>
      </w:r>
      <w:r w:rsidR="001514F5" w:rsidRPr="00BF100B">
        <w:rPr>
          <w:rFonts w:ascii="Times New Roman" w:hAnsi="Times New Roman" w:cs="Times New Roman"/>
          <w:sz w:val="24"/>
          <w:szCs w:val="24"/>
        </w:rPr>
        <w:t xml:space="preserve">, to create the Public </w:t>
      </w:r>
      <w:r w:rsidR="00D0035D" w:rsidRPr="00BF100B">
        <w:rPr>
          <w:rFonts w:ascii="Times New Roman" w:hAnsi="Times New Roman" w:cs="Times New Roman"/>
          <w:sz w:val="24"/>
          <w:szCs w:val="24"/>
        </w:rPr>
        <w:t xml:space="preserve">Enterprises Reform and Divesture Program under the </w:t>
      </w:r>
      <w:r w:rsidR="00D0035D" w:rsidRPr="00BF100B">
        <w:rPr>
          <w:rFonts w:ascii="Times New Roman" w:hAnsi="Times New Roman" w:cs="Times New Roman"/>
          <w:b/>
          <w:sz w:val="24"/>
          <w:szCs w:val="24"/>
        </w:rPr>
        <w:t>PERD Statute</w:t>
      </w:r>
      <w:r w:rsidR="00D0035D" w:rsidRPr="00BF100B">
        <w:rPr>
          <w:rFonts w:ascii="Times New Roman" w:hAnsi="Times New Roman" w:cs="Times New Roman"/>
          <w:sz w:val="24"/>
          <w:szCs w:val="24"/>
        </w:rPr>
        <w:t xml:space="preserve">, which the defendant was implementing in divesting UTC and other public agencies and </w:t>
      </w:r>
      <w:proofErr w:type="spellStart"/>
      <w:r w:rsidR="00D0035D" w:rsidRPr="00BF100B">
        <w:rPr>
          <w:rFonts w:ascii="Times New Roman" w:hAnsi="Times New Roman" w:cs="Times New Roman"/>
          <w:sz w:val="24"/>
          <w:szCs w:val="24"/>
        </w:rPr>
        <w:t>parastatals</w:t>
      </w:r>
      <w:proofErr w:type="spellEnd"/>
      <w:r w:rsidR="00D0035D" w:rsidRPr="00BF100B">
        <w:rPr>
          <w:rFonts w:ascii="Times New Roman" w:hAnsi="Times New Roman" w:cs="Times New Roman"/>
          <w:sz w:val="24"/>
          <w:szCs w:val="24"/>
        </w:rPr>
        <w:t xml:space="preserve">. </w:t>
      </w:r>
      <w:r w:rsidR="003D3343" w:rsidRPr="00BF100B">
        <w:rPr>
          <w:rFonts w:ascii="Times New Roman" w:hAnsi="Times New Roman" w:cs="Times New Roman"/>
          <w:sz w:val="24"/>
          <w:szCs w:val="24"/>
        </w:rPr>
        <w:t xml:space="preserve">Further, that the </w:t>
      </w:r>
      <w:r w:rsidR="003D3343" w:rsidRPr="00BF100B">
        <w:rPr>
          <w:rFonts w:ascii="Times New Roman" w:hAnsi="Times New Roman" w:cs="Times New Roman"/>
          <w:b/>
          <w:sz w:val="24"/>
          <w:szCs w:val="24"/>
        </w:rPr>
        <w:t>PERD Statute</w:t>
      </w:r>
      <w:r w:rsidR="003D3343" w:rsidRPr="00BF100B">
        <w:rPr>
          <w:rFonts w:ascii="Times New Roman" w:hAnsi="Times New Roman" w:cs="Times New Roman"/>
          <w:sz w:val="24"/>
          <w:szCs w:val="24"/>
        </w:rPr>
        <w:t xml:space="preserve"> incorporated the Development Credit Agreement and made it part and parcel of the </w:t>
      </w:r>
      <w:r w:rsidR="003D3343" w:rsidRPr="00BF100B">
        <w:rPr>
          <w:rFonts w:ascii="Times New Roman" w:hAnsi="Times New Roman" w:cs="Times New Roman"/>
          <w:b/>
          <w:sz w:val="24"/>
          <w:szCs w:val="24"/>
        </w:rPr>
        <w:t>PERD Statute</w:t>
      </w:r>
      <w:r w:rsidR="003D3343" w:rsidRPr="00BF100B">
        <w:rPr>
          <w:rFonts w:ascii="Times New Roman" w:hAnsi="Times New Roman" w:cs="Times New Roman"/>
          <w:sz w:val="24"/>
          <w:szCs w:val="24"/>
        </w:rPr>
        <w:t xml:space="preserve">, where a Divesture Account was established, which was controlled and supervised by the defendant. It was his further testimony that </w:t>
      </w:r>
      <w:r w:rsidR="00575F44" w:rsidRPr="00BF100B">
        <w:rPr>
          <w:rFonts w:ascii="Times New Roman" w:hAnsi="Times New Roman" w:cs="Times New Roman"/>
          <w:sz w:val="24"/>
          <w:szCs w:val="24"/>
        </w:rPr>
        <w:t>in exercising the above control and supervision, the defendant also had an obligation of applying for budgetary contributions in case of insufficiency of funds in the Divesture Account to pay liabilities such as that of the 24</w:t>
      </w:r>
      <w:r w:rsidR="00575F44" w:rsidRPr="00BF100B">
        <w:rPr>
          <w:rFonts w:ascii="Times New Roman" w:hAnsi="Times New Roman" w:cs="Times New Roman"/>
          <w:sz w:val="24"/>
          <w:szCs w:val="24"/>
          <w:vertAlign w:val="superscript"/>
        </w:rPr>
        <w:t>th</w:t>
      </w:r>
      <w:r w:rsidR="00575F44" w:rsidRPr="00BF100B">
        <w:rPr>
          <w:rFonts w:ascii="Times New Roman" w:hAnsi="Times New Roman" w:cs="Times New Roman"/>
          <w:sz w:val="24"/>
          <w:szCs w:val="24"/>
        </w:rPr>
        <w:t xml:space="preserve"> plaintiff. </w:t>
      </w:r>
    </w:p>
    <w:p w:rsidR="001F1E10" w:rsidRPr="00BF100B" w:rsidRDefault="00575F44"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PW2, Darius </w:t>
      </w:r>
      <w:proofErr w:type="spellStart"/>
      <w:r w:rsidRPr="00BF100B">
        <w:rPr>
          <w:rFonts w:ascii="Times New Roman" w:hAnsi="Times New Roman" w:cs="Times New Roman"/>
          <w:sz w:val="24"/>
          <w:szCs w:val="24"/>
        </w:rPr>
        <w:t>Ruta</w:t>
      </w:r>
      <w:proofErr w:type="spellEnd"/>
      <w:r w:rsidRPr="00BF100B">
        <w:rPr>
          <w:rFonts w:ascii="Times New Roman" w:hAnsi="Times New Roman" w:cs="Times New Roman"/>
          <w:sz w:val="24"/>
          <w:szCs w:val="24"/>
        </w:rPr>
        <w:t xml:space="preserve">, testified that he was the Manager, Official Receiver and Liquidator at Uganda Registration Services Bureau.  It was his testimony that </w:t>
      </w:r>
      <w:r w:rsidR="00801071" w:rsidRPr="00BF100B">
        <w:rPr>
          <w:rFonts w:ascii="Times New Roman" w:hAnsi="Times New Roman" w:cs="Times New Roman"/>
          <w:sz w:val="24"/>
          <w:szCs w:val="24"/>
        </w:rPr>
        <w:t xml:space="preserve">he had perused the records contained on the file of Uganda General Merchandise Limited, and in particular a status report on the liquidation exercise of the liquidation of the above stated Company, and the report </w:t>
      </w:r>
      <w:proofErr w:type="gramStart"/>
      <w:r w:rsidR="00801071" w:rsidRPr="00BF100B">
        <w:rPr>
          <w:rFonts w:ascii="Times New Roman" w:hAnsi="Times New Roman" w:cs="Times New Roman"/>
          <w:sz w:val="24"/>
          <w:szCs w:val="24"/>
        </w:rPr>
        <w:t>was</w:t>
      </w:r>
      <w:proofErr w:type="gramEnd"/>
      <w:r w:rsidR="00801071" w:rsidRPr="00BF100B">
        <w:rPr>
          <w:rFonts w:ascii="Times New Roman" w:hAnsi="Times New Roman" w:cs="Times New Roman"/>
          <w:sz w:val="24"/>
          <w:szCs w:val="24"/>
        </w:rPr>
        <w:t xml:space="preserve"> tendered in evidence. The said report indicated that the liquidators were appointed under the </w:t>
      </w:r>
      <w:r w:rsidR="00801071" w:rsidRPr="00BF100B">
        <w:rPr>
          <w:rFonts w:ascii="Times New Roman" w:hAnsi="Times New Roman" w:cs="Times New Roman"/>
          <w:b/>
          <w:sz w:val="24"/>
          <w:szCs w:val="24"/>
        </w:rPr>
        <w:t>PERD Statute</w:t>
      </w:r>
      <w:r w:rsidR="00801071" w:rsidRPr="00BF100B">
        <w:rPr>
          <w:rFonts w:ascii="Times New Roman" w:hAnsi="Times New Roman" w:cs="Times New Roman"/>
          <w:sz w:val="24"/>
          <w:szCs w:val="24"/>
        </w:rPr>
        <w:t xml:space="preserve"> and </w:t>
      </w:r>
      <w:r w:rsidR="001F1E10" w:rsidRPr="00BF100B">
        <w:rPr>
          <w:rFonts w:ascii="Times New Roman" w:hAnsi="Times New Roman" w:cs="Times New Roman"/>
          <w:sz w:val="24"/>
          <w:szCs w:val="24"/>
        </w:rPr>
        <w:t xml:space="preserve">that the sale proceeds were little compared to the liabilities. </w:t>
      </w:r>
    </w:p>
    <w:p w:rsidR="007F0AEF" w:rsidRPr="00BF100B" w:rsidRDefault="001F1E10"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PW3, Louis </w:t>
      </w:r>
      <w:proofErr w:type="spellStart"/>
      <w:r w:rsidRPr="00BF100B">
        <w:rPr>
          <w:rFonts w:ascii="Times New Roman" w:hAnsi="Times New Roman" w:cs="Times New Roman"/>
          <w:sz w:val="24"/>
          <w:szCs w:val="24"/>
        </w:rPr>
        <w:t>Kiyingi</w:t>
      </w:r>
      <w:proofErr w:type="spellEnd"/>
      <w:r w:rsidRPr="00BF100B">
        <w:rPr>
          <w:rFonts w:ascii="Times New Roman" w:hAnsi="Times New Roman" w:cs="Times New Roman"/>
          <w:sz w:val="24"/>
          <w:szCs w:val="24"/>
        </w:rPr>
        <w:t>, testified that he was an employee of Uganda General Merchandise at the time of its liquidation where he was the Manager of its Uganda Duty Free Shop then located at International Conference Centre</w:t>
      </w:r>
      <w:r w:rsidR="007F0AEF" w:rsidRPr="00BF100B">
        <w:rPr>
          <w:rFonts w:ascii="Times New Roman" w:hAnsi="Times New Roman" w:cs="Times New Roman"/>
          <w:sz w:val="24"/>
          <w:szCs w:val="24"/>
        </w:rPr>
        <w:t xml:space="preserve">. It was his testimony that he had business dealings with all the plaintiffs at the time of the Company’s liquidation in 1994. </w:t>
      </w:r>
    </w:p>
    <w:p w:rsidR="002B5F37" w:rsidRPr="00BF100B" w:rsidRDefault="007F0AEF"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On the other hand, the defendant led the evidence of Moses. B. </w:t>
      </w:r>
      <w:proofErr w:type="spellStart"/>
      <w:r w:rsidRPr="00BF100B">
        <w:rPr>
          <w:rFonts w:ascii="Times New Roman" w:hAnsi="Times New Roman" w:cs="Times New Roman"/>
          <w:sz w:val="24"/>
          <w:szCs w:val="24"/>
        </w:rPr>
        <w:t>Mwase</w:t>
      </w:r>
      <w:proofErr w:type="spellEnd"/>
      <w:r w:rsidRPr="00BF100B">
        <w:rPr>
          <w:rFonts w:ascii="Times New Roman" w:hAnsi="Times New Roman" w:cs="Times New Roman"/>
          <w:sz w:val="24"/>
          <w:szCs w:val="24"/>
        </w:rPr>
        <w:t xml:space="preserve">, who testified that he was the </w:t>
      </w:r>
      <w:r w:rsidR="002D00B7" w:rsidRPr="00BF100B">
        <w:rPr>
          <w:rFonts w:ascii="Times New Roman" w:hAnsi="Times New Roman" w:cs="Times New Roman"/>
          <w:sz w:val="24"/>
          <w:szCs w:val="24"/>
        </w:rPr>
        <w:t xml:space="preserve">Director, Privatization Unit, Ministry of Finance, Planning and Economic </w:t>
      </w:r>
      <w:proofErr w:type="gramStart"/>
      <w:r w:rsidR="002D00B7" w:rsidRPr="00BF100B">
        <w:rPr>
          <w:rFonts w:ascii="Times New Roman" w:hAnsi="Times New Roman" w:cs="Times New Roman"/>
          <w:sz w:val="24"/>
          <w:szCs w:val="24"/>
        </w:rPr>
        <w:t>Development.</w:t>
      </w:r>
      <w:proofErr w:type="gramEnd"/>
      <w:r w:rsidR="002D00B7" w:rsidRPr="00BF100B">
        <w:rPr>
          <w:rFonts w:ascii="Times New Roman" w:hAnsi="Times New Roman" w:cs="Times New Roman"/>
          <w:sz w:val="24"/>
          <w:szCs w:val="24"/>
        </w:rPr>
        <w:t xml:space="preserve"> It was his testimony that no legal duty was created requiring the defendant to settle liabilities and creditors of Uganda Transport Company (1975) Ltd and Uganda General Merchandise </w:t>
      </w:r>
      <w:r w:rsidR="007B6043" w:rsidRPr="00BF100B">
        <w:rPr>
          <w:rFonts w:ascii="Times New Roman" w:hAnsi="Times New Roman" w:cs="Times New Roman"/>
          <w:sz w:val="24"/>
          <w:szCs w:val="24"/>
        </w:rPr>
        <w:t xml:space="preserve">Ltd, and that Government did not undertake or assume </w:t>
      </w:r>
      <w:r w:rsidR="002B5F37" w:rsidRPr="00BF100B">
        <w:rPr>
          <w:rFonts w:ascii="Times New Roman" w:hAnsi="Times New Roman" w:cs="Times New Roman"/>
          <w:sz w:val="24"/>
          <w:szCs w:val="24"/>
        </w:rPr>
        <w:t xml:space="preserve">any legal obligation to pay. Further, that the defendant had never acknowledged that it was liable for the outstanding balance of </w:t>
      </w:r>
      <w:r w:rsidR="000C77B6" w:rsidRPr="00BF100B">
        <w:rPr>
          <w:rFonts w:ascii="Times New Roman" w:hAnsi="Times New Roman" w:cs="Times New Roman"/>
          <w:sz w:val="24"/>
          <w:szCs w:val="24"/>
        </w:rPr>
        <w:t xml:space="preserve">             </w:t>
      </w:r>
      <w:r w:rsidR="002B5F37" w:rsidRPr="00BF100B">
        <w:rPr>
          <w:rFonts w:ascii="Times New Roman" w:hAnsi="Times New Roman" w:cs="Times New Roman"/>
          <w:sz w:val="24"/>
          <w:szCs w:val="24"/>
        </w:rPr>
        <w:t xml:space="preserve">UGX 65,527,150/ as had been alleged by DW1 and that the payment which was effected to the </w:t>
      </w:r>
      <w:r w:rsidR="002B5F37" w:rsidRPr="00BF100B">
        <w:rPr>
          <w:rFonts w:ascii="Times New Roman" w:hAnsi="Times New Roman" w:cs="Times New Roman"/>
          <w:sz w:val="24"/>
          <w:szCs w:val="24"/>
        </w:rPr>
        <w:lastRenderedPageBreak/>
        <w:t xml:space="preserve">plaintiffs was purely on ex-gratia basis and in final settlement of </w:t>
      </w:r>
      <w:r w:rsidR="007656F5" w:rsidRPr="00BF100B">
        <w:rPr>
          <w:rFonts w:ascii="Times New Roman" w:hAnsi="Times New Roman" w:cs="Times New Roman"/>
          <w:sz w:val="24"/>
          <w:szCs w:val="24"/>
        </w:rPr>
        <w:t xml:space="preserve">what was owing to </w:t>
      </w:r>
      <w:r w:rsidR="002B5F37" w:rsidRPr="00BF100B">
        <w:rPr>
          <w:rFonts w:ascii="Times New Roman" w:hAnsi="Times New Roman" w:cs="Times New Roman"/>
          <w:sz w:val="24"/>
          <w:szCs w:val="24"/>
        </w:rPr>
        <w:t xml:space="preserve">the said creditors. </w:t>
      </w:r>
    </w:p>
    <w:p w:rsidR="00BD515A" w:rsidRPr="00BF100B" w:rsidRDefault="002B5F3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It was DW1’s further testimony that on the 13</w:t>
      </w:r>
      <w:r w:rsidRPr="00BF100B">
        <w:rPr>
          <w:rFonts w:ascii="Times New Roman" w:hAnsi="Times New Roman" w:cs="Times New Roman"/>
          <w:sz w:val="24"/>
          <w:szCs w:val="24"/>
          <w:vertAlign w:val="superscript"/>
        </w:rPr>
        <w:t>th</w:t>
      </w:r>
      <w:r w:rsidRPr="00BF100B">
        <w:rPr>
          <w:rFonts w:ascii="Times New Roman" w:hAnsi="Times New Roman" w:cs="Times New Roman"/>
          <w:sz w:val="24"/>
          <w:szCs w:val="24"/>
        </w:rPr>
        <w:t xml:space="preserve"> March, 2003, the Attorney General clarified on the application of ex-gratia payments relating </w:t>
      </w:r>
      <w:r w:rsidR="000D7E71" w:rsidRPr="00BF100B">
        <w:rPr>
          <w:rFonts w:ascii="Times New Roman" w:hAnsi="Times New Roman" w:cs="Times New Roman"/>
          <w:sz w:val="24"/>
          <w:szCs w:val="24"/>
        </w:rPr>
        <w:t xml:space="preserve">to not only </w:t>
      </w:r>
      <w:r w:rsidR="007656F5" w:rsidRPr="00BF100B">
        <w:rPr>
          <w:rFonts w:ascii="Times New Roman" w:hAnsi="Times New Roman" w:cs="Times New Roman"/>
          <w:sz w:val="24"/>
          <w:szCs w:val="24"/>
        </w:rPr>
        <w:t xml:space="preserve">payments to </w:t>
      </w:r>
      <w:r w:rsidR="000D7E71" w:rsidRPr="00BF100B">
        <w:rPr>
          <w:rFonts w:ascii="Times New Roman" w:hAnsi="Times New Roman" w:cs="Times New Roman"/>
          <w:sz w:val="24"/>
          <w:szCs w:val="24"/>
        </w:rPr>
        <w:t xml:space="preserve">the plaintiffs but also of other liquidations that had been carried out </w:t>
      </w:r>
      <w:r w:rsidR="00F50356" w:rsidRPr="00BF100B">
        <w:rPr>
          <w:rFonts w:ascii="Times New Roman" w:hAnsi="Times New Roman" w:cs="Times New Roman"/>
          <w:sz w:val="24"/>
          <w:szCs w:val="24"/>
        </w:rPr>
        <w:t>and further advised on the percentage to be applied as ex-gratia payment, which communication superseded a</w:t>
      </w:r>
      <w:r w:rsidR="007656F5" w:rsidRPr="00BF100B">
        <w:rPr>
          <w:rFonts w:ascii="Times New Roman" w:hAnsi="Times New Roman" w:cs="Times New Roman"/>
          <w:sz w:val="24"/>
          <w:szCs w:val="24"/>
        </w:rPr>
        <w:t xml:space="preserve">ll </w:t>
      </w:r>
      <w:r w:rsidR="00F50356" w:rsidRPr="00BF100B">
        <w:rPr>
          <w:rFonts w:ascii="Times New Roman" w:hAnsi="Times New Roman" w:cs="Times New Roman"/>
          <w:sz w:val="24"/>
          <w:szCs w:val="24"/>
        </w:rPr>
        <w:t xml:space="preserve">earlier communications relating to creditors of liquidated enterprises. </w:t>
      </w:r>
    </w:p>
    <w:p w:rsidR="007D01BC" w:rsidRPr="00BF100B" w:rsidRDefault="00BD515A"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Further, that </w:t>
      </w:r>
      <w:r w:rsidR="0075630D" w:rsidRPr="00BF100B">
        <w:rPr>
          <w:rFonts w:ascii="Times New Roman" w:hAnsi="Times New Roman" w:cs="Times New Roman"/>
          <w:b/>
          <w:sz w:val="24"/>
          <w:szCs w:val="24"/>
        </w:rPr>
        <w:t>S</w:t>
      </w:r>
      <w:r w:rsidRPr="00BF100B">
        <w:rPr>
          <w:rFonts w:ascii="Times New Roman" w:hAnsi="Times New Roman" w:cs="Times New Roman"/>
          <w:b/>
          <w:sz w:val="24"/>
          <w:szCs w:val="24"/>
        </w:rPr>
        <w:t>ections 2</w:t>
      </w:r>
      <w:r w:rsidRPr="00BF100B">
        <w:rPr>
          <w:rFonts w:ascii="Times New Roman" w:hAnsi="Times New Roman" w:cs="Times New Roman"/>
          <w:sz w:val="24"/>
          <w:szCs w:val="24"/>
        </w:rPr>
        <w:t xml:space="preserve"> and </w:t>
      </w:r>
      <w:r w:rsidRPr="00BF100B">
        <w:rPr>
          <w:rFonts w:ascii="Times New Roman" w:hAnsi="Times New Roman" w:cs="Times New Roman"/>
          <w:b/>
          <w:sz w:val="24"/>
          <w:szCs w:val="24"/>
        </w:rPr>
        <w:t>34 of the PERD</w:t>
      </w:r>
      <w:r w:rsidRPr="00BF100B">
        <w:rPr>
          <w:rFonts w:ascii="Times New Roman" w:hAnsi="Times New Roman" w:cs="Times New Roman"/>
          <w:sz w:val="24"/>
          <w:szCs w:val="24"/>
        </w:rPr>
        <w:t xml:space="preserve"> </w:t>
      </w:r>
      <w:r w:rsidRPr="00BF100B">
        <w:rPr>
          <w:rFonts w:ascii="Times New Roman" w:hAnsi="Times New Roman" w:cs="Times New Roman"/>
          <w:b/>
          <w:sz w:val="24"/>
          <w:szCs w:val="24"/>
        </w:rPr>
        <w:t>Statute</w:t>
      </w:r>
      <w:r w:rsidRPr="00BF100B">
        <w:rPr>
          <w:rFonts w:ascii="Times New Roman" w:hAnsi="Times New Roman" w:cs="Times New Roman"/>
          <w:sz w:val="24"/>
          <w:szCs w:val="24"/>
        </w:rPr>
        <w:t xml:space="preserve"> </w:t>
      </w:r>
      <w:r w:rsidR="00553E30" w:rsidRPr="00BF100B">
        <w:rPr>
          <w:rFonts w:ascii="Times New Roman" w:hAnsi="Times New Roman" w:cs="Times New Roman"/>
          <w:sz w:val="24"/>
          <w:szCs w:val="24"/>
        </w:rPr>
        <w:t xml:space="preserve">as well as </w:t>
      </w:r>
      <w:r w:rsidR="000359B7" w:rsidRPr="00BF100B">
        <w:rPr>
          <w:rFonts w:ascii="Times New Roman" w:hAnsi="Times New Roman" w:cs="Times New Roman"/>
          <w:b/>
          <w:sz w:val="24"/>
          <w:szCs w:val="24"/>
        </w:rPr>
        <w:t>S</w:t>
      </w:r>
      <w:r w:rsidR="00553E30" w:rsidRPr="00BF100B">
        <w:rPr>
          <w:rFonts w:ascii="Times New Roman" w:hAnsi="Times New Roman" w:cs="Times New Roman"/>
          <w:b/>
          <w:sz w:val="24"/>
          <w:szCs w:val="24"/>
        </w:rPr>
        <w:t>ection 21</w:t>
      </w:r>
      <w:r w:rsidR="00553E30" w:rsidRPr="00BF100B">
        <w:rPr>
          <w:rFonts w:ascii="Times New Roman" w:hAnsi="Times New Roman" w:cs="Times New Roman"/>
          <w:sz w:val="24"/>
          <w:szCs w:val="24"/>
        </w:rPr>
        <w:t xml:space="preserve"> of the </w:t>
      </w:r>
      <w:r w:rsidR="00553E30" w:rsidRPr="00BF100B">
        <w:rPr>
          <w:rFonts w:ascii="Times New Roman" w:hAnsi="Times New Roman" w:cs="Times New Roman"/>
          <w:b/>
          <w:sz w:val="24"/>
          <w:szCs w:val="24"/>
        </w:rPr>
        <w:t>PERD (Amendment) Statute, 2000</w:t>
      </w:r>
      <w:r w:rsidR="00553E30" w:rsidRPr="00BF100B">
        <w:rPr>
          <w:rFonts w:ascii="Times New Roman" w:hAnsi="Times New Roman" w:cs="Times New Roman"/>
          <w:sz w:val="24"/>
          <w:szCs w:val="24"/>
        </w:rPr>
        <w:t xml:space="preserve">, were not applicable and did not entitle the plaintiffs to claim from the defendant. It was his contention that the plaintiffs claim was only payable in liquidation and the claim could only be made to the liquidators. </w:t>
      </w:r>
      <w:r w:rsidR="00EB6AC8" w:rsidRPr="00BF100B">
        <w:rPr>
          <w:rFonts w:ascii="Times New Roman" w:hAnsi="Times New Roman" w:cs="Times New Roman"/>
          <w:sz w:val="24"/>
          <w:szCs w:val="24"/>
        </w:rPr>
        <w:t>Further,</w:t>
      </w:r>
      <w:r w:rsidR="007656F5" w:rsidRPr="00BF100B">
        <w:rPr>
          <w:rFonts w:ascii="Times New Roman" w:hAnsi="Times New Roman" w:cs="Times New Roman"/>
          <w:sz w:val="24"/>
          <w:szCs w:val="24"/>
        </w:rPr>
        <w:t xml:space="preserve"> that upon the winding up of the public enterprises stated herein</w:t>
      </w:r>
      <w:r w:rsidR="00EB6AC8" w:rsidRPr="00BF100B">
        <w:rPr>
          <w:rFonts w:ascii="Times New Roman" w:hAnsi="Times New Roman" w:cs="Times New Roman"/>
          <w:sz w:val="24"/>
          <w:szCs w:val="24"/>
        </w:rPr>
        <w:t xml:space="preserve">, no surplus funds were available for payment into the </w:t>
      </w:r>
      <w:r w:rsidR="007656F5" w:rsidRPr="00BF100B">
        <w:rPr>
          <w:rFonts w:ascii="Times New Roman" w:hAnsi="Times New Roman" w:cs="Times New Roman"/>
          <w:sz w:val="24"/>
          <w:szCs w:val="24"/>
        </w:rPr>
        <w:t>l</w:t>
      </w:r>
      <w:r w:rsidR="00EB6AC8" w:rsidRPr="00BF100B">
        <w:rPr>
          <w:rFonts w:ascii="Times New Roman" w:hAnsi="Times New Roman" w:cs="Times New Roman"/>
          <w:sz w:val="24"/>
          <w:szCs w:val="24"/>
        </w:rPr>
        <w:t>iquidation</w:t>
      </w:r>
      <w:r w:rsidR="007656F5" w:rsidRPr="00BF100B">
        <w:rPr>
          <w:rFonts w:ascii="Times New Roman" w:hAnsi="Times New Roman" w:cs="Times New Roman"/>
          <w:sz w:val="24"/>
          <w:szCs w:val="24"/>
        </w:rPr>
        <w:t xml:space="preserve"> account. </w:t>
      </w:r>
      <w:r w:rsidR="00B5446F" w:rsidRPr="00BF100B">
        <w:rPr>
          <w:rFonts w:ascii="Times New Roman" w:hAnsi="Times New Roman" w:cs="Times New Roman"/>
          <w:sz w:val="24"/>
          <w:szCs w:val="24"/>
        </w:rPr>
        <w:t>It was his contention that no funds were ever deposited into the Divesture Account from the proceeds in the liquidation of the compan</w:t>
      </w:r>
      <w:r w:rsidR="007D01BC" w:rsidRPr="00BF100B">
        <w:rPr>
          <w:rFonts w:ascii="Times New Roman" w:hAnsi="Times New Roman" w:cs="Times New Roman"/>
          <w:sz w:val="24"/>
          <w:szCs w:val="24"/>
        </w:rPr>
        <w:t xml:space="preserve">ies stated herein. He further stated that the Development Credit Agreement was not incorporated into the PERD Statute and that even if it </w:t>
      </w:r>
      <w:proofErr w:type="gramStart"/>
      <w:r w:rsidR="007D01BC" w:rsidRPr="00BF100B">
        <w:rPr>
          <w:rFonts w:ascii="Times New Roman" w:hAnsi="Times New Roman" w:cs="Times New Roman"/>
          <w:sz w:val="24"/>
          <w:szCs w:val="24"/>
        </w:rPr>
        <w:t>were,</w:t>
      </w:r>
      <w:proofErr w:type="gramEnd"/>
      <w:r w:rsidR="007D01BC" w:rsidRPr="00BF100B">
        <w:rPr>
          <w:rFonts w:ascii="Times New Roman" w:hAnsi="Times New Roman" w:cs="Times New Roman"/>
          <w:sz w:val="24"/>
          <w:szCs w:val="24"/>
        </w:rPr>
        <w:t xml:space="preserve"> still the defendant was n</w:t>
      </w:r>
      <w:r w:rsidR="007656F5" w:rsidRPr="00BF100B">
        <w:rPr>
          <w:rFonts w:ascii="Times New Roman" w:hAnsi="Times New Roman" w:cs="Times New Roman"/>
          <w:sz w:val="24"/>
          <w:szCs w:val="24"/>
        </w:rPr>
        <w:t>ot liable to pay the plaintiffs’</w:t>
      </w:r>
      <w:r w:rsidR="007D01BC" w:rsidRPr="00BF100B">
        <w:rPr>
          <w:rFonts w:ascii="Times New Roman" w:hAnsi="Times New Roman" w:cs="Times New Roman"/>
          <w:sz w:val="24"/>
          <w:szCs w:val="24"/>
        </w:rPr>
        <w:t xml:space="preserve"> claim</w:t>
      </w:r>
      <w:r w:rsidR="007656F5" w:rsidRPr="00BF100B">
        <w:rPr>
          <w:rFonts w:ascii="Times New Roman" w:hAnsi="Times New Roman" w:cs="Times New Roman"/>
          <w:sz w:val="24"/>
          <w:szCs w:val="24"/>
        </w:rPr>
        <w:t>s</w:t>
      </w:r>
      <w:r w:rsidR="007D01BC" w:rsidRPr="00BF100B">
        <w:rPr>
          <w:rFonts w:ascii="Times New Roman" w:hAnsi="Times New Roman" w:cs="Times New Roman"/>
          <w:sz w:val="24"/>
          <w:szCs w:val="24"/>
        </w:rPr>
        <w:t xml:space="preserve">. </w:t>
      </w:r>
    </w:p>
    <w:p w:rsidR="00666F20"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4460D9" w:rsidRPr="00BF100B">
        <w:rPr>
          <w:rFonts w:ascii="Times New Roman" w:hAnsi="Times New Roman" w:cs="Times New Roman"/>
          <w:sz w:val="24"/>
          <w:szCs w:val="24"/>
        </w:rPr>
        <w:t xml:space="preserve"> </w:t>
      </w:r>
      <w:r w:rsidR="007D01BC" w:rsidRPr="00BF100B">
        <w:rPr>
          <w:rFonts w:ascii="Times New Roman" w:hAnsi="Times New Roman" w:cs="Times New Roman"/>
          <w:sz w:val="24"/>
          <w:szCs w:val="24"/>
        </w:rPr>
        <w:t xml:space="preserve">for the plaintiffs and the defendant filed written submissions in support of and in opposition of the claim respectively. </w:t>
      </w:r>
      <w:r w:rsidR="00666F20" w:rsidRPr="00BF100B">
        <w:rPr>
          <w:rFonts w:ascii="Times New Roman" w:hAnsi="Times New Roman" w:cs="Times New Roman"/>
          <w:sz w:val="24"/>
          <w:szCs w:val="24"/>
        </w:rPr>
        <w:t xml:space="preserve"> </w:t>
      </w:r>
    </w:p>
    <w:p w:rsidR="004B2D67"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4460D9" w:rsidRPr="00BF100B">
        <w:rPr>
          <w:rFonts w:ascii="Times New Roman" w:hAnsi="Times New Roman" w:cs="Times New Roman"/>
          <w:sz w:val="24"/>
          <w:szCs w:val="24"/>
        </w:rPr>
        <w:t xml:space="preserve"> </w:t>
      </w:r>
      <w:r w:rsidR="00666F20" w:rsidRPr="00BF100B">
        <w:rPr>
          <w:rFonts w:ascii="Times New Roman" w:hAnsi="Times New Roman" w:cs="Times New Roman"/>
          <w:sz w:val="24"/>
          <w:szCs w:val="24"/>
        </w:rPr>
        <w:t>for the 24</w:t>
      </w:r>
      <w:r w:rsidR="00666F20" w:rsidRPr="00BF100B">
        <w:rPr>
          <w:rFonts w:ascii="Times New Roman" w:hAnsi="Times New Roman" w:cs="Times New Roman"/>
          <w:sz w:val="24"/>
          <w:szCs w:val="24"/>
          <w:vertAlign w:val="superscript"/>
        </w:rPr>
        <w:t>th</w:t>
      </w:r>
      <w:r w:rsidR="00666F20" w:rsidRPr="00BF100B">
        <w:rPr>
          <w:rFonts w:ascii="Times New Roman" w:hAnsi="Times New Roman" w:cs="Times New Roman"/>
          <w:sz w:val="24"/>
          <w:szCs w:val="24"/>
        </w:rPr>
        <w:t xml:space="preserve"> plaintiff submitted that </w:t>
      </w:r>
      <w:r w:rsidR="007656F5" w:rsidRPr="00BF100B">
        <w:rPr>
          <w:rFonts w:ascii="Times New Roman" w:hAnsi="Times New Roman" w:cs="Times New Roman"/>
          <w:sz w:val="24"/>
          <w:szCs w:val="24"/>
        </w:rPr>
        <w:t xml:space="preserve">the </w:t>
      </w:r>
      <w:r w:rsidR="007656F5" w:rsidRPr="00BF100B">
        <w:rPr>
          <w:rFonts w:ascii="Times New Roman" w:hAnsi="Times New Roman" w:cs="Times New Roman"/>
          <w:b/>
          <w:sz w:val="24"/>
          <w:szCs w:val="24"/>
        </w:rPr>
        <w:t xml:space="preserve">Companies </w:t>
      </w:r>
      <w:r w:rsidR="00E818A4" w:rsidRPr="00BF100B">
        <w:rPr>
          <w:rFonts w:ascii="Times New Roman" w:hAnsi="Times New Roman" w:cs="Times New Roman"/>
          <w:b/>
          <w:sz w:val="24"/>
          <w:szCs w:val="24"/>
        </w:rPr>
        <w:t xml:space="preserve">Act </w:t>
      </w:r>
      <w:r w:rsidR="007656F5" w:rsidRPr="00BF100B">
        <w:rPr>
          <w:rFonts w:ascii="Times New Roman" w:hAnsi="Times New Roman" w:cs="Times New Roman"/>
          <w:b/>
          <w:sz w:val="24"/>
          <w:szCs w:val="24"/>
        </w:rPr>
        <w:t>Cap</w:t>
      </w:r>
      <w:r w:rsidR="00B970FD" w:rsidRPr="00BF100B">
        <w:rPr>
          <w:rFonts w:ascii="Times New Roman" w:hAnsi="Times New Roman" w:cs="Times New Roman"/>
          <w:b/>
          <w:sz w:val="24"/>
          <w:szCs w:val="24"/>
        </w:rPr>
        <w:t xml:space="preserve"> 110</w:t>
      </w:r>
      <w:r w:rsidR="00B970FD" w:rsidRPr="00BF100B">
        <w:rPr>
          <w:rFonts w:ascii="Times New Roman" w:hAnsi="Times New Roman" w:cs="Times New Roman"/>
          <w:sz w:val="24"/>
          <w:szCs w:val="24"/>
        </w:rPr>
        <w:t xml:space="preserve">, and the </w:t>
      </w:r>
      <w:r w:rsidR="00B970FD" w:rsidRPr="00BF100B">
        <w:rPr>
          <w:rFonts w:ascii="Times New Roman" w:hAnsi="Times New Roman" w:cs="Times New Roman"/>
          <w:b/>
          <w:sz w:val="24"/>
          <w:szCs w:val="24"/>
        </w:rPr>
        <w:t>PERD Statute</w:t>
      </w:r>
      <w:r w:rsidR="00B970FD" w:rsidRPr="00BF100B">
        <w:rPr>
          <w:rFonts w:ascii="Times New Roman" w:hAnsi="Times New Roman" w:cs="Times New Roman"/>
          <w:sz w:val="24"/>
          <w:szCs w:val="24"/>
        </w:rPr>
        <w:t xml:space="preserve"> provided for both voluntary and involuntary winding up and UTC was wound up voluntarily by resolution of the directors. </w:t>
      </w:r>
      <w:r w:rsidRPr="00BF100B">
        <w:rPr>
          <w:rFonts w:ascii="Times New Roman" w:hAnsi="Times New Roman" w:cs="Times New Roman"/>
          <w:sz w:val="24"/>
          <w:szCs w:val="24"/>
        </w:rPr>
        <w:t>Counsel</w:t>
      </w:r>
      <w:r w:rsidR="004460D9" w:rsidRPr="00BF100B">
        <w:rPr>
          <w:rFonts w:ascii="Times New Roman" w:hAnsi="Times New Roman" w:cs="Times New Roman"/>
          <w:sz w:val="24"/>
          <w:szCs w:val="24"/>
        </w:rPr>
        <w:t xml:space="preserve"> </w:t>
      </w:r>
      <w:r w:rsidR="00B970FD" w:rsidRPr="00BF100B">
        <w:rPr>
          <w:rFonts w:ascii="Times New Roman" w:hAnsi="Times New Roman" w:cs="Times New Roman"/>
          <w:sz w:val="24"/>
          <w:szCs w:val="24"/>
        </w:rPr>
        <w:t xml:space="preserve">was of the view that the defendant </w:t>
      </w:r>
      <w:r w:rsidR="008B0E30" w:rsidRPr="00BF100B">
        <w:rPr>
          <w:rFonts w:ascii="Times New Roman" w:hAnsi="Times New Roman" w:cs="Times New Roman"/>
          <w:sz w:val="24"/>
          <w:szCs w:val="24"/>
        </w:rPr>
        <w:t xml:space="preserve">could not allege that the company was not solvent </w:t>
      </w:r>
      <w:r w:rsidR="00442E1D" w:rsidRPr="00BF100B">
        <w:rPr>
          <w:rFonts w:ascii="Times New Roman" w:hAnsi="Times New Roman" w:cs="Times New Roman"/>
          <w:sz w:val="24"/>
          <w:szCs w:val="24"/>
        </w:rPr>
        <w:t xml:space="preserve">and that if the company was insolvent, the winding up should not have been voluntary. </w:t>
      </w:r>
      <w:r w:rsidRPr="00BF100B">
        <w:rPr>
          <w:rFonts w:ascii="Times New Roman" w:hAnsi="Times New Roman" w:cs="Times New Roman"/>
          <w:sz w:val="24"/>
          <w:szCs w:val="24"/>
        </w:rPr>
        <w:t>Counsel</w:t>
      </w:r>
      <w:r w:rsidR="004460D9" w:rsidRPr="00BF100B">
        <w:rPr>
          <w:rFonts w:ascii="Times New Roman" w:hAnsi="Times New Roman" w:cs="Times New Roman"/>
          <w:sz w:val="24"/>
          <w:szCs w:val="24"/>
        </w:rPr>
        <w:t xml:space="preserve"> </w:t>
      </w:r>
      <w:r w:rsidR="00442E1D" w:rsidRPr="00BF100B">
        <w:rPr>
          <w:rFonts w:ascii="Times New Roman" w:hAnsi="Times New Roman" w:cs="Times New Roman"/>
          <w:sz w:val="24"/>
          <w:szCs w:val="24"/>
        </w:rPr>
        <w:t xml:space="preserve">made reference to the evidence of DW1 and further submitted that for the said witness to say that the Company was voluntarily wound up under the Companies Act but the </w:t>
      </w:r>
      <w:r w:rsidR="00442E1D" w:rsidRPr="00BF100B">
        <w:rPr>
          <w:rFonts w:ascii="Times New Roman" w:hAnsi="Times New Roman" w:cs="Times New Roman"/>
          <w:b/>
          <w:sz w:val="24"/>
          <w:szCs w:val="24"/>
        </w:rPr>
        <w:t>PERD Statute</w:t>
      </w:r>
      <w:r w:rsidR="00442E1D" w:rsidRPr="00BF100B">
        <w:rPr>
          <w:rFonts w:ascii="Times New Roman" w:hAnsi="Times New Roman" w:cs="Times New Roman"/>
          <w:sz w:val="24"/>
          <w:szCs w:val="24"/>
        </w:rPr>
        <w:t xml:space="preserve"> was used not to pay </w:t>
      </w:r>
      <w:proofErr w:type="gramStart"/>
      <w:r w:rsidR="00442E1D" w:rsidRPr="00BF100B">
        <w:rPr>
          <w:rFonts w:ascii="Times New Roman" w:hAnsi="Times New Roman" w:cs="Times New Roman"/>
          <w:sz w:val="24"/>
          <w:szCs w:val="24"/>
        </w:rPr>
        <w:t>creditors</w:t>
      </w:r>
      <w:r w:rsidR="004460D9" w:rsidRPr="00BF100B">
        <w:rPr>
          <w:rFonts w:ascii="Times New Roman" w:hAnsi="Times New Roman" w:cs="Times New Roman"/>
          <w:sz w:val="24"/>
          <w:szCs w:val="24"/>
        </w:rPr>
        <w:t xml:space="preserve">, </w:t>
      </w:r>
      <w:r w:rsidR="007656F5" w:rsidRPr="00BF100B">
        <w:rPr>
          <w:rFonts w:ascii="Times New Roman" w:hAnsi="Times New Roman" w:cs="Times New Roman"/>
          <w:sz w:val="24"/>
          <w:szCs w:val="24"/>
        </w:rPr>
        <w:t>that</w:t>
      </w:r>
      <w:proofErr w:type="gramEnd"/>
      <w:r w:rsidR="00442E1D" w:rsidRPr="00BF100B">
        <w:rPr>
          <w:rFonts w:ascii="Times New Roman" w:hAnsi="Times New Roman" w:cs="Times New Roman"/>
          <w:sz w:val="24"/>
          <w:szCs w:val="24"/>
        </w:rPr>
        <w:t xml:space="preserve"> would mean that the latter Act was enacted with the view to defraud credit</w:t>
      </w:r>
      <w:r w:rsidR="007656F5" w:rsidRPr="00BF100B">
        <w:rPr>
          <w:rFonts w:ascii="Times New Roman" w:hAnsi="Times New Roman" w:cs="Times New Roman"/>
          <w:sz w:val="24"/>
          <w:szCs w:val="24"/>
        </w:rPr>
        <w:t>ors</w:t>
      </w:r>
      <w:r w:rsidR="00442E1D" w:rsidRPr="00BF100B">
        <w:rPr>
          <w:rFonts w:ascii="Times New Roman" w:hAnsi="Times New Roman" w:cs="Times New Roman"/>
          <w:sz w:val="24"/>
          <w:szCs w:val="24"/>
        </w:rPr>
        <w:t xml:space="preserve"> of public enterprises. </w:t>
      </w:r>
      <w:r w:rsidRPr="00BF100B">
        <w:rPr>
          <w:rFonts w:ascii="Times New Roman" w:hAnsi="Times New Roman" w:cs="Times New Roman"/>
          <w:sz w:val="24"/>
          <w:szCs w:val="24"/>
        </w:rPr>
        <w:t>Counsel</w:t>
      </w:r>
      <w:r w:rsidR="004460D9" w:rsidRPr="00BF100B">
        <w:rPr>
          <w:rFonts w:ascii="Times New Roman" w:hAnsi="Times New Roman" w:cs="Times New Roman"/>
          <w:sz w:val="24"/>
          <w:szCs w:val="24"/>
        </w:rPr>
        <w:t xml:space="preserve"> </w:t>
      </w:r>
      <w:r w:rsidR="00442E1D" w:rsidRPr="00BF100B">
        <w:rPr>
          <w:rFonts w:ascii="Times New Roman" w:hAnsi="Times New Roman" w:cs="Times New Roman"/>
          <w:sz w:val="24"/>
          <w:szCs w:val="24"/>
        </w:rPr>
        <w:t xml:space="preserve">further submitted that the </w:t>
      </w:r>
      <w:r w:rsidR="00442E1D" w:rsidRPr="00BF100B">
        <w:rPr>
          <w:rFonts w:ascii="Times New Roman" w:hAnsi="Times New Roman" w:cs="Times New Roman"/>
          <w:b/>
          <w:sz w:val="24"/>
          <w:szCs w:val="24"/>
        </w:rPr>
        <w:t>PERD Statute</w:t>
      </w:r>
      <w:r w:rsidR="00442E1D" w:rsidRPr="00BF100B">
        <w:rPr>
          <w:rFonts w:ascii="Times New Roman" w:hAnsi="Times New Roman" w:cs="Times New Roman"/>
          <w:sz w:val="24"/>
          <w:szCs w:val="24"/>
        </w:rPr>
        <w:t xml:space="preserve"> </w:t>
      </w:r>
      <w:r w:rsidR="00ED41DE" w:rsidRPr="00BF100B">
        <w:rPr>
          <w:rFonts w:ascii="Times New Roman" w:hAnsi="Times New Roman" w:cs="Times New Roman"/>
          <w:sz w:val="24"/>
          <w:szCs w:val="24"/>
        </w:rPr>
        <w:t xml:space="preserve">was enacted with a view of addressing the shortfalls the Government would encounter when voluntarily winding up a company under the Companies Act. </w:t>
      </w:r>
      <w:r w:rsidRPr="00BF100B">
        <w:rPr>
          <w:rFonts w:ascii="Times New Roman" w:hAnsi="Times New Roman" w:cs="Times New Roman"/>
          <w:sz w:val="24"/>
          <w:szCs w:val="24"/>
        </w:rPr>
        <w:t>Counsel</w:t>
      </w:r>
      <w:r w:rsidR="0046659A" w:rsidRPr="00BF100B">
        <w:rPr>
          <w:rFonts w:ascii="Times New Roman" w:hAnsi="Times New Roman" w:cs="Times New Roman"/>
          <w:sz w:val="24"/>
          <w:szCs w:val="24"/>
        </w:rPr>
        <w:t xml:space="preserve"> </w:t>
      </w:r>
      <w:r w:rsidR="00ED41DE" w:rsidRPr="00BF100B">
        <w:rPr>
          <w:rFonts w:ascii="Times New Roman" w:hAnsi="Times New Roman" w:cs="Times New Roman"/>
          <w:sz w:val="24"/>
          <w:szCs w:val="24"/>
        </w:rPr>
        <w:t xml:space="preserve">relied on </w:t>
      </w:r>
      <w:proofErr w:type="spellStart"/>
      <w:r w:rsidR="0046659A" w:rsidRPr="00BF100B">
        <w:rPr>
          <w:rFonts w:ascii="Times New Roman" w:hAnsi="Times New Roman" w:cs="Times New Roman"/>
          <w:b/>
          <w:i/>
          <w:sz w:val="24"/>
          <w:szCs w:val="24"/>
        </w:rPr>
        <w:t>Kalungi</w:t>
      </w:r>
      <w:proofErr w:type="spellEnd"/>
      <w:r w:rsidR="0046659A" w:rsidRPr="00BF100B">
        <w:rPr>
          <w:rFonts w:ascii="Times New Roman" w:hAnsi="Times New Roman" w:cs="Times New Roman"/>
          <w:b/>
          <w:i/>
          <w:sz w:val="24"/>
          <w:szCs w:val="24"/>
        </w:rPr>
        <w:t xml:space="preserve"> and 62 others </w:t>
      </w:r>
      <w:proofErr w:type="spellStart"/>
      <w:r w:rsidR="0046659A" w:rsidRPr="00BF100B">
        <w:rPr>
          <w:rFonts w:ascii="Times New Roman" w:hAnsi="Times New Roman" w:cs="Times New Roman"/>
          <w:b/>
          <w:i/>
          <w:sz w:val="24"/>
          <w:szCs w:val="24"/>
        </w:rPr>
        <w:t>V</w:t>
      </w:r>
      <w:r w:rsidR="00ED41DE" w:rsidRPr="00BF100B">
        <w:rPr>
          <w:rFonts w:ascii="Times New Roman" w:hAnsi="Times New Roman" w:cs="Times New Roman"/>
          <w:b/>
          <w:i/>
          <w:sz w:val="24"/>
          <w:szCs w:val="24"/>
        </w:rPr>
        <w:t>s</w:t>
      </w:r>
      <w:proofErr w:type="spellEnd"/>
      <w:r w:rsidR="00ED41DE" w:rsidRPr="00BF100B">
        <w:rPr>
          <w:rFonts w:ascii="Times New Roman" w:hAnsi="Times New Roman" w:cs="Times New Roman"/>
          <w:b/>
          <w:i/>
          <w:sz w:val="24"/>
          <w:szCs w:val="24"/>
        </w:rPr>
        <w:t xml:space="preserve"> Attorney General, Court of Appeal Civil </w:t>
      </w:r>
      <w:r w:rsidR="00ED41DE" w:rsidRPr="00BF100B">
        <w:rPr>
          <w:rFonts w:ascii="Times New Roman" w:hAnsi="Times New Roman" w:cs="Times New Roman"/>
          <w:b/>
          <w:i/>
          <w:sz w:val="24"/>
          <w:szCs w:val="24"/>
        </w:rPr>
        <w:lastRenderedPageBreak/>
        <w:t>Appeal No.76 of 2011,</w:t>
      </w:r>
      <w:r w:rsidR="00ED41DE" w:rsidRPr="00BF100B">
        <w:rPr>
          <w:rFonts w:ascii="Times New Roman" w:hAnsi="Times New Roman" w:cs="Times New Roman"/>
          <w:sz w:val="24"/>
          <w:szCs w:val="24"/>
        </w:rPr>
        <w:t xml:space="preserve"> where it was held that the Government could use budgetary contributions to pay creditors. </w:t>
      </w:r>
    </w:p>
    <w:p w:rsidR="00ED41DE"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46659A" w:rsidRPr="00BF100B">
        <w:rPr>
          <w:rFonts w:ascii="Times New Roman" w:hAnsi="Times New Roman" w:cs="Times New Roman"/>
          <w:sz w:val="24"/>
          <w:szCs w:val="24"/>
        </w:rPr>
        <w:t xml:space="preserve"> </w:t>
      </w:r>
      <w:r w:rsidR="00B43864" w:rsidRPr="00BF100B">
        <w:rPr>
          <w:rFonts w:ascii="Times New Roman" w:hAnsi="Times New Roman" w:cs="Times New Roman"/>
          <w:sz w:val="24"/>
          <w:szCs w:val="24"/>
        </w:rPr>
        <w:t>for the 1</w:t>
      </w:r>
      <w:r w:rsidR="00B43864" w:rsidRPr="00BF100B">
        <w:rPr>
          <w:rFonts w:ascii="Times New Roman" w:hAnsi="Times New Roman" w:cs="Times New Roman"/>
          <w:sz w:val="24"/>
          <w:szCs w:val="24"/>
          <w:vertAlign w:val="superscript"/>
        </w:rPr>
        <w:t>st</w:t>
      </w:r>
      <w:r w:rsidR="00B43864" w:rsidRPr="00BF100B">
        <w:rPr>
          <w:rFonts w:ascii="Times New Roman" w:hAnsi="Times New Roman" w:cs="Times New Roman"/>
          <w:sz w:val="24"/>
          <w:szCs w:val="24"/>
        </w:rPr>
        <w:t xml:space="preserve"> to the 24</w:t>
      </w:r>
      <w:r w:rsidR="00B43864" w:rsidRPr="00BF100B">
        <w:rPr>
          <w:rFonts w:ascii="Times New Roman" w:hAnsi="Times New Roman" w:cs="Times New Roman"/>
          <w:sz w:val="24"/>
          <w:szCs w:val="24"/>
          <w:vertAlign w:val="superscript"/>
        </w:rPr>
        <w:t>th</w:t>
      </w:r>
      <w:r w:rsidR="00B43864" w:rsidRPr="00BF100B">
        <w:rPr>
          <w:rFonts w:ascii="Times New Roman" w:hAnsi="Times New Roman" w:cs="Times New Roman"/>
          <w:sz w:val="24"/>
          <w:szCs w:val="24"/>
        </w:rPr>
        <w:t xml:space="preserve"> plaintiffs submitted that</w:t>
      </w:r>
      <w:r w:rsidR="00F66CE6" w:rsidRPr="00BF100B">
        <w:rPr>
          <w:rFonts w:ascii="Times New Roman" w:hAnsi="Times New Roman" w:cs="Times New Roman"/>
          <w:sz w:val="24"/>
          <w:szCs w:val="24"/>
        </w:rPr>
        <w:t xml:space="preserve"> the Companies in issue herein were goi</w:t>
      </w:r>
      <w:r w:rsidR="00CE25B2" w:rsidRPr="00BF100B">
        <w:rPr>
          <w:rFonts w:ascii="Times New Roman" w:hAnsi="Times New Roman" w:cs="Times New Roman"/>
          <w:sz w:val="24"/>
          <w:szCs w:val="24"/>
        </w:rPr>
        <w:t>ng concerns but were divested through</w:t>
      </w:r>
      <w:r w:rsidR="00F66CE6" w:rsidRPr="00BF100B">
        <w:rPr>
          <w:rFonts w:ascii="Times New Roman" w:hAnsi="Times New Roman" w:cs="Times New Roman"/>
          <w:sz w:val="24"/>
          <w:szCs w:val="24"/>
        </w:rPr>
        <w:t xml:space="preserve"> liquidation under the PERD Statute. </w:t>
      </w:r>
      <w:r w:rsidRPr="00BF100B">
        <w:rPr>
          <w:rFonts w:ascii="Times New Roman" w:hAnsi="Times New Roman" w:cs="Times New Roman"/>
          <w:sz w:val="24"/>
          <w:szCs w:val="24"/>
        </w:rPr>
        <w:t>Counsel</w:t>
      </w:r>
      <w:r w:rsidR="0046659A" w:rsidRPr="00BF100B">
        <w:rPr>
          <w:rFonts w:ascii="Times New Roman" w:hAnsi="Times New Roman" w:cs="Times New Roman"/>
          <w:sz w:val="24"/>
          <w:szCs w:val="24"/>
        </w:rPr>
        <w:t xml:space="preserve"> </w:t>
      </w:r>
      <w:r w:rsidR="00F66CE6" w:rsidRPr="00BF100B">
        <w:rPr>
          <w:rFonts w:ascii="Times New Roman" w:hAnsi="Times New Roman" w:cs="Times New Roman"/>
          <w:sz w:val="24"/>
          <w:szCs w:val="24"/>
        </w:rPr>
        <w:t xml:space="preserve">indicated that no Certificate of Solvency </w:t>
      </w:r>
      <w:r w:rsidR="00B31608" w:rsidRPr="00BF100B">
        <w:rPr>
          <w:rFonts w:ascii="Times New Roman" w:hAnsi="Times New Roman" w:cs="Times New Roman"/>
          <w:sz w:val="24"/>
          <w:szCs w:val="24"/>
        </w:rPr>
        <w:t>was filed</w:t>
      </w:r>
      <w:r w:rsidR="00F66CE6" w:rsidRPr="00BF100B">
        <w:rPr>
          <w:rFonts w:ascii="Times New Roman" w:hAnsi="Times New Roman" w:cs="Times New Roman"/>
          <w:sz w:val="24"/>
          <w:szCs w:val="24"/>
        </w:rPr>
        <w:t xml:space="preserve"> by the shareholders as was required under the Companies Act, and the plaintiffs</w:t>
      </w:r>
      <w:r w:rsidR="00B31608" w:rsidRPr="00BF100B">
        <w:rPr>
          <w:rFonts w:ascii="Times New Roman" w:hAnsi="Times New Roman" w:cs="Times New Roman"/>
          <w:sz w:val="24"/>
          <w:szCs w:val="24"/>
        </w:rPr>
        <w:t xml:space="preserve"> </w:t>
      </w:r>
      <w:r w:rsidR="00F66CE6" w:rsidRPr="00BF100B">
        <w:rPr>
          <w:rFonts w:ascii="Times New Roman" w:hAnsi="Times New Roman" w:cs="Times New Roman"/>
          <w:sz w:val="24"/>
          <w:szCs w:val="24"/>
        </w:rPr>
        <w:t>have been left unpaid for over 22 years</w:t>
      </w:r>
      <w:r w:rsidR="003D5937" w:rsidRPr="00BF100B">
        <w:rPr>
          <w:rFonts w:ascii="Times New Roman" w:hAnsi="Times New Roman" w:cs="Times New Roman"/>
          <w:sz w:val="24"/>
          <w:szCs w:val="24"/>
        </w:rPr>
        <w:t>.</w:t>
      </w:r>
    </w:p>
    <w:p w:rsidR="003D5937" w:rsidRPr="00BF100B" w:rsidRDefault="003D593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Further, that </w:t>
      </w:r>
      <w:r w:rsidR="00B31608" w:rsidRPr="00BF100B">
        <w:rPr>
          <w:rFonts w:ascii="Times New Roman" w:hAnsi="Times New Roman" w:cs="Times New Roman"/>
          <w:sz w:val="24"/>
          <w:szCs w:val="24"/>
        </w:rPr>
        <w:t xml:space="preserve">the Development Credit Agreement was incorporated by reference into the </w:t>
      </w:r>
      <w:r w:rsidR="00B31608" w:rsidRPr="00BF100B">
        <w:rPr>
          <w:rFonts w:ascii="Times New Roman" w:hAnsi="Times New Roman" w:cs="Times New Roman"/>
          <w:b/>
          <w:sz w:val="24"/>
          <w:szCs w:val="24"/>
        </w:rPr>
        <w:t>PERD Statute</w:t>
      </w:r>
      <w:r w:rsidR="00B31608" w:rsidRPr="00BF100B">
        <w:rPr>
          <w:rFonts w:ascii="Times New Roman" w:hAnsi="Times New Roman" w:cs="Times New Roman"/>
          <w:sz w:val="24"/>
          <w:szCs w:val="24"/>
        </w:rPr>
        <w:t xml:space="preserve">. It was counsel’s submission that the duty of the Divesture Reform and Implementation Committee (DRIC) was to estimate the net liabilities likely to arise from the mode of Divesture and seek for budgetary support from the relevant authority, deposit money into the Divesture Account and then pay the creditors. </w:t>
      </w:r>
    </w:p>
    <w:p w:rsidR="002711AA"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FB2BAC" w:rsidRPr="00BF100B">
        <w:rPr>
          <w:rFonts w:ascii="Times New Roman" w:hAnsi="Times New Roman" w:cs="Times New Roman"/>
          <w:sz w:val="24"/>
          <w:szCs w:val="24"/>
        </w:rPr>
        <w:t xml:space="preserve">further submitted that there were funds in the Divesture Account and under the PERD (Amendment) </w:t>
      </w:r>
      <w:proofErr w:type="gramStart"/>
      <w:r w:rsidR="00FB2BAC" w:rsidRPr="00BF100B">
        <w:rPr>
          <w:rFonts w:ascii="Times New Roman" w:hAnsi="Times New Roman" w:cs="Times New Roman"/>
          <w:sz w:val="24"/>
          <w:szCs w:val="24"/>
        </w:rPr>
        <w:t>Act,</w:t>
      </w:r>
      <w:proofErr w:type="gramEnd"/>
      <w:r w:rsidR="00FB2BAC" w:rsidRPr="00BF100B">
        <w:rPr>
          <w:rFonts w:ascii="Times New Roman" w:hAnsi="Times New Roman" w:cs="Times New Roman"/>
          <w:sz w:val="24"/>
          <w:szCs w:val="24"/>
        </w:rPr>
        <w:t xml:space="preserve"> the Minister of Finance was obligated to use proceeds of divesture in the Divesture Account to meet the liabilities of public enterprises. </w:t>
      </w:r>
    </w:p>
    <w:p w:rsidR="007D74AD" w:rsidRPr="00BF100B" w:rsidRDefault="002711AA"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reply, </w:t>
      </w:r>
      <w:r w:rsidR="003E2098"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defendant submitted that</w:t>
      </w:r>
      <w:r w:rsidR="00BA7907" w:rsidRPr="00BF100B">
        <w:rPr>
          <w:rFonts w:ascii="Times New Roman" w:hAnsi="Times New Roman" w:cs="Times New Roman"/>
          <w:sz w:val="24"/>
          <w:szCs w:val="24"/>
        </w:rPr>
        <w:t xml:space="preserve"> there was no single provision in the </w:t>
      </w:r>
      <w:r w:rsidR="00FF562A" w:rsidRPr="00BF100B">
        <w:rPr>
          <w:rFonts w:ascii="Times New Roman" w:hAnsi="Times New Roman" w:cs="Times New Roman"/>
          <w:sz w:val="24"/>
          <w:szCs w:val="24"/>
        </w:rPr>
        <w:t>PERD S</w:t>
      </w:r>
      <w:r w:rsidR="007656F5" w:rsidRPr="00BF100B">
        <w:rPr>
          <w:rFonts w:ascii="Times New Roman" w:hAnsi="Times New Roman" w:cs="Times New Roman"/>
          <w:sz w:val="24"/>
          <w:szCs w:val="24"/>
        </w:rPr>
        <w:t>tatute that indicated that</w:t>
      </w:r>
      <w:r w:rsidR="00FF562A" w:rsidRPr="00BF100B">
        <w:rPr>
          <w:rFonts w:ascii="Times New Roman" w:hAnsi="Times New Roman" w:cs="Times New Roman"/>
          <w:sz w:val="24"/>
          <w:szCs w:val="24"/>
        </w:rPr>
        <w:t xml:space="preserve"> the defendant had a statutory duty to pay the plain</w:t>
      </w:r>
      <w:r w:rsidR="004A5ACB" w:rsidRPr="00BF100B">
        <w:rPr>
          <w:rFonts w:ascii="Times New Roman" w:hAnsi="Times New Roman" w:cs="Times New Roman"/>
          <w:sz w:val="24"/>
          <w:szCs w:val="24"/>
        </w:rPr>
        <w:t>tiffs as had been claimed</w:t>
      </w:r>
      <w:r w:rsidR="00FF562A" w:rsidRPr="00BF100B">
        <w:rPr>
          <w:rFonts w:ascii="Times New Roman" w:hAnsi="Times New Roman" w:cs="Times New Roman"/>
          <w:sz w:val="24"/>
          <w:szCs w:val="24"/>
        </w:rPr>
        <w:t>, and that the fact that the Government carried out the process of divesting the Companies by liquidation did not indicate that it had taken over or assumed the liabilities of the</w:t>
      </w:r>
      <w:r w:rsidR="004A5ACB" w:rsidRPr="00BF100B">
        <w:rPr>
          <w:rFonts w:ascii="Times New Roman" w:hAnsi="Times New Roman" w:cs="Times New Roman"/>
          <w:sz w:val="24"/>
          <w:szCs w:val="24"/>
        </w:rPr>
        <w:t xml:space="preserve"> said</w:t>
      </w:r>
      <w:r w:rsidR="00FF562A" w:rsidRPr="00BF100B">
        <w:rPr>
          <w:rFonts w:ascii="Times New Roman" w:hAnsi="Times New Roman" w:cs="Times New Roman"/>
          <w:sz w:val="24"/>
          <w:szCs w:val="24"/>
        </w:rPr>
        <w:t xml:space="preserve"> Companies. Further, that there was no evidence to show that at the time the companies were liquidated they were solvent and that since no funds were ever paid </w:t>
      </w:r>
      <w:r w:rsidR="004A5ACB" w:rsidRPr="00BF100B">
        <w:rPr>
          <w:rFonts w:ascii="Times New Roman" w:hAnsi="Times New Roman" w:cs="Times New Roman"/>
          <w:sz w:val="24"/>
          <w:szCs w:val="24"/>
        </w:rPr>
        <w:t>into</w:t>
      </w:r>
      <w:r w:rsidR="00FF562A" w:rsidRPr="00BF100B">
        <w:rPr>
          <w:rFonts w:ascii="Times New Roman" w:hAnsi="Times New Roman" w:cs="Times New Roman"/>
          <w:sz w:val="24"/>
          <w:szCs w:val="24"/>
        </w:rPr>
        <w:t xml:space="preserve"> the Divesture Account arising from the liquidation of the Companies from which the plaintiffs were claiming, the Government was not obliged </w:t>
      </w:r>
      <w:r w:rsidR="00404A50" w:rsidRPr="00BF100B">
        <w:rPr>
          <w:rFonts w:ascii="Times New Roman" w:hAnsi="Times New Roman" w:cs="Times New Roman"/>
          <w:sz w:val="24"/>
          <w:szCs w:val="24"/>
        </w:rPr>
        <w:t xml:space="preserve">to pay the plaintiffs from the Divesture Account. Further, that the defendant did not have a statutory duty to seek budgetary contribution for purposes of making any payments to the plaintiffs. </w:t>
      </w:r>
    </w:p>
    <w:p w:rsidR="004E3CCF"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7D74AD" w:rsidRPr="00BF100B">
        <w:rPr>
          <w:rFonts w:ascii="Times New Roman" w:hAnsi="Times New Roman" w:cs="Times New Roman"/>
          <w:sz w:val="24"/>
          <w:szCs w:val="24"/>
        </w:rPr>
        <w:t xml:space="preserve">relied on </w:t>
      </w:r>
      <w:proofErr w:type="spellStart"/>
      <w:r w:rsidR="007D74AD" w:rsidRPr="00BF100B">
        <w:rPr>
          <w:rFonts w:ascii="Times New Roman" w:hAnsi="Times New Roman" w:cs="Times New Roman"/>
          <w:b/>
          <w:i/>
          <w:sz w:val="24"/>
          <w:szCs w:val="24"/>
        </w:rPr>
        <w:t>Priamit</w:t>
      </w:r>
      <w:proofErr w:type="spellEnd"/>
      <w:r w:rsidR="007D74AD" w:rsidRPr="00BF100B">
        <w:rPr>
          <w:rFonts w:ascii="Times New Roman" w:hAnsi="Times New Roman" w:cs="Times New Roman"/>
          <w:b/>
          <w:i/>
          <w:sz w:val="24"/>
          <w:szCs w:val="24"/>
        </w:rPr>
        <w:t xml:space="preserve"> Enterprises Ltd Versus Attorney General, Supreme Court Civil Appeal No.10 of 2001,</w:t>
      </w:r>
      <w:r w:rsidR="007D74AD" w:rsidRPr="00BF100B">
        <w:rPr>
          <w:rFonts w:ascii="Times New Roman" w:hAnsi="Times New Roman" w:cs="Times New Roman"/>
          <w:sz w:val="24"/>
          <w:szCs w:val="24"/>
        </w:rPr>
        <w:t xml:space="preserve"> where it was held that for a plaint to disclose a cause of action on the basis of section 23(a) of the PERD Statute, it must aver that the debtor public enterprise had been sold and the proceeds of sale were on the Divesture Account. </w:t>
      </w:r>
      <w:r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7D74AD" w:rsidRPr="00BF100B">
        <w:rPr>
          <w:rFonts w:ascii="Times New Roman" w:hAnsi="Times New Roman" w:cs="Times New Roman"/>
          <w:sz w:val="24"/>
          <w:szCs w:val="24"/>
        </w:rPr>
        <w:t>submitted that there was no averment in the present suit that the proceeds of sale were ever deposited on the Divesture Account, and that therefore there was no cause of action against the defendant</w:t>
      </w:r>
      <w:r w:rsidR="00F86EC5" w:rsidRPr="00BF100B">
        <w:rPr>
          <w:rFonts w:ascii="Times New Roman" w:hAnsi="Times New Roman" w:cs="Times New Roman"/>
          <w:sz w:val="24"/>
          <w:szCs w:val="24"/>
        </w:rPr>
        <w:t xml:space="preserve">. </w:t>
      </w:r>
      <w:r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F86EC5" w:rsidRPr="00BF100B">
        <w:rPr>
          <w:rFonts w:ascii="Times New Roman" w:hAnsi="Times New Roman" w:cs="Times New Roman"/>
          <w:sz w:val="24"/>
          <w:szCs w:val="24"/>
        </w:rPr>
        <w:lastRenderedPageBreak/>
        <w:t xml:space="preserve">contended that the Supreme Court decision in the </w:t>
      </w:r>
      <w:proofErr w:type="spellStart"/>
      <w:r w:rsidR="00F86EC5" w:rsidRPr="00BF100B">
        <w:rPr>
          <w:rFonts w:ascii="Times New Roman" w:hAnsi="Times New Roman" w:cs="Times New Roman"/>
          <w:b/>
          <w:i/>
          <w:sz w:val="24"/>
          <w:szCs w:val="24"/>
        </w:rPr>
        <w:t>Priamit</w:t>
      </w:r>
      <w:proofErr w:type="spellEnd"/>
      <w:r w:rsidR="00F86EC5" w:rsidRPr="00BF100B">
        <w:rPr>
          <w:rFonts w:ascii="Times New Roman" w:hAnsi="Times New Roman" w:cs="Times New Roman"/>
          <w:b/>
          <w:i/>
          <w:sz w:val="24"/>
          <w:szCs w:val="24"/>
        </w:rPr>
        <w:t xml:space="preserve"> Enterprises (Supra)</w:t>
      </w:r>
      <w:r w:rsidR="00F86EC5" w:rsidRPr="00BF100B">
        <w:rPr>
          <w:rFonts w:ascii="Times New Roman" w:hAnsi="Times New Roman" w:cs="Times New Roman"/>
          <w:sz w:val="24"/>
          <w:szCs w:val="24"/>
        </w:rPr>
        <w:t xml:space="preserve"> was binding </w:t>
      </w:r>
      <w:r w:rsidR="004E3CCF" w:rsidRPr="00BF100B">
        <w:rPr>
          <w:rFonts w:ascii="Times New Roman" w:hAnsi="Times New Roman" w:cs="Times New Roman"/>
          <w:sz w:val="24"/>
          <w:szCs w:val="24"/>
        </w:rPr>
        <w:t xml:space="preserve">on the Court of Appeal case of </w:t>
      </w:r>
      <w:proofErr w:type="spellStart"/>
      <w:r w:rsidR="004E3CCF" w:rsidRPr="00BF100B">
        <w:rPr>
          <w:rFonts w:ascii="Times New Roman" w:hAnsi="Times New Roman" w:cs="Times New Roman"/>
          <w:b/>
          <w:i/>
          <w:sz w:val="24"/>
          <w:szCs w:val="24"/>
        </w:rPr>
        <w:t>Specioza</w:t>
      </w:r>
      <w:proofErr w:type="spellEnd"/>
      <w:r w:rsidR="004E3CCF" w:rsidRPr="00BF100B">
        <w:rPr>
          <w:rFonts w:ascii="Times New Roman" w:hAnsi="Times New Roman" w:cs="Times New Roman"/>
          <w:b/>
          <w:i/>
          <w:sz w:val="24"/>
          <w:szCs w:val="24"/>
        </w:rPr>
        <w:t xml:space="preserve"> </w:t>
      </w:r>
      <w:proofErr w:type="spellStart"/>
      <w:r w:rsidR="004E3CCF" w:rsidRPr="00BF100B">
        <w:rPr>
          <w:rFonts w:ascii="Times New Roman" w:hAnsi="Times New Roman" w:cs="Times New Roman"/>
          <w:b/>
          <w:i/>
          <w:sz w:val="24"/>
          <w:szCs w:val="24"/>
        </w:rPr>
        <w:t>Kalungi</w:t>
      </w:r>
      <w:proofErr w:type="spellEnd"/>
      <w:r w:rsidR="004E3CCF" w:rsidRPr="00BF100B">
        <w:rPr>
          <w:rFonts w:ascii="Times New Roman" w:hAnsi="Times New Roman" w:cs="Times New Roman"/>
          <w:b/>
          <w:i/>
          <w:sz w:val="24"/>
          <w:szCs w:val="24"/>
        </w:rPr>
        <w:t xml:space="preserve"> &amp; 62 Others Versus Attorney General, Court of Appeal Civil Appeal No.76 of 2011</w:t>
      </w:r>
      <w:r w:rsidR="004E3CCF" w:rsidRPr="00BF100B">
        <w:rPr>
          <w:rFonts w:ascii="Times New Roman" w:hAnsi="Times New Roman" w:cs="Times New Roman"/>
          <w:sz w:val="24"/>
          <w:szCs w:val="24"/>
        </w:rPr>
        <w:t>, as well as this Court.</w:t>
      </w:r>
    </w:p>
    <w:p w:rsidR="00C7740A" w:rsidRPr="00BF100B" w:rsidRDefault="004A5ACB"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It was counsel’s further submission</w:t>
      </w:r>
      <w:r w:rsidR="004E3CCF" w:rsidRPr="00BF100B">
        <w:rPr>
          <w:rFonts w:ascii="Times New Roman" w:hAnsi="Times New Roman" w:cs="Times New Roman"/>
          <w:sz w:val="24"/>
          <w:szCs w:val="24"/>
        </w:rPr>
        <w:t xml:space="preserve"> that the Development Credit Agreement was not incorporated into the </w:t>
      </w:r>
      <w:r w:rsidR="004E3CCF" w:rsidRPr="00BF100B">
        <w:rPr>
          <w:rFonts w:ascii="Times New Roman" w:hAnsi="Times New Roman" w:cs="Times New Roman"/>
          <w:b/>
          <w:sz w:val="24"/>
          <w:szCs w:val="24"/>
        </w:rPr>
        <w:t>PERD Statute</w:t>
      </w:r>
      <w:r w:rsidR="004E3CCF" w:rsidRPr="00BF100B">
        <w:rPr>
          <w:rFonts w:ascii="Times New Roman" w:hAnsi="Times New Roman" w:cs="Times New Roman"/>
          <w:sz w:val="24"/>
          <w:szCs w:val="24"/>
        </w:rPr>
        <w:t xml:space="preserve"> and even if it were, the defendant was still not liable</w:t>
      </w:r>
      <w:r w:rsidR="00B523E1" w:rsidRPr="00BF100B">
        <w:rPr>
          <w:rFonts w:ascii="Times New Roman" w:hAnsi="Times New Roman" w:cs="Times New Roman"/>
          <w:sz w:val="24"/>
          <w:szCs w:val="24"/>
        </w:rPr>
        <w:t xml:space="preserve"> to pay the plaintiffs claim. She</w:t>
      </w:r>
      <w:r w:rsidR="004E3CCF" w:rsidRPr="00BF100B">
        <w:rPr>
          <w:rFonts w:ascii="Times New Roman" w:hAnsi="Times New Roman" w:cs="Times New Roman"/>
          <w:sz w:val="24"/>
          <w:szCs w:val="24"/>
        </w:rPr>
        <w:t xml:space="preserve"> contended that if the drafters of the </w:t>
      </w:r>
      <w:r w:rsidR="004E3CCF" w:rsidRPr="00BF100B">
        <w:rPr>
          <w:rFonts w:ascii="Times New Roman" w:hAnsi="Times New Roman" w:cs="Times New Roman"/>
          <w:b/>
          <w:sz w:val="24"/>
          <w:szCs w:val="24"/>
        </w:rPr>
        <w:t>PERD Statute</w:t>
      </w:r>
      <w:r w:rsidR="004E3CCF" w:rsidRPr="00BF100B">
        <w:rPr>
          <w:rFonts w:ascii="Times New Roman" w:hAnsi="Times New Roman" w:cs="Times New Roman"/>
          <w:sz w:val="24"/>
          <w:szCs w:val="24"/>
        </w:rPr>
        <w:t xml:space="preserve"> had intended for the defendant to be liable for the liabilities of the divested Companies, </w:t>
      </w:r>
      <w:r w:rsidR="00C7740A" w:rsidRPr="00BF100B">
        <w:rPr>
          <w:rFonts w:ascii="Times New Roman" w:hAnsi="Times New Roman" w:cs="Times New Roman"/>
          <w:sz w:val="24"/>
          <w:szCs w:val="24"/>
        </w:rPr>
        <w:t xml:space="preserve">a specific provision in that regard would have been included in the said Statute. </w:t>
      </w:r>
    </w:p>
    <w:p w:rsidR="00F06767"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C7740A" w:rsidRPr="00BF100B">
        <w:rPr>
          <w:rFonts w:ascii="Times New Roman" w:hAnsi="Times New Roman" w:cs="Times New Roman"/>
          <w:sz w:val="24"/>
          <w:szCs w:val="24"/>
        </w:rPr>
        <w:t xml:space="preserve">further made reference to </w:t>
      </w:r>
      <w:proofErr w:type="spellStart"/>
      <w:r w:rsidR="00C7740A" w:rsidRPr="00BF100B">
        <w:rPr>
          <w:rFonts w:ascii="Times New Roman" w:hAnsi="Times New Roman" w:cs="Times New Roman"/>
          <w:b/>
          <w:i/>
          <w:sz w:val="24"/>
          <w:szCs w:val="24"/>
        </w:rPr>
        <w:t>Specioza</w:t>
      </w:r>
      <w:proofErr w:type="spellEnd"/>
      <w:r w:rsidR="00C7740A" w:rsidRPr="00BF100B">
        <w:rPr>
          <w:rFonts w:ascii="Times New Roman" w:hAnsi="Times New Roman" w:cs="Times New Roman"/>
          <w:b/>
          <w:i/>
          <w:sz w:val="24"/>
          <w:szCs w:val="24"/>
        </w:rPr>
        <w:t xml:space="preserve"> </w:t>
      </w:r>
      <w:proofErr w:type="spellStart"/>
      <w:r w:rsidR="00C7740A" w:rsidRPr="00BF100B">
        <w:rPr>
          <w:rFonts w:ascii="Times New Roman" w:hAnsi="Times New Roman" w:cs="Times New Roman"/>
          <w:b/>
          <w:i/>
          <w:sz w:val="24"/>
          <w:szCs w:val="24"/>
        </w:rPr>
        <w:t>Kalungi</w:t>
      </w:r>
      <w:proofErr w:type="spellEnd"/>
      <w:r w:rsidR="00C7740A" w:rsidRPr="00BF100B">
        <w:rPr>
          <w:rFonts w:ascii="Times New Roman" w:hAnsi="Times New Roman" w:cs="Times New Roman"/>
          <w:b/>
          <w:i/>
          <w:sz w:val="24"/>
          <w:szCs w:val="24"/>
        </w:rPr>
        <w:t xml:space="preserve"> &amp; 62 others Versus Attorney General (Supra)</w:t>
      </w:r>
      <w:r w:rsidR="004A5ACB" w:rsidRPr="00BF100B">
        <w:rPr>
          <w:rFonts w:ascii="Times New Roman" w:hAnsi="Times New Roman" w:cs="Times New Roman"/>
          <w:sz w:val="24"/>
          <w:szCs w:val="24"/>
        </w:rPr>
        <w:t>,</w:t>
      </w:r>
      <w:r w:rsidR="00C7740A" w:rsidRPr="00BF100B">
        <w:rPr>
          <w:rFonts w:ascii="Times New Roman" w:hAnsi="Times New Roman" w:cs="Times New Roman"/>
          <w:sz w:val="24"/>
          <w:szCs w:val="24"/>
        </w:rPr>
        <w:t xml:space="preserve"> </w:t>
      </w:r>
      <w:r w:rsidR="004A5ACB" w:rsidRPr="00BF100B">
        <w:rPr>
          <w:rFonts w:ascii="Times New Roman" w:hAnsi="Times New Roman" w:cs="Times New Roman"/>
          <w:sz w:val="24"/>
          <w:szCs w:val="24"/>
        </w:rPr>
        <w:t xml:space="preserve">where it was held </w:t>
      </w:r>
      <w:r w:rsidR="00C7740A" w:rsidRPr="00BF100B">
        <w:rPr>
          <w:rFonts w:ascii="Times New Roman" w:hAnsi="Times New Roman" w:cs="Times New Roman"/>
          <w:sz w:val="24"/>
          <w:szCs w:val="24"/>
        </w:rPr>
        <w:t>that divesture</w:t>
      </w:r>
      <w:r w:rsidR="004A5ACB" w:rsidRPr="00BF100B">
        <w:rPr>
          <w:rFonts w:ascii="Times New Roman" w:hAnsi="Times New Roman" w:cs="Times New Roman"/>
          <w:sz w:val="24"/>
          <w:szCs w:val="24"/>
        </w:rPr>
        <w:t xml:space="preserve"> was</w:t>
      </w:r>
      <w:r w:rsidR="00C7740A" w:rsidRPr="00BF100B">
        <w:rPr>
          <w:rFonts w:ascii="Times New Roman" w:hAnsi="Times New Roman" w:cs="Times New Roman"/>
          <w:sz w:val="24"/>
          <w:szCs w:val="24"/>
        </w:rPr>
        <w:t xml:space="preserve"> not c</w:t>
      </w:r>
      <w:r w:rsidR="004A5ACB" w:rsidRPr="00BF100B">
        <w:rPr>
          <w:rFonts w:ascii="Times New Roman" w:hAnsi="Times New Roman" w:cs="Times New Roman"/>
          <w:sz w:val="24"/>
          <w:szCs w:val="24"/>
        </w:rPr>
        <w:t>omplete until all creditors had</w:t>
      </w:r>
      <w:r w:rsidR="00C7740A" w:rsidRPr="00BF100B">
        <w:rPr>
          <w:rFonts w:ascii="Times New Roman" w:hAnsi="Times New Roman" w:cs="Times New Roman"/>
          <w:sz w:val="24"/>
          <w:szCs w:val="24"/>
        </w:rPr>
        <w:t xml:space="preserve"> been paid and submitted that the above did not unconditionally place liability of payment on the defendant. </w:t>
      </w:r>
    </w:p>
    <w:p w:rsidR="009A7C66" w:rsidRPr="00BF100B" w:rsidRDefault="00F0676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It was counsel’s further submission that </w:t>
      </w:r>
      <w:r w:rsidR="004A5ACB" w:rsidRPr="00BF100B">
        <w:rPr>
          <w:rFonts w:ascii="Times New Roman" w:hAnsi="Times New Roman" w:cs="Times New Roman"/>
          <w:sz w:val="24"/>
          <w:szCs w:val="24"/>
        </w:rPr>
        <w:t>from the</w:t>
      </w:r>
      <w:r w:rsidRPr="00BF100B">
        <w:rPr>
          <w:rFonts w:ascii="Times New Roman" w:hAnsi="Times New Roman" w:cs="Times New Roman"/>
          <w:sz w:val="24"/>
          <w:szCs w:val="24"/>
        </w:rPr>
        <w:t xml:space="preserve"> correspondences between the Attorney General’s Office and the Minister of State for Finance, Planning and Economic Development</w:t>
      </w:r>
      <w:r w:rsidR="00893E4E" w:rsidRPr="00BF100B">
        <w:rPr>
          <w:rFonts w:ascii="Times New Roman" w:hAnsi="Times New Roman" w:cs="Times New Roman"/>
          <w:sz w:val="24"/>
          <w:szCs w:val="24"/>
        </w:rPr>
        <w:t xml:space="preserve">, the Attorney General recommended ex-gratia payments to creditors of the Companies stated herein. However, that the Government did not assume or take over the liabilities of the liquidated companies. </w:t>
      </w:r>
      <w:r w:rsidR="003E2098"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893E4E" w:rsidRPr="00BF100B">
        <w:rPr>
          <w:rFonts w:ascii="Times New Roman" w:hAnsi="Times New Roman" w:cs="Times New Roman"/>
          <w:sz w:val="24"/>
          <w:szCs w:val="24"/>
        </w:rPr>
        <w:t xml:space="preserve">cited </w:t>
      </w:r>
      <w:proofErr w:type="spellStart"/>
      <w:r w:rsidR="00893E4E" w:rsidRPr="00BF100B">
        <w:rPr>
          <w:rFonts w:ascii="Times New Roman" w:hAnsi="Times New Roman" w:cs="Times New Roman"/>
          <w:b/>
          <w:sz w:val="24"/>
          <w:szCs w:val="24"/>
        </w:rPr>
        <w:t>Jowitt’s</w:t>
      </w:r>
      <w:proofErr w:type="spellEnd"/>
      <w:r w:rsidR="00893E4E" w:rsidRPr="00BF100B">
        <w:rPr>
          <w:rFonts w:ascii="Times New Roman" w:hAnsi="Times New Roman" w:cs="Times New Roman"/>
          <w:b/>
          <w:sz w:val="24"/>
          <w:szCs w:val="24"/>
        </w:rPr>
        <w:t xml:space="preserve"> Dictionary </w:t>
      </w:r>
      <w:proofErr w:type="gramStart"/>
      <w:r w:rsidR="00893E4E" w:rsidRPr="00BF100B">
        <w:rPr>
          <w:rFonts w:ascii="Times New Roman" w:hAnsi="Times New Roman" w:cs="Times New Roman"/>
          <w:b/>
          <w:sz w:val="24"/>
          <w:szCs w:val="24"/>
        </w:rPr>
        <w:t>Of</w:t>
      </w:r>
      <w:proofErr w:type="gramEnd"/>
      <w:r w:rsidR="00893E4E" w:rsidRPr="00BF100B">
        <w:rPr>
          <w:rFonts w:ascii="Times New Roman" w:hAnsi="Times New Roman" w:cs="Times New Roman"/>
          <w:b/>
          <w:sz w:val="24"/>
          <w:szCs w:val="24"/>
        </w:rPr>
        <w:t xml:space="preserve"> English Law, Third Edition, Volume 1</w:t>
      </w:r>
      <w:r w:rsidR="00893E4E" w:rsidRPr="00BF100B">
        <w:rPr>
          <w:rFonts w:ascii="Times New Roman" w:hAnsi="Times New Roman" w:cs="Times New Roman"/>
          <w:sz w:val="24"/>
          <w:szCs w:val="24"/>
        </w:rPr>
        <w:t xml:space="preserve">, where </w:t>
      </w:r>
      <w:r w:rsidR="00893E4E" w:rsidRPr="00BF100B">
        <w:rPr>
          <w:rFonts w:ascii="Times New Roman" w:hAnsi="Times New Roman" w:cs="Times New Roman"/>
          <w:i/>
          <w:sz w:val="24"/>
          <w:szCs w:val="24"/>
        </w:rPr>
        <w:t xml:space="preserve">Ex </w:t>
      </w:r>
      <w:proofErr w:type="spellStart"/>
      <w:r w:rsidR="00893E4E" w:rsidRPr="00BF100B">
        <w:rPr>
          <w:rFonts w:ascii="Times New Roman" w:hAnsi="Times New Roman" w:cs="Times New Roman"/>
          <w:i/>
          <w:sz w:val="24"/>
          <w:szCs w:val="24"/>
        </w:rPr>
        <w:t>gratiais</w:t>
      </w:r>
      <w:proofErr w:type="spellEnd"/>
      <w:r w:rsidR="00893E4E" w:rsidRPr="00BF100B">
        <w:rPr>
          <w:rFonts w:ascii="Times New Roman" w:hAnsi="Times New Roman" w:cs="Times New Roman"/>
          <w:sz w:val="24"/>
          <w:szCs w:val="24"/>
        </w:rPr>
        <w:t xml:space="preserve"> </w:t>
      </w:r>
      <w:r w:rsidR="004A5ACB" w:rsidRPr="00BF100B">
        <w:rPr>
          <w:rFonts w:ascii="Times New Roman" w:hAnsi="Times New Roman" w:cs="Times New Roman"/>
          <w:sz w:val="24"/>
          <w:szCs w:val="24"/>
        </w:rPr>
        <w:t xml:space="preserve">is defined </w:t>
      </w:r>
      <w:r w:rsidR="00893E4E" w:rsidRPr="00BF100B">
        <w:rPr>
          <w:rFonts w:ascii="Times New Roman" w:hAnsi="Times New Roman" w:cs="Times New Roman"/>
          <w:sz w:val="24"/>
          <w:szCs w:val="24"/>
        </w:rPr>
        <w:t>as being usually payment of sums of money and most frequently seen in the context of non-contractual payments to employees and office holders.</w:t>
      </w:r>
    </w:p>
    <w:p w:rsidR="00747E43"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00AE5819" w:rsidRPr="00BF100B">
        <w:rPr>
          <w:rFonts w:ascii="Times New Roman" w:hAnsi="Times New Roman" w:cs="Times New Roman"/>
          <w:sz w:val="24"/>
          <w:szCs w:val="24"/>
        </w:rPr>
        <w:t>further submitted that some of the plaintiffs including the 1</w:t>
      </w:r>
      <w:r w:rsidR="00AE5819" w:rsidRPr="00BF100B">
        <w:rPr>
          <w:rFonts w:ascii="Times New Roman" w:hAnsi="Times New Roman" w:cs="Times New Roman"/>
          <w:sz w:val="24"/>
          <w:szCs w:val="24"/>
          <w:vertAlign w:val="superscript"/>
        </w:rPr>
        <w:t>st</w:t>
      </w:r>
      <w:r w:rsidR="00AE5819" w:rsidRPr="00BF100B">
        <w:rPr>
          <w:rFonts w:ascii="Times New Roman" w:hAnsi="Times New Roman" w:cs="Times New Roman"/>
          <w:sz w:val="24"/>
          <w:szCs w:val="24"/>
        </w:rPr>
        <w:t>, 25</w:t>
      </w:r>
      <w:r w:rsidR="00AE5819" w:rsidRPr="00BF100B">
        <w:rPr>
          <w:rFonts w:ascii="Times New Roman" w:hAnsi="Times New Roman" w:cs="Times New Roman"/>
          <w:sz w:val="24"/>
          <w:szCs w:val="24"/>
          <w:vertAlign w:val="superscript"/>
        </w:rPr>
        <w:t>th</w:t>
      </w:r>
      <w:r w:rsidR="00AE5819" w:rsidRPr="00BF100B">
        <w:rPr>
          <w:rFonts w:ascii="Times New Roman" w:hAnsi="Times New Roman" w:cs="Times New Roman"/>
          <w:sz w:val="24"/>
          <w:szCs w:val="24"/>
        </w:rPr>
        <w:t>, 25</w:t>
      </w:r>
      <w:r w:rsidR="00AE5819" w:rsidRPr="00BF100B">
        <w:rPr>
          <w:rFonts w:ascii="Times New Roman" w:hAnsi="Times New Roman" w:cs="Times New Roman"/>
          <w:sz w:val="24"/>
          <w:szCs w:val="24"/>
          <w:vertAlign w:val="superscript"/>
        </w:rPr>
        <w:t>th</w:t>
      </w:r>
      <w:r w:rsidR="00AE5819" w:rsidRPr="00BF100B">
        <w:rPr>
          <w:rFonts w:ascii="Times New Roman" w:hAnsi="Times New Roman" w:cs="Times New Roman"/>
          <w:sz w:val="24"/>
          <w:szCs w:val="24"/>
        </w:rPr>
        <w:t xml:space="preserve"> and 26</w:t>
      </w:r>
      <w:r w:rsidR="00AE5819" w:rsidRPr="00BF100B">
        <w:rPr>
          <w:rFonts w:ascii="Times New Roman" w:hAnsi="Times New Roman" w:cs="Times New Roman"/>
          <w:sz w:val="24"/>
          <w:szCs w:val="24"/>
          <w:vertAlign w:val="superscript"/>
        </w:rPr>
        <w:t>th</w:t>
      </w:r>
      <w:r w:rsidR="00AE5819" w:rsidRPr="00BF100B">
        <w:rPr>
          <w:rFonts w:ascii="Times New Roman" w:hAnsi="Times New Roman" w:cs="Times New Roman"/>
          <w:sz w:val="24"/>
          <w:szCs w:val="24"/>
        </w:rPr>
        <w:t xml:space="preserve"> plaintiffs were not included on the list of creditors attached to the Status Report by the Liquidators. Further, that PW2 had testified that although the said report was in their records, the same was not registered by the Uganda Registration Services Bureau, and that he could not verify the contents of the said report. It was counsel’s submission that the evidence of a non-completed liquidation exercise was not relevant in determining this matter and that what was on re</w:t>
      </w:r>
      <w:r w:rsidR="00A04217" w:rsidRPr="00BF100B">
        <w:rPr>
          <w:rFonts w:ascii="Times New Roman" w:hAnsi="Times New Roman" w:cs="Times New Roman"/>
          <w:sz w:val="24"/>
          <w:szCs w:val="24"/>
        </w:rPr>
        <w:t>cord was a mere Status Report.</w:t>
      </w:r>
    </w:p>
    <w:p w:rsidR="000766C7" w:rsidRPr="00BF100B" w:rsidRDefault="00747E43"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rejoinder, </w:t>
      </w:r>
      <w:r w:rsidR="003E2098"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24</w:t>
      </w:r>
      <w:r w:rsidRPr="00BF100B">
        <w:rPr>
          <w:rFonts w:ascii="Times New Roman" w:hAnsi="Times New Roman" w:cs="Times New Roman"/>
          <w:sz w:val="24"/>
          <w:szCs w:val="24"/>
          <w:vertAlign w:val="superscript"/>
        </w:rPr>
        <w:t>th</w:t>
      </w:r>
      <w:r w:rsidRPr="00BF100B">
        <w:rPr>
          <w:rFonts w:ascii="Times New Roman" w:hAnsi="Times New Roman" w:cs="Times New Roman"/>
          <w:sz w:val="24"/>
          <w:szCs w:val="24"/>
        </w:rPr>
        <w:t xml:space="preserve"> plaintiff submitted that</w:t>
      </w:r>
      <w:r w:rsidR="000766C7" w:rsidRPr="00BF100B">
        <w:rPr>
          <w:rFonts w:ascii="Times New Roman" w:hAnsi="Times New Roman" w:cs="Times New Roman"/>
          <w:sz w:val="24"/>
          <w:szCs w:val="24"/>
        </w:rPr>
        <w:t xml:space="preserve"> under</w:t>
      </w:r>
      <w:r w:rsidRPr="00BF100B">
        <w:rPr>
          <w:rFonts w:ascii="Times New Roman" w:hAnsi="Times New Roman" w:cs="Times New Roman"/>
          <w:sz w:val="24"/>
          <w:szCs w:val="24"/>
        </w:rPr>
        <w:t xml:space="preserve"> </w:t>
      </w:r>
      <w:r w:rsidR="000766C7" w:rsidRPr="00BF100B">
        <w:rPr>
          <w:rFonts w:ascii="Times New Roman" w:hAnsi="Times New Roman" w:cs="Times New Roman"/>
          <w:sz w:val="24"/>
          <w:szCs w:val="24"/>
        </w:rPr>
        <w:t xml:space="preserve">the </w:t>
      </w:r>
      <w:r w:rsidR="000766C7" w:rsidRPr="00BF100B">
        <w:rPr>
          <w:rFonts w:ascii="Times New Roman" w:hAnsi="Times New Roman" w:cs="Times New Roman"/>
          <w:b/>
          <w:sz w:val="24"/>
          <w:szCs w:val="24"/>
        </w:rPr>
        <w:t>PERD Statute</w:t>
      </w:r>
      <w:r w:rsidR="000766C7" w:rsidRPr="00BF100B">
        <w:rPr>
          <w:rFonts w:ascii="Times New Roman" w:hAnsi="Times New Roman" w:cs="Times New Roman"/>
          <w:sz w:val="24"/>
          <w:szCs w:val="24"/>
        </w:rPr>
        <w:t xml:space="preserve">, all proceeds of liquidation of the various Companies were supposed to be deposited in the Divesture Account and used to pay off all the creditors of the Companies in which the Government had an interest. There was no requirement under the </w:t>
      </w:r>
      <w:r w:rsidR="000766C7" w:rsidRPr="00BF100B">
        <w:rPr>
          <w:rFonts w:ascii="Times New Roman" w:hAnsi="Times New Roman" w:cs="Times New Roman"/>
          <w:b/>
          <w:sz w:val="24"/>
          <w:szCs w:val="24"/>
        </w:rPr>
        <w:t>PERD Act</w:t>
      </w:r>
      <w:r w:rsidR="000766C7" w:rsidRPr="00BF100B">
        <w:rPr>
          <w:rFonts w:ascii="Times New Roman" w:hAnsi="Times New Roman" w:cs="Times New Roman"/>
          <w:sz w:val="24"/>
          <w:szCs w:val="24"/>
        </w:rPr>
        <w:t xml:space="preserve"> that the Government could pay each Company’s creditors from its own proceeds. </w:t>
      </w:r>
    </w:p>
    <w:p w:rsidR="00347CB8" w:rsidRPr="00BF100B" w:rsidRDefault="000766C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lastRenderedPageBreak/>
        <w:t xml:space="preserve">In regard to the </w:t>
      </w:r>
      <w:proofErr w:type="spellStart"/>
      <w:r w:rsidRPr="00BF100B">
        <w:rPr>
          <w:rFonts w:ascii="Times New Roman" w:hAnsi="Times New Roman" w:cs="Times New Roman"/>
          <w:b/>
          <w:i/>
          <w:sz w:val="24"/>
          <w:szCs w:val="24"/>
        </w:rPr>
        <w:t>Priamit</w:t>
      </w:r>
      <w:proofErr w:type="spellEnd"/>
      <w:r w:rsidRPr="00BF100B">
        <w:rPr>
          <w:rFonts w:ascii="Times New Roman" w:hAnsi="Times New Roman" w:cs="Times New Roman"/>
          <w:b/>
          <w:i/>
          <w:sz w:val="24"/>
          <w:szCs w:val="24"/>
        </w:rPr>
        <w:t xml:space="preserve"> Enterprises Limited Versus Attorney General</w:t>
      </w:r>
      <w:r w:rsidRPr="00BF100B">
        <w:rPr>
          <w:rFonts w:ascii="Times New Roman" w:hAnsi="Times New Roman" w:cs="Times New Roman"/>
          <w:sz w:val="24"/>
          <w:szCs w:val="24"/>
        </w:rPr>
        <w:t xml:space="preserve">, </w:t>
      </w:r>
      <w:r w:rsidR="003E2098" w:rsidRPr="00BF100B">
        <w:rPr>
          <w:rFonts w:ascii="Times New Roman" w:hAnsi="Times New Roman" w:cs="Times New Roman"/>
          <w:sz w:val="24"/>
          <w:szCs w:val="24"/>
        </w:rPr>
        <w:t>Counsel</w:t>
      </w:r>
      <w:r w:rsidR="00146753" w:rsidRPr="00BF100B">
        <w:rPr>
          <w:rFonts w:ascii="Times New Roman" w:hAnsi="Times New Roman" w:cs="Times New Roman"/>
          <w:sz w:val="24"/>
          <w:szCs w:val="24"/>
        </w:rPr>
        <w:t xml:space="preserve"> </w:t>
      </w:r>
      <w:r w:rsidRPr="00BF100B">
        <w:rPr>
          <w:rFonts w:ascii="Times New Roman" w:hAnsi="Times New Roman" w:cs="Times New Roman"/>
          <w:sz w:val="24"/>
          <w:szCs w:val="24"/>
        </w:rPr>
        <w:t>submitted that the said case involved a preliminary objection raised at the beginning of the trial as to whether the plaint disclosed a cause of action</w:t>
      </w:r>
      <w:r w:rsidR="0074371A" w:rsidRPr="00BF100B">
        <w:rPr>
          <w:rFonts w:ascii="Times New Roman" w:hAnsi="Times New Roman" w:cs="Times New Roman"/>
          <w:sz w:val="24"/>
          <w:szCs w:val="24"/>
        </w:rPr>
        <w:t xml:space="preserve">. In the present case, the defendant did not raise a preliminary objection to show that the facts in the plaint did not necessitate it to go for trial. It was counsel’s submission that the </w:t>
      </w:r>
      <w:proofErr w:type="spellStart"/>
      <w:r w:rsidR="0074371A" w:rsidRPr="00BF100B">
        <w:rPr>
          <w:rFonts w:ascii="Times New Roman" w:hAnsi="Times New Roman" w:cs="Times New Roman"/>
          <w:b/>
          <w:i/>
          <w:sz w:val="24"/>
          <w:szCs w:val="24"/>
        </w:rPr>
        <w:t>Priamit</w:t>
      </w:r>
      <w:proofErr w:type="spellEnd"/>
      <w:r w:rsidR="0074371A" w:rsidRPr="00BF100B">
        <w:rPr>
          <w:rFonts w:ascii="Times New Roman" w:hAnsi="Times New Roman" w:cs="Times New Roman"/>
          <w:b/>
          <w:i/>
          <w:sz w:val="24"/>
          <w:szCs w:val="24"/>
        </w:rPr>
        <w:t xml:space="preserve"> Enterprises case</w:t>
      </w:r>
      <w:r w:rsidR="0074371A" w:rsidRPr="00BF100B">
        <w:rPr>
          <w:rFonts w:ascii="Times New Roman" w:hAnsi="Times New Roman" w:cs="Times New Roman"/>
          <w:sz w:val="24"/>
          <w:szCs w:val="24"/>
        </w:rPr>
        <w:t xml:space="preserve"> was at this stage not helpful and misleading considering that it was not a disputed fact that the proceeds from the sale were not deposited on the Divesture Account. </w:t>
      </w:r>
      <w:r w:rsidR="003E2098"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0074371A" w:rsidRPr="00BF100B">
        <w:rPr>
          <w:rFonts w:ascii="Times New Roman" w:hAnsi="Times New Roman" w:cs="Times New Roman"/>
          <w:sz w:val="24"/>
          <w:szCs w:val="24"/>
        </w:rPr>
        <w:t xml:space="preserve">contended that subject of the case of </w:t>
      </w:r>
      <w:proofErr w:type="spellStart"/>
      <w:r w:rsidR="0074371A" w:rsidRPr="00BF100B">
        <w:rPr>
          <w:rFonts w:ascii="Times New Roman" w:hAnsi="Times New Roman" w:cs="Times New Roman"/>
          <w:b/>
          <w:i/>
          <w:sz w:val="24"/>
          <w:szCs w:val="24"/>
        </w:rPr>
        <w:t>Priamit</w:t>
      </w:r>
      <w:proofErr w:type="spellEnd"/>
      <w:r w:rsidR="0074371A" w:rsidRPr="00BF100B">
        <w:rPr>
          <w:rFonts w:ascii="Times New Roman" w:hAnsi="Times New Roman" w:cs="Times New Roman"/>
          <w:sz w:val="24"/>
          <w:szCs w:val="24"/>
        </w:rPr>
        <w:t xml:space="preserve"> and that of </w:t>
      </w:r>
      <w:proofErr w:type="spellStart"/>
      <w:r w:rsidR="0074371A" w:rsidRPr="00BF100B">
        <w:rPr>
          <w:rFonts w:ascii="Times New Roman" w:hAnsi="Times New Roman" w:cs="Times New Roman"/>
          <w:b/>
          <w:i/>
          <w:sz w:val="24"/>
          <w:szCs w:val="24"/>
        </w:rPr>
        <w:t>Specioza</w:t>
      </w:r>
      <w:proofErr w:type="spellEnd"/>
      <w:r w:rsidR="0074371A" w:rsidRPr="00BF100B">
        <w:rPr>
          <w:rFonts w:ascii="Times New Roman" w:hAnsi="Times New Roman" w:cs="Times New Roman"/>
          <w:b/>
          <w:i/>
          <w:sz w:val="24"/>
          <w:szCs w:val="24"/>
        </w:rPr>
        <w:t xml:space="preserve"> </w:t>
      </w:r>
      <w:proofErr w:type="spellStart"/>
      <w:r w:rsidR="0074371A" w:rsidRPr="00BF100B">
        <w:rPr>
          <w:rFonts w:ascii="Times New Roman" w:hAnsi="Times New Roman" w:cs="Times New Roman"/>
          <w:b/>
          <w:i/>
          <w:sz w:val="24"/>
          <w:szCs w:val="24"/>
        </w:rPr>
        <w:t>Kalungi</w:t>
      </w:r>
      <w:proofErr w:type="spellEnd"/>
      <w:r w:rsidR="0074371A" w:rsidRPr="00BF100B">
        <w:rPr>
          <w:rFonts w:ascii="Times New Roman" w:hAnsi="Times New Roman" w:cs="Times New Roman"/>
          <w:sz w:val="24"/>
          <w:szCs w:val="24"/>
        </w:rPr>
        <w:t xml:space="preserve"> did not relate to each</w:t>
      </w:r>
      <w:r w:rsidR="004A5ACB" w:rsidRPr="00BF100B">
        <w:rPr>
          <w:rFonts w:ascii="Times New Roman" w:hAnsi="Times New Roman" w:cs="Times New Roman"/>
          <w:sz w:val="24"/>
          <w:szCs w:val="24"/>
        </w:rPr>
        <w:t xml:space="preserve"> other</w:t>
      </w:r>
      <w:r w:rsidR="0074371A" w:rsidRPr="00BF100B">
        <w:rPr>
          <w:rFonts w:ascii="Times New Roman" w:hAnsi="Times New Roman" w:cs="Times New Roman"/>
          <w:sz w:val="24"/>
          <w:szCs w:val="24"/>
        </w:rPr>
        <w:t xml:space="preserve"> because while the latter dealt with evidence, the former dealt with pleadings. </w:t>
      </w:r>
    </w:p>
    <w:p w:rsidR="00347CB8"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00347CB8" w:rsidRPr="00BF100B">
        <w:rPr>
          <w:rFonts w:ascii="Times New Roman" w:hAnsi="Times New Roman" w:cs="Times New Roman"/>
          <w:sz w:val="24"/>
          <w:szCs w:val="24"/>
        </w:rPr>
        <w:t>for the 1</w:t>
      </w:r>
      <w:r w:rsidR="00347CB8" w:rsidRPr="00BF100B">
        <w:rPr>
          <w:rFonts w:ascii="Times New Roman" w:hAnsi="Times New Roman" w:cs="Times New Roman"/>
          <w:sz w:val="24"/>
          <w:szCs w:val="24"/>
          <w:vertAlign w:val="superscript"/>
        </w:rPr>
        <w:t>st</w:t>
      </w:r>
      <w:r w:rsidR="00347CB8" w:rsidRPr="00BF100B">
        <w:rPr>
          <w:rFonts w:ascii="Times New Roman" w:hAnsi="Times New Roman" w:cs="Times New Roman"/>
          <w:sz w:val="24"/>
          <w:szCs w:val="24"/>
        </w:rPr>
        <w:t xml:space="preserve"> to 23</w:t>
      </w:r>
      <w:r w:rsidR="00347CB8" w:rsidRPr="00BF100B">
        <w:rPr>
          <w:rFonts w:ascii="Times New Roman" w:hAnsi="Times New Roman" w:cs="Times New Roman"/>
          <w:sz w:val="24"/>
          <w:szCs w:val="24"/>
          <w:vertAlign w:val="superscript"/>
        </w:rPr>
        <w:t>rd</w:t>
      </w:r>
      <w:r w:rsidR="00347CB8" w:rsidRPr="00BF100B">
        <w:rPr>
          <w:rFonts w:ascii="Times New Roman" w:hAnsi="Times New Roman" w:cs="Times New Roman"/>
          <w:sz w:val="24"/>
          <w:szCs w:val="24"/>
        </w:rPr>
        <w:t xml:space="preserve"> plaintiffs submitted in rejoinder that it was the duty of the defendant to pay under the </w:t>
      </w:r>
      <w:r w:rsidR="00347CB8" w:rsidRPr="00BF100B">
        <w:rPr>
          <w:rFonts w:ascii="Times New Roman" w:hAnsi="Times New Roman" w:cs="Times New Roman"/>
          <w:b/>
          <w:sz w:val="24"/>
          <w:szCs w:val="24"/>
        </w:rPr>
        <w:t>PERD Statute</w:t>
      </w:r>
      <w:r w:rsidR="00347CB8" w:rsidRPr="00BF100B">
        <w:rPr>
          <w:rFonts w:ascii="Times New Roman" w:hAnsi="Times New Roman" w:cs="Times New Roman"/>
          <w:sz w:val="24"/>
          <w:szCs w:val="24"/>
        </w:rPr>
        <w:t xml:space="preserve"> and the </w:t>
      </w:r>
      <w:r w:rsidR="00347CB8" w:rsidRPr="00BF100B">
        <w:rPr>
          <w:rFonts w:ascii="Times New Roman" w:hAnsi="Times New Roman" w:cs="Times New Roman"/>
          <w:b/>
          <w:sz w:val="24"/>
          <w:szCs w:val="24"/>
        </w:rPr>
        <w:t>PERD (Amendment) Act 2002</w:t>
      </w:r>
      <w:r w:rsidR="00347CB8" w:rsidRPr="00BF100B">
        <w:rPr>
          <w:rFonts w:ascii="Times New Roman" w:hAnsi="Times New Roman" w:cs="Times New Roman"/>
          <w:sz w:val="24"/>
          <w:szCs w:val="24"/>
        </w:rPr>
        <w:t xml:space="preserve">. </w:t>
      </w:r>
      <w:r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00347CB8" w:rsidRPr="00BF100B">
        <w:rPr>
          <w:rFonts w:ascii="Times New Roman" w:hAnsi="Times New Roman" w:cs="Times New Roman"/>
          <w:sz w:val="24"/>
          <w:szCs w:val="24"/>
        </w:rPr>
        <w:t>contended that whereas under the 1993 Statue</w:t>
      </w:r>
      <w:r w:rsidR="004A5ACB" w:rsidRPr="00BF100B">
        <w:rPr>
          <w:rFonts w:ascii="Times New Roman" w:hAnsi="Times New Roman" w:cs="Times New Roman"/>
          <w:sz w:val="24"/>
          <w:szCs w:val="24"/>
        </w:rPr>
        <w:t>,</w:t>
      </w:r>
      <w:r w:rsidR="00347CB8" w:rsidRPr="00BF100B">
        <w:rPr>
          <w:rFonts w:ascii="Times New Roman" w:hAnsi="Times New Roman" w:cs="Times New Roman"/>
          <w:sz w:val="24"/>
          <w:szCs w:val="24"/>
        </w:rPr>
        <w:t xml:space="preserve"> a Company whose sale did not put money in the Divesture Account could not get its creditors paid from the same, after the amendment, payment of creditors could be done from the said account. Further, that there was an alternative to seek budgetary support from the relevant authority. </w:t>
      </w:r>
    </w:p>
    <w:p w:rsidR="002C6E49" w:rsidRPr="00BF100B" w:rsidRDefault="002C6E49"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 have carefully considered the evidence adduced by the parties, the law and the submissions of </w:t>
      </w:r>
      <w:r w:rsidR="003E2098"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in regard to this issue. </w:t>
      </w:r>
    </w:p>
    <w:p w:rsidR="00206837" w:rsidRPr="00BF100B" w:rsidRDefault="002C6E49"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It was an agreed fact at the scheduling conference that the plaintiffs were proved creditors </w:t>
      </w:r>
      <w:r w:rsidR="00804500" w:rsidRPr="00BF100B">
        <w:rPr>
          <w:rFonts w:ascii="Times New Roman" w:hAnsi="Times New Roman" w:cs="Times New Roman"/>
          <w:sz w:val="24"/>
          <w:szCs w:val="24"/>
        </w:rPr>
        <w:t xml:space="preserve">of public enterprises that were divested in liquidation under the </w:t>
      </w:r>
      <w:r w:rsidR="00804500" w:rsidRPr="00BF100B">
        <w:rPr>
          <w:rFonts w:ascii="Times New Roman" w:hAnsi="Times New Roman" w:cs="Times New Roman"/>
          <w:b/>
          <w:sz w:val="24"/>
          <w:szCs w:val="24"/>
        </w:rPr>
        <w:t>PERD Statute</w:t>
      </w:r>
      <w:r w:rsidR="00804500" w:rsidRPr="00BF100B">
        <w:rPr>
          <w:rFonts w:ascii="Times New Roman" w:hAnsi="Times New Roman" w:cs="Times New Roman"/>
          <w:sz w:val="24"/>
          <w:szCs w:val="24"/>
        </w:rPr>
        <w:t xml:space="preserve"> as amen</w:t>
      </w:r>
      <w:r w:rsidR="0006462A" w:rsidRPr="00BF100B">
        <w:rPr>
          <w:rFonts w:ascii="Times New Roman" w:hAnsi="Times New Roman" w:cs="Times New Roman"/>
          <w:sz w:val="24"/>
          <w:szCs w:val="24"/>
        </w:rPr>
        <w:t xml:space="preserve">ded. The first point of dispute is whether the defendant had a duty to pay the plaintiffs under the </w:t>
      </w:r>
      <w:r w:rsidR="0006462A" w:rsidRPr="00BF100B">
        <w:rPr>
          <w:rFonts w:ascii="Times New Roman" w:hAnsi="Times New Roman" w:cs="Times New Roman"/>
          <w:b/>
          <w:sz w:val="24"/>
          <w:szCs w:val="24"/>
        </w:rPr>
        <w:t>PERD Statute</w:t>
      </w:r>
      <w:r w:rsidR="009712FE" w:rsidRPr="00BF100B">
        <w:rPr>
          <w:rFonts w:ascii="Times New Roman" w:hAnsi="Times New Roman" w:cs="Times New Roman"/>
          <w:sz w:val="24"/>
          <w:szCs w:val="24"/>
        </w:rPr>
        <w:t xml:space="preserve"> </w:t>
      </w:r>
      <w:r w:rsidR="00206837" w:rsidRPr="00BF100B">
        <w:rPr>
          <w:rFonts w:ascii="Times New Roman" w:hAnsi="Times New Roman" w:cs="Times New Roman"/>
          <w:sz w:val="24"/>
          <w:szCs w:val="24"/>
        </w:rPr>
        <w:t>upon the liquidation of the public entities where the plaintiffs were proved creditors.</w:t>
      </w:r>
    </w:p>
    <w:p w:rsidR="003244BE" w:rsidRPr="00BF100B" w:rsidRDefault="0020683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From the evidence of DW1, </w:t>
      </w:r>
      <w:r w:rsidR="00F34F4C" w:rsidRPr="00BF100B">
        <w:rPr>
          <w:rFonts w:ascii="Times New Roman" w:hAnsi="Times New Roman" w:cs="Times New Roman"/>
          <w:b/>
          <w:sz w:val="24"/>
          <w:szCs w:val="24"/>
        </w:rPr>
        <w:t>S</w:t>
      </w:r>
      <w:r w:rsidRPr="00BF100B">
        <w:rPr>
          <w:rFonts w:ascii="Times New Roman" w:hAnsi="Times New Roman" w:cs="Times New Roman"/>
          <w:b/>
          <w:sz w:val="24"/>
          <w:szCs w:val="24"/>
        </w:rPr>
        <w:t>ection 2</w:t>
      </w:r>
      <w:r w:rsidRPr="00BF100B">
        <w:rPr>
          <w:rFonts w:ascii="Times New Roman" w:hAnsi="Times New Roman" w:cs="Times New Roman"/>
          <w:sz w:val="24"/>
          <w:szCs w:val="24"/>
        </w:rPr>
        <w:t xml:space="preserve"> and </w:t>
      </w:r>
      <w:r w:rsidR="00F34F4C" w:rsidRPr="00BF100B">
        <w:rPr>
          <w:rFonts w:ascii="Times New Roman" w:hAnsi="Times New Roman" w:cs="Times New Roman"/>
          <w:b/>
          <w:sz w:val="24"/>
          <w:szCs w:val="24"/>
        </w:rPr>
        <w:t>S</w:t>
      </w:r>
      <w:r w:rsidRPr="00BF100B">
        <w:rPr>
          <w:rFonts w:ascii="Times New Roman" w:hAnsi="Times New Roman" w:cs="Times New Roman"/>
          <w:b/>
          <w:sz w:val="24"/>
          <w:szCs w:val="24"/>
        </w:rPr>
        <w:t>ection 34</w:t>
      </w:r>
      <w:r w:rsidRPr="00BF100B">
        <w:rPr>
          <w:rFonts w:ascii="Times New Roman" w:hAnsi="Times New Roman" w:cs="Times New Roman"/>
          <w:sz w:val="24"/>
          <w:szCs w:val="24"/>
        </w:rPr>
        <w:t xml:space="preserve"> of the </w:t>
      </w:r>
      <w:r w:rsidRPr="00BF100B">
        <w:rPr>
          <w:rFonts w:ascii="Times New Roman" w:hAnsi="Times New Roman" w:cs="Times New Roman"/>
          <w:b/>
          <w:sz w:val="24"/>
          <w:szCs w:val="24"/>
        </w:rPr>
        <w:t>PERD Statute</w:t>
      </w:r>
      <w:r w:rsidRPr="00BF100B">
        <w:rPr>
          <w:rFonts w:ascii="Times New Roman" w:hAnsi="Times New Roman" w:cs="Times New Roman"/>
          <w:sz w:val="24"/>
          <w:szCs w:val="24"/>
        </w:rPr>
        <w:t xml:space="preserve"> as well as </w:t>
      </w:r>
      <w:r w:rsidR="00CF3B25" w:rsidRPr="00BF100B">
        <w:rPr>
          <w:rFonts w:ascii="Times New Roman" w:hAnsi="Times New Roman" w:cs="Times New Roman"/>
          <w:b/>
          <w:sz w:val="24"/>
          <w:szCs w:val="24"/>
        </w:rPr>
        <w:t>S</w:t>
      </w:r>
      <w:r w:rsidRPr="00BF100B">
        <w:rPr>
          <w:rFonts w:ascii="Times New Roman" w:hAnsi="Times New Roman" w:cs="Times New Roman"/>
          <w:b/>
          <w:sz w:val="24"/>
          <w:szCs w:val="24"/>
        </w:rPr>
        <w:t xml:space="preserve">ection 21 </w:t>
      </w:r>
      <w:r w:rsidRPr="00BF100B">
        <w:rPr>
          <w:rFonts w:ascii="Times New Roman" w:hAnsi="Times New Roman" w:cs="Times New Roman"/>
          <w:sz w:val="24"/>
          <w:szCs w:val="24"/>
        </w:rPr>
        <w:t xml:space="preserve">of the </w:t>
      </w:r>
      <w:r w:rsidRPr="00BF100B">
        <w:rPr>
          <w:rFonts w:ascii="Times New Roman" w:hAnsi="Times New Roman" w:cs="Times New Roman"/>
          <w:b/>
          <w:sz w:val="24"/>
          <w:szCs w:val="24"/>
        </w:rPr>
        <w:t>PERD (Amendment) Statute</w:t>
      </w:r>
      <w:r w:rsidRPr="00BF100B">
        <w:rPr>
          <w:rFonts w:ascii="Times New Roman" w:hAnsi="Times New Roman" w:cs="Times New Roman"/>
          <w:sz w:val="24"/>
          <w:szCs w:val="24"/>
        </w:rPr>
        <w:t>, were not applicable and did not in any way entitle the plaintiffs to make claims from the defendant. Further, that the plaintiffs</w:t>
      </w:r>
      <w:r w:rsidR="00525AE2" w:rsidRPr="00BF100B">
        <w:rPr>
          <w:rFonts w:ascii="Times New Roman" w:hAnsi="Times New Roman" w:cs="Times New Roman"/>
          <w:sz w:val="24"/>
          <w:szCs w:val="24"/>
        </w:rPr>
        <w:t>’</w:t>
      </w:r>
      <w:r w:rsidRPr="00BF100B">
        <w:rPr>
          <w:rFonts w:ascii="Times New Roman" w:hAnsi="Times New Roman" w:cs="Times New Roman"/>
          <w:sz w:val="24"/>
          <w:szCs w:val="24"/>
        </w:rPr>
        <w:t xml:space="preserve"> claims were only </w:t>
      </w:r>
      <w:r w:rsidR="00525AE2" w:rsidRPr="00BF100B">
        <w:rPr>
          <w:rFonts w:ascii="Times New Roman" w:hAnsi="Times New Roman" w:cs="Times New Roman"/>
          <w:sz w:val="24"/>
          <w:szCs w:val="24"/>
        </w:rPr>
        <w:t>p</w:t>
      </w:r>
      <w:r w:rsidRPr="00BF100B">
        <w:rPr>
          <w:rFonts w:ascii="Times New Roman" w:hAnsi="Times New Roman" w:cs="Times New Roman"/>
          <w:sz w:val="24"/>
          <w:szCs w:val="24"/>
        </w:rPr>
        <w:t>ayable in liquidation</w:t>
      </w:r>
      <w:r w:rsidR="00525AE2" w:rsidRPr="00BF100B">
        <w:rPr>
          <w:rFonts w:ascii="Times New Roman" w:hAnsi="Times New Roman" w:cs="Times New Roman"/>
          <w:sz w:val="24"/>
          <w:szCs w:val="24"/>
        </w:rPr>
        <w:t xml:space="preserve"> and that the defendant could not be held responsible beyond the liability of the divested public companies.</w:t>
      </w:r>
      <w:r w:rsidR="003244BE" w:rsidRPr="00BF100B">
        <w:rPr>
          <w:rFonts w:ascii="Times New Roman" w:hAnsi="Times New Roman" w:cs="Times New Roman"/>
          <w:sz w:val="24"/>
          <w:szCs w:val="24"/>
        </w:rPr>
        <w:t xml:space="preserve"> The plaintiffs on the other hand claimed that the defendant’s liability arose from the </w:t>
      </w:r>
      <w:r w:rsidR="003244BE" w:rsidRPr="00BF100B">
        <w:rPr>
          <w:rFonts w:ascii="Times New Roman" w:hAnsi="Times New Roman" w:cs="Times New Roman"/>
          <w:b/>
          <w:sz w:val="24"/>
          <w:szCs w:val="24"/>
        </w:rPr>
        <w:t>PERD Statute</w:t>
      </w:r>
      <w:r w:rsidR="003244BE" w:rsidRPr="00BF100B">
        <w:rPr>
          <w:rFonts w:ascii="Times New Roman" w:hAnsi="Times New Roman" w:cs="Times New Roman"/>
          <w:sz w:val="24"/>
          <w:szCs w:val="24"/>
        </w:rPr>
        <w:t xml:space="preserve"> and the Development Credit Agreement entered into between Uganda and </w:t>
      </w:r>
      <w:r w:rsidR="004A5ACB" w:rsidRPr="00BF100B">
        <w:rPr>
          <w:rFonts w:ascii="Times New Roman" w:hAnsi="Times New Roman" w:cs="Times New Roman"/>
          <w:sz w:val="24"/>
          <w:szCs w:val="24"/>
        </w:rPr>
        <w:t>the I</w:t>
      </w:r>
      <w:r w:rsidR="003244BE" w:rsidRPr="00BF100B">
        <w:rPr>
          <w:rFonts w:ascii="Times New Roman" w:hAnsi="Times New Roman" w:cs="Times New Roman"/>
          <w:sz w:val="24"/>
          <w:szCs w:val="24"/>
        </w:rPr>
        <w:t xml:space="preserve">nternational Credit Association (World Bank) which provided for budgetary contributions where there were insufficient funds in the Divesture Account. </w:t>
      </w:r>
    </w:p>
    <w:p w:rsidR="003830BA" w:rsidRPr="00BF100B" w:rsidRDefault="00803D98" w:rsidP="003871CA">
      <w:pPr>
        <w:spacing w:line="360" w:lineRule="auto"/>
        <w:jc w:val="both"/>
        <w:rPr>
          <w:rFonts w:ascii="Times New Roman" w:hAnsi="Times New Roman" w:cs="Times New Roman"/>
          <w:sz w:val="24"/>
          <w:szCs w:val="24"/>
        </w:rPr>
      </w:pPr>
      <w:r w:rsidRPr="00BF100B">
        <w:rPr>
          <w:rFonts w:ascii="Times New Roman" w:hAnsi="Times New Roman" w:cs="Times New Roman"/>
          <w:b/>
          <w:sz w:val="24"/>
          <w:szCs w:val="24"/>
        </w:rPr>
        <w:lastRenderedPageBreak/>
        <w:t xml:space="preserve">Section </w:t>
      </w:r>
      <w:r w:rsidR="00F244FC" w:rsidRPr="00BF100B">
        <w:rPr>
          <w:rFonts w:ascii="Times New Roman" w:hAnsi="Times New Roman" w:cs="Times New Roman"/>
          <w:b/>
          <w:sz w:val="24"/>
          <w:szCs w:val="24"/>
        </w:rPr>
        <w:t>1</w:t>
      </w:r>
      <w:r w:rsidRPr="00BF100B">
        <w:rPr>
          <w:rFonts w:ascii="Times New Roman" w:hAnsi="Times New Roman" w:cs="Times New Roman"/>
          <w:sz w:val="24"/>
          <w:szCs w:val="24"/>
        </w:rPr>
        <w:t xml:space="preserve"> of the </w:t>
      </w:r>
      <w:r w:rsidRPr="00BF100B">
        <w:rPr>
          <w:rFonts w:ascii="Times New Roman" w:hAnsi="Times New Roman" w:cs="Times New Roman"/>
          <w:b/>
          <w:sz w:val="24"/>
          <w:szCs w:val="24"/>
        </w:rPr>
        <w:t>PERD Statute</w:t>
      </w:r>
      <w:r w:rsidRPr="00BF100B">
        <w:rPr>
          <w:rFonts w:ascii="Times New Roman" w:hAnsi="Times New Roman" w:cs="Times New Roman"/>
          <w:sz w:val="24"/>
          <w:szCs w:val="24"/>
        </w:rPr>
        <w:t xml:space="preserve"> defines the Divesture Account as an account established by virtue of the Development Credit Agreemen</w:t>
      </w:r>
      <w:r w:rsidR="00197C2A" w:rsidRPr="00BF100B">
        <w:rPr>
          <w:rFonts w:ascii="Times New Roman" w:hAnsi="Times New Roman" w:cs="Times New Roman"/>
          <w:sz w:val="24"/>
          <w:szCs w:val="24"/>
        </w:rPr>
        <w:t>t.</w:t>
      </w:r>
      <w:r w:rsidR="00697889" w:rsidRPr="00BF100B">
        <w:rPr>
          <w:rFonts w:ascii="Times New Roman" w:hAnsi="Times New Roman" w:cs="Times New Roman"/>
          <w:sz w:val="24"/>
          <w:szCs w:val="24"/>
        </w:rPr>
        <w:t xml:space="preserve"> According to the said Act, all proceeds of divesture </w:t>
      </w:r>
      <w:r w:rsidR="00824623" w:rsidRPr="00BF100B">
        <w:rPr>
          <w:rFonts w:ascii="Times New Roman" w:hAnsi="Times New Roman" w:cs="Times New Roman"/>
          <w:sz w:val="24"/>
          <w:szCs w:val="24"/>
        </w:rPr>
        <w:t xml:space="preserve">of a public enterprise would be deposited in the divesture account. The above proceeds deposited in the Divesture Account would apparently be used to </w:t>
      </w:r>
      <w:r w:rsidR="003830BA" w:rsidRPr="00BF100B">
        <w:rPr>
          <w:rFonts w:ascii="Times New Roman" w:hAnsi="Times New Roman" w:cs="Times New Roman"/>
          <w:sz w:val="24"/>
          <w:szCs w:val="24"/>
        </w:rPr>
        <w:t xml:space="preserve">settle liabilities of the divested companies. </w:t>
      </w:r>
    </w:p>
    <w:p w:rsidR="00191BA7" w:rsidRPr="00BF100B" w:rsidRDefault="003830BA"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In the present case, upon the liquidation of the divested companies, the liquidators filed a report indicating that there was a shortfall to creditors, which meant that there were no surplus f</w:t>
      </w:r>
      <w:r w:rsidR="00191BA7" w:rsidRPr="00BF100B">
        <w:rPr>
          <w:rFonts w:ascii="Times New Roman" w:hAnsi="Times New Roman" w:cs="Times New Roman"/>
          <w:sz w:val="24"/>
          <w:szCs w:val="24"/>
        </w:rPr>
        <w:t xml:space="preserve">unds available for payment into </w:t>
      </w:r>
      <w:r w:rsidRPr="00BF100B">
        <w:rPr>
          <w:rFonts w:ascii="Times New Roman" w:hAnsi="Times New Roman" w:cs="Times New Roman"/>
          <w:sz w:val="24"/>
          <w:szCs w:val="24"/>
        </w:rPr>
        <w:t xml:space="preserve">the Divesture Account. I agree with the evidence of the defendant that </w:t>
      </w:r>
      <w:r w:rsidR="00191BA7" w:rsidRPr="00BF100B">
        <w:rPr>
          <w:rFonts w:ascii="Times New Roman" w:hAnsi="Times New Roman" w:cs="Times New Roman"/>
          <w:sz w:val="24"/>
          <w:szCs w:val="24"/>
        </w:rPr>
        <w:t>the plaintiffs could only be paid from the Divesture Account if any funds were deposited in the said account from the liquidation proceeds</w:t>
      </w:r>
      <w:r w:rsidR="004A5ACB" w:rsidRPr="00BF100B">
        <w:rPr>
          <w:rFonts w:ascii="Times New Roman" w:hAnsi="Times New Roman" w:cs="Times New Roman"/>
          <w:sz w:val="24"/>
          <w:szCs w:val="24"/>
        </w:rPr>
        <w:t xml:space="preserve"> of the companies under which they claimed</w:t>
      </w:r>
      <w:r w:rsidR="00191BA7" w:rsidRPr="00BF100B">
        <w:rPr>
          <w:rFonts w:ascii="Times New Roman" w:hAnsi="Times New Roman" w:cs="Times New Roman"/>
          <w:sz w:val="24"/>
          <w:szCs w:val="24"/>
        </w:rPr>
        <w:t xml:space="preserve">. </w:t>
      </w:r>
      <w:r w:rsidR="00191BA7" w:rsidRPr="00BF100B">
        <w:rPr>
          <w:rFonts w:ascii="Times New Roman" w:hAnsi="Times New Roman" w:cs="Times New Roman"/>
          <w:b/>
          <w:i/>
          <w:sz w:val="24"/>
          <w:szCs w:val="24"/>
        </w:rPr>
        <w:t xml:space="preserve">(Also see </w:t>
      </w:r>
      <w:proofErr w:type="spellStart"/>
      <w:r w:rsidR="00191BA7" w:rsidRPr="00BF100B">
        <w:rPr>
          <w:rFonts w:ascii="Times New Roman" w:hAnsi="Times New Roman" w:cs="Times New Roman"/>
          <w:b/>
          <w:i/>
          <w:sz w:val="24"/>
          <w:szCs w:val="24"/>
        </w:rPr>
        <w:t>Spe</w:t>
      </w:r>
      <w:r w:rsidR="00F00887" w:rsidRPr="00BF100B">
        <w:rPr>
          <w:rFonts w:ascii="Times New Roman" w:hAnsi="Times New Roman" w:cs="Times New Roman"/>
          <w:b/>
          <w:i/>
          <w:sz w:val="24"/>
          <w:szCs w:val="24"/>
        </w:rPr>
        <w:t>cioza</w:t>
      </w:r>
      <w:proofErr w:type="spellEnd"/>
      <w:r w:rsidR="00F00887" w:rsidRPr="00BF100B">
        <w:rPr>
          <w:rFonts w:ascii="Times New Roman" w:hAnsi="Times New Roman" w:cs="Times New Roman"/>
          <w:b/>
          <w:i/>
          <w:sz w:val="24"/>
          <w:szCs w:val="24"/>
        </w:rPr>
        <w:t xml:space="preserve"> </w:t>
      </w:r>
      <w:proofErr w:type="spellStart"/>
      <w:r w:rsidR="00F00887" w:rsidRPr="00BF100B">
        <w:rPr>
          <w:rFonts w:ascii="Times New Roman" w:hAnsi="Times New Roman" w:cs="Times New Roman"/>
          <w:b/>
          <w:i/>
          <w:sz w:val="24"/>
          <w:szCs w:val="24"/>
        </w:rPr>
        <w:t>Kalungi</w:t>
      </w:r>
      <w:proofErr w:type="spellEnd"/>
      <w:r w:rsidR="00F00887" w:rsidRPr="00BF100B">
        <w:rPr>
          <w:rFonts w:ascii="Times New Roman" w:hAnsi="Times New Roman" w:cs="Times New Roman"/>
          <w:b/>
          <w:i/>
          <w:sz w:val="24"/>
          <w:szCs w:val="24"/>
        </w:rPr>
        <w:t xml:space="preserve"> &amp; 62 Others </w:t>
      </w:r>
      <w:proofErr w:type="spellStart"/>
      <w:r w:rsidR="00F00887" w:rsidRPr="00BF100B">
        <w:rPr>
          <w:rFonts w:ascii="Times New Roman" w:hAnsi="Times New Roman" w:cs="Times New Roman"/>
          <w:b/>
          <w:i/>
          <w:sz w:val="24"/>
          <w:szCs w:val="24"/>
        </w:rPr>
        <w:t>V</w:t>
      </w:r>
      <w:r w:rsidR="00191BA7" w:rsidRPr="00BF100B">
        <w:rPr>
          <w:rFonts w:ascii="Times New Roman" w:hAnsi="Times New Roman" w:cs="Times New Roman"/>
          <w:b/>
          <w:i/>
          <w:sz w:val="24"/>
          <w:szCs w:val="24"/>
        </w:rPr>
        <w:t>s</w:t>
      </w:r>
      <w:proofErr w:type="spellEnd"/>
      <w:r w:rsidR="00191BA7" w:rsidRPr="00BF100B">
        <w:rPr>
          <w:rFonts w:ascii="Times New Roman" w:hAnsi="Times New Roman" w:cs="Times New Roman"/>
          <w:b/>
          <w:i/>
          <w:sz w:val="24"/>
          <w:szCs w:val="24"/>
        </w:rPr>
        <w:t xml:space="preserve"> </w:t>
      </w:r>
      <w:proofErr w:type="gramStart"/>
      <w:r w:rsidR="00191BA7" w:rsidRPr="00BF100B">
        <w:rPr>
          <w:rFonts w:ascii="Times New Roman" w:hAnsi="Times New Roman" w:cs="Times New Roman"/>
          <w:b/>
          <w:i/>
          <w:sz w:val="24"/>
          <w:szCs w:val="24"/>
        </w:rPr>
        <w:t>The</w:t>
      </w:r>
      <w:proofErr w:type="gramEnd"/>
      <w:r w:rsidR="00191BA7" w:rsidRPr="00BF100B">
        <w:rPr>
          <w:rFonts w:ascii="Times New Roman" w:hAnsi="Times New Roman" w:cs="Times New Roman"/>
          <w:b/>
          <w:i/>
          <w:sz w:val="24"/>
          <w:szCs w:val="24"/>
        </w:rPr>
        <w:t xml:space="preserve"> Attorney General Court of Appeal Civil Appeal No.</w:t>
      </w:r>
      <w:r w:rsidR="00F00887" w:rsidRPr="00BF100B">
        <w:rPr>
          <w:rFonts w:ascii="Times New Roman" w:hAnsi="Times New Roman" w:cs="Times New Roman"/>
          <w:b/>
          <w:i/>
          <w:sz w:val="24"/>
          <w:szCs w:val="24"/>
        </w:rPr>
        <w:t xml:space="preserve"> </w:t>
      </w:r>
      <w:r w:rsidR="00191BA7" w:rsidRPr="00BF100B">
        <w:rPr>
          <w:rFonts w:ascii="Times New Roman" w:hAnsi="Times New Roman" w:cs="Times New Roman"/>
          <w:b/>
          <w:i/>
          <w:sz w:val="24"/>
          <w:szCs w:val="24"/>
        </w:rPr>
        <w:t>76 of 2011)</w:t>
      </w:r>
      <w:r w:rsidR="00191BA7" w:rsidRPr="00BF100B">
        <w:rPr>
          <w:rFonts w:ascii="Times New Roman" w:hAnsi="Times New Roman" w:cs="Times New Roman"/>
          <w:sz w:val="24"/>
          <w:szCs w:val="24"/>
        </w:rPr>
        <w:t>.</w:t>
      </w:r>
      <w:r w:rsidR="00697889" w:rsidRPr="00BF100B">
        <w:rPr>
          <w:rFonts w:ascii="Times New Roman" w:hAnsi="Times New Roman" w:cs="Times New Roman"/>
          <w:sz w:val="24"/>
          <w:szCs w:val="24"/>
        </w:rPr>
        <w:t xml:space="preserve"> </w:t>
      </w:r>
      <w:r w:rsidR="00197C2A" w:rsidRPr="00BF100B">
        <w:rPr>
          <w:rFonts w:ascii="Times New Roman" w:hAnsi="Times New Roman" w:cs="Times New Roman"/>
          <w:sz w:val="24"/>
          <w:szCs w:val="24"/>
        </w:rPr>
        <w:t xml:space="preserve"> </w:t>
      </w:r>
    </w:p>
    <w:p w:rsidR="002D794F" w:rsidRPr="00BF100B" w:rsidRDefault="00191BA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plaintiff raised an argument </w:t>
      </w:r>
      <w:r w:rsidR="00FA358B" w:rsidRPr="00BF100B">
        <w:rPr>
          <w:rFonts w:ascii="Times New Roman" w:hAnsi="Times New Roman" w:cs="Times New Roman"/>
          <w:sz w:val="24"/>
          <w:szCs w:val="24"/>
        </w:rPr>
        <w:t xml:space="preserve">that the defendant had a statutory duty to seek budgetary contribution in order to pay the plaintiffs. </w:t>
      </w:r>
      <w:r w:rsidR="003E2098"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00D62E1B" w:rsidRPr="00BF100B">
        <w:rPr>
          <w:rFonts w:ascii="Times New Roman" w:hAnsi="Times New Roman" w:cs="Times New Roman"/>
          <w:sz w:val="24"/>
          <w:szCs w:val="24"/>
        </w:rPr>
        <w:t xml:space="preserve">for the plaintiffs cited </w:t>
      </w:r>
      <w:r w:rsidR="006950AD" w:rsidRPr="00BF100B">
        <w:rPr>
          <w:rFonts w:ascii="Times New Roman" w:hAnsi="Times New Roman" w:cs="Times New Roman"/>
          <w:b/>
          <w:sz w:val="24"/>
          <w:szCs w:val="24"/>
        </w:rPr>
        <w:t>S</w:t>
      </w:r>
      <w:r w:rsidR="00D62E1B" w:rsidRPr="00BF100B">
        <w:rPr>
          <w:rFonts w:ascii="Times New Roman" w:hAnsi="Times New Roman" w:cs="Times New Roman"/>
          <w:b/>
          <w:sz w:val="24"/>
          <w:szCs w:val="24"/>
        </w:rPr>
        <w:t>ection 34</w:t>
      </w:r>
      <w:r w:rsidR="00D62E1B" w:rsidRPr="00BF100B">
        <w:rPr>
          <w:rFonts w:ascii="Times New Roman" w:hAnsi="Times New Roman" w:cs="Times New Roman"/>
          <w:sz w:val="24"/>
          <w:szCs w:val="24"/>
        </w:rPr>
        <w:t xml:space="preserve"> of the </w:t>
      </w:r>
      <w:r w:rsidR="00D62E1B" w:rsidRPr="00BF100B">
        <w:rPr>
          <w:rFonts w:ascii="Times New Roman" w:hAnsi="Times New Roman" w:cs="Times New Roman"/>
          <w:b/>
          <w:sz w:val="24"/>
          <w:szCs w:val="24"/>
        </w:rPr>
        <w:t>PERD Statute</w:t>
      </w:r>
      <w:r w:rsidR="00D62E1B" w:rsidRPr="00BF100B">
        <w:rPr>
          <w:rFonts w:ascii="Times New Roman" w:hAnsi="Times New Roman" w:cs="Times New Roman"/>
          <w:sz w:val="24"/>
          <w:szCs w:val="24"/>
        </w:rPr>
        <w:t xml:space="preserve">, where it was provided that divesture would not prejudice the right of any person who had suffered damage from obtaining fair, adequate and prompt redress in respect of the damage. In </w:t>
      </w:r>
      <w:r w:rsidR="00A17E5B" w:rsidRPr="00BF100B">
        <w:rPr>
          <w:rFonts w:ascii="Times New Roman" w:hAnsi="Times New Roman" w:cs="Times New Roman"/>
          <w:sz w:val="24"/>
          <w:szCs w:val="24"/>
        </w:rPr>
        <w:t>C</w:t>
      </w:r>
      <w:r w:rsidR="00D62E1B" w:rsidRPr="00BF100B">
        <w:rPr>
          <w:rFonts w:ascii="Times New Roman" w:hAnsi="Times New Roman" w:cs="Times New Roman"/>
          <w:sz w:val="24"/>
          <w:szCs w:val="24"/>
        </w:rPr>
        <w:t>ounsel’s view, the defendant had a duty to meet the plaintiffs’ claims considering that the liquidation was forced upon them as a result of the Government policy</w:t>
      </w:r>
      <w:r w:rsidR="002D794F" w:rsidRPr="00BF100B">
        <w:rPr>
          <w:rFonts w:ascii="Times New Roman" w:hAnsi="Times New Roman" w:cs="Times New Roman"/>
          <w:sz w:val="24"/>
          <w:szCs w:val="24"/>
        </w:rPr>
        <w:t xml:space="preserve">. </w:t>
      </w:r>
    </w:p>
    <w:p w:rsidR="006958D4" w:rsidRPr="00BF100B" w:rsidRDefault="002D794F"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 find that this case is closely similar to that of </w:t>
      </w:r>
      <w:proofErr w:type="spellStart"/>
      <w:r w:rsidRPr="00BF100B">
        <w:rPr>
          <w:rFonts w:ascii="Times New Roman" w:hAnsi="Times New Roman" w:cs="Times New Roman"/>
          <w:b/>
          <w:i/>
          <w:sz w:val="24"/>
          <w:szCs w:val="24"/>
        </w:rPr>
        <w:t>Sp</w:t>
      </w:r>
      <w:r w:rsidR="00DE208F" w:rsidRPr="00BF100B">
        <w:rPr>
          <w:rFonts w:ascii="Times New Roman" w:hAnsi="Times New Roman" w:cs="Times New Roman"/>
          <w:b/>
          <w:i/>
          <w:sz w:val="24"/>
          <w:szCs w:val="24"/>
        </w:rPr>
        <w:t>ecioza</w:t>
      </w:r>
      <w:proofErr w:type="spellEnd"/>
      <w:r w:rsidR="00DE208F" w:rsidRPr="00BF100B">
        <w:rPr>
          <w:rFonts w:ascii="Times New Roman" w:hAnsi="Times New Roman" w:cs="Times New Roman"/>
          <w:b/>
          <w:i/>
          <w:sz w:val="24"/>
          <w:szCs w:val="24"/>
        </w:rPr>
        <w:t xml:space="preserve"> </w:t>
      </w:r>
      <w:proofErr w:type="spellStart"/>
      <w:r w:rsidR="00DE208F" w:rsidRPr="00BF100B">
        <w:rPr>
          <w:rFonts w:ascii="Times New Roman" w:hAnsi="Times New Roman" w:cs="Times New Roman"/>
          <w:b/>
          <w:i/>
          <w:sz w:val="24"/>
          <w:szCs w:val="24"/>
        </w:rPr>
        <w:t>Klaungi</w:t>
      </w:r>
      <w:proofErr w:type="spellEnd"/>
      <w:r w:rsidR="00DE208F" w:rsidRPr="00BF100B">
        <w:rPr>
          <w:rFonts w:ascii="Times New Roman" w:hAnsi="Times New Roman" w:cs="Times New Roman"/>
          <w:b/>
          <w:i/>
          <w:sz w:val="24"/>
          <w:szCs w:val="24"/>
        </w:rPr>
        <w:t xml:space="preserve"> &amp; 62 Others </w:t>
      </w:r>
      <w:proofErr w:type="spellStart"/>
      <w:r w:rsidR="00DE208F" w:rsidRPr="00BF100B">
        <w:rPr>
          <w:rFonts w:ascii="Times New Roman" w:hAnsi="Times New Roman" w:cs="Times New Roman"/>
          <w:b/>
          <w:i/>
          <w:sz w:val="24"/>
          <w:szCs w:val="24"/>
        </w:rPr>
        <w:t>V</w:t>
      </w:r>
      <w:r w:rsidRPr="00BF100B">
        <w:rPr>
          <w:rFonts w:ascii="Times New Roman" w:hAnsi="Times New Roman" w:cs="Times New Roman"/>
          <w:b/>
          <w:i/>
          <w:sz w:val="24"/>
          <w:szCs w:val="24"/>
        </w:rPr>
        <w:t>s</w:t>
      </w:r>
      <w:proofErr w:type="spellEnd"/>
      <w:r w:rsidRPr="00BF100B">
        <w:rPr>
          <w:rFonts w:ascii="Times New Roman" w:hAnsi="Times New Roman" w:cs="Times New Roman"/>
          <w:b/>
          <w:i/>
          <w:sz w:val="24"/>
          <w:szCs w:val="24"/>
        </w:rPr>
        <w:t xml:space="preserve"> </w:t>
      </w:r>
      <w:proofErr w:type="gramStart"/>
      <w:r w:rsidRPr="00BF100B">
        <w:rPr>
          <w:rFonts w:ascii="Times New Roman" w:hAnsi="Times New Roman" w:cs="Times New Roman"/>
          <w:b/>
          <w:i/>
          <w:sz w:val="24"/>
          <w:szCs w:val="24"/>
        </w:rPr>
        <w:t>The</w:t>
      </w:r>
      <w:proofErr w:type="gramEnd"/>
      <w:r w:rsidRPr="00BF100B">
        <w:rPr>
          <w:rFonts w:ascii="Times New Roman" w:hAnsi="Times New Roman" w:cs="Times New Roman"/>
          <w:b/>
          <w:i/>
          <w:sz w:val="24"/>
          <w:szCs w:val="24"/>
        </w:rPr>
        <w:t xml:space="preserve"> Attorney General (Supra)</w:t>
      </w:r>
      <w:r w:rsidRPr="00BF100B">
        <w:rPr>
          <w:rFonts w:ascii="Times New Roman" w:hAnsi="Times New Roman" w:cs="Times New Roman"/>
          <w:sz w:val="24"/>
          <w:szCs w:val="24"/>
        </w:rPr>
        <w:t xml:space="preserve">; in both cases, the claimants were proved creditors of public entities that were divested but whose proceeds were not sufficient to meet the claims of the creditors. </w:t>
      </w:r>
      <w:r w:rsidR="003E2098"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the defendant invited this Court to consider as binding the decision of </w:t>
      </w:r>
      <w:proofErr w:type="spellStart"/>
      <w:r w:rsidRPr="00BF100B">
        <w:rPr>
          <w:rFonts w:ascii="Times New Roman" w:hAnsi="Times New Roman" w:cs="Times New Roman"/>
          <w:b/>
          <w:i/>
          <w:sz w:val="24"/>
          <w:szCs w:val="24"/>
        </w:rPr>
        <w:t>Priamit</w:t>
      </w:r>
      <w:proofErr w:type="spellEnd"/>
      <w:r w:rsidRPr="00BF100B">
        <w:rPr>
          <w:rFonts w:ascii="Times New Roman" w:hAnsi="Times New Roman" w:cs="Times New Roman"/>
          <w:b/>
          <w:i/>
          <w:sz w:val="24"/>
          <w:szCs w:val="24"/>
        </w:rPr>
        <w:t xml:space="preserve"> Enterprises Ltd Versus Attorney General (Supra),</w:t>
      </w:r>
      <w:r w:rsidRPr="00BF100B">
        <w:rPr>
          <w:rFonts w:ascii="Times New Roman" w:hAnsi="Times New Roman" w:cs="Times New Roman"/>
          <w:sz w:val="24"/>
          <w:szCs w:val="24"/>
        </w:rPr>
        <w:t xml:space="preserve"> where it was held that</w:t>
      </w:r>
      <w:r w:rsidR="00E71F32" w:rsidRPr="00BF100B">
        <w:rPr>
          <w:rFonts w:ascii="Times New Roman" w:hAnsi="Times New Roman" w:cs="Times New Roman"/>
          <w:sz w:val="24"/>
          <w:szCs w:val="24"/>
        </w:rPr>
        <w:t xml:space="preserve"> for a plaint to disclose a cause of action on the basis of </w:t>
      </w:r>
      <w:r w:rsidR="00A17E5B" w:rsidRPr="00BF100B">
        <w:rPr>
          <w:rFonts w:ascii="Times New Roman" w:hAnsi="Times New Roman" w:cs="Times New Roman"/>
          <w:b/>
          <w:sz w:val="24"/>
          <w:szCs w:val="24"/>
        </w:rPr>
        <w:t>S</w:t>
      </w:r>
      <w:r w:rsidR="00E71F32" w:rsidRPr="00BF100B">
        <w:rPr>
          <w:rFonts w:ascii="Times New Roman" w:hAnsi="Times New Roman" w:cs="Times New Roman"/>
          <w:b/>
          <w:sz w:val="24"/>
          <w:szCs w:val="24"/>
        </w:rPr>
        <w:t>ection 23(a)</w:t>
      </w:r>
      <w:r w:rsidR="00E71F32" w:rsidRPr="00BF100B">
        <w:rPr>
          <w:rFonts w:ascii="Times New Roman" w:hAnsi="Times New Roman" w:cs="Times New Roman"/>
          <w:sz w:val="24"/>
          <w:szCs w:val="24"/>
        </w:rPr>
        <w:t xml:space="preserve"> of the </w:t>
      </w:r>
      <w:r w:rsidR="00E71F32" w:rsidRPr="00BF100B">
        <w:rPr>
          <w:rFonts w:ascii="Times New Roman" w:hAnsi="Times New Roman" w:cs="Times New Roman"/>
          <w:b/>
          <w:sz w:val="24"/>
          <w:szCs w:val="24"/>
        </w:rPr>
        <w:t>PERD Statute</w:t>
      </w:r>
      <w:r w:rsidR="00E71F32" w:rsidRPr="00BF100B">
        <w:rPr>
          <w:rFonts w:ascii="Times New Roman" w:hAnsi="Times New Roman" w:cs="Times New Roman"/>
          <w:sz w:val="24"/>
          <w:szCs w:val="24"/>
        </w:rPr>
        <w:t xml:space="preserve">, it must aver that the debtor public enterprise had been sold and the proceeds of sale were on the Divesture Account. I agree with the submission of </w:t>
      </w:r>
      <w:r w:rsidR="003E2098" w:rsidRPr="00BF100B">
        <w:rPr>
          <w:rFonts w:ascii="Times New Roman" w:hAnsi="Times New Roman" w:cs="Times New Roman"/>
          <w:sz w:val="24"/>
          <w:szCs w:val="24"/>
        </w:rPr>
        <w:t>Counsel</w:t>
      </w:r>
      <w:r w:rsidR="00115A83" w:rsidRPr="00BF100B">
        <w:rPr>
          <w:rFonts w:ascii="Times New Roman" w:hAnsi="Times New Roman" w:cs="Times New Roman"/>
          <w:sz w:val="24"/>
          <w:szCs w:val="24"/>
        </w:rPr>
        <w:t xml:space="preserve"> </w:t>
      </w:r>
      <w:r w:rsidR="00E71F32" w:rsidRPr="00BF100B">
        <w:rPr>
          <w:rFonts w:ascii="Times New Roman" w:hAnsi="Times New Roman" w:cs="Times New Roman"/>
          <w:sz w:val="24"/>
          <w:szCs w:val="24"/>
        </w:rPr>
        <w:t xml:space="preserve">for the plaintiffs that the above case is distinguishable from the present one. First, </w:t>
      </w:r>
      <w:r w:rsidR="006958D4" w:rsidRPr="00BF100B">
        <w:rPr>
          <w:rFonts w:ascii="Times New Roman" w:hAnsi="Times New Roman" w:cs="Times New Roman"/>
          <w:sz w:val="24"/>
          <w:szCs w:val="24"/>
        </w:rPr>
        <w:t xml:space="preserve">the </w:t>
      </w:r>
      <w:proofErr w:type="spellStart"/>
      <w:r w:rsidR="006958D4" w:rsidRPr="00BF100B">
        <w:rPr>
          <w:rFonts w:ascii="Times New Roman" w:hAnsi="Times New Roman" w:cs="Times New Roman"/>
          <w:b/>
          <w:i/>
          <w:sz w:val="24"/>
          <w:szCs w:val="24"/>
        </w:rPr>
        <w:t>Priamit</w:t>
      </w:r>
      <w:proofErr w:type="spellEnd"/>
      <w:r w:rsidR="006958D4" w:rsidRPr="00BF100B">
        <w:rPr>
          <w:rFonts w:ascii="Times New Roman" w:hAnsi="Times New Roman" w:cs="Times New Roman"/>
          <w:b/>
          <w:i/>
          <w:sz w:val="24"/>
          <w:szCs w:val="24"/>
        </w:rPr>
        <w:t xml:space="preserve"> Enterprises</w:t>
      </w:r>
      <w:r w:rsidR="006958D4" w:rsidRPr="00BF100B">
        <w:rPr>
          <w:rFonts w:ascii="Times New Roman" w:hAnsi="Times New Roman" w:cs="Times New Roman"/>
          <w:sz w:val="24"/>
          <w:szCs w:val="24"/>
        </w:rPr>
        <w:t xml:space="preserve"> case was based on a preliminary point of law that the plaint did not disclose a cause of action. In </w:t>
      </w:r>
      <w:proofErr w:type="spellStart"/>
      <w:r w:rsidR="006958D4" w:rsidRPr="00BF100B">
        <w:rPr>
          <w:rFonts w:ascii="Times New Roman" w:hAnsi="Times New Roman" w:cs="Times New Roman"/>
          <w:b/>
          <w:i/>
          <w:sz w:val="24"/>
          <w:szCs w:val="24"/>
        </w:rPr>
        <w:t>Specioza</w:t>
      </w:r>
      <w:proofErr w:type="spellEnd"/>
      <w:r w:rsidR="006958D4" w:rsidRPr="00BF100B">
        <w:rPr>
          <w:rFonts w:ascii="Times New Roman" w:hAnsi="Times New Roman" w:cs="Times New Roman"/>
          <w:b/>
          <w:i/>
          <w:sz w:val="24"/>
          <w:szCs w:val="24"/>
        </w:rPr>
        <w:t xml:space="preserve"> </w:t>
      </w:r>
      <w:proofErr w:type="spellStart"/>
      <w:r w:rsidR="006958D4" w:rsidRPr="00BF100B">
        <w:rPr>
          <w:rFonts w:ascii="Times New Roman" w:hAnsi="Times New Roman" w:cs="Times New Roman"/>
          <w:b/>
          <w:i/>
          <w:sz w:val="24"/>
          <w:szCs w:val="24"/>
        </w:rPr>
        <w:t>Kaluungi</w:t>
      </w:r>
      <w:proofErr w:type="spellEnd"/>
      <w:r w:rsidR="006958D4" w:rsidRPr="00BF100B">
        <w:rPr>
          <w:rFonts w:ascii="Times New Roman" w:hAnsi="Times New Roman" w:cs="Times New Roman"/>
          <w:sz w:val="24"/>
          <w:szCs w:val="24"/>
        </w:rPr>
        <w:t xml:space="preserve"> which has similar facts like the present case, the </w:t>
      </w:r>
      <w:r w:rsidR="004B3FF2" w:rsidRPr="00BF100B">
        <w:rPr>
          <w:rFonts w:ascii="Times New Roman" w:hAnsi="Times New Roman" w:cs="Times New Roman"/>
          <w:sz w:val="24"/>
          <w:szCs w:val="24"/>
        </w:rPr>
        <w:t>c</w:t>
      </w:r>
      <w:r w:rsidR="006958D4" w:rsidRPr="00BF100B">
        <w:rPr>
          <w:rFonts w:ascii="Times New Roman" w:hAnsi="Times New Roman" w:cs="Times New Roman"/>
          <w:sz w:val="24"/>
          <w:szCs w:val="24"/>
        </w:rPr>
        <w:t xml:space="preserve">ourt distinguished the </w:t>
      </w:r>
      <w:proofErr w:type="spellStart"/>
      <w:r w:rsidR="006958D4" w:rsidRPr="00BF100B">
        <w:rPr>
          <w:rFonts w:ascii="Times New Roman" w:hAnsi="Times New Roman" w:cs="Times New Roman"/>
          <w:b/>
          <w:i/>
          <w:sz w:val="24"/>
          <w:szCs w:val="24"/>
        </w:rPr>
        <w:t>Priamit</w:t>
      </w:r>
      <w:proofErr w:type="spellEnd"/>
      <w:r w:rsidR="006958D4" w:rsidRPr="00BF100B">
        <w:rPr>
          <w:rFonts w:ascii="Times New Roman" w:hAnsi="Times New Roman" w:cs="Times New Roman"/>
          <w:sz w:val="24"/>
          <w:szCs w:val="24"/>
        </w:rPr>
        <w:t xml:space="preserve"> case and stated that in the said case, UTC was a corporate body with capacity to sue and be sued since by the time, the divesture process had not yet been complete. Further, that in the said case, the plaint did not indicate in its pleadings that </w:t>
      </w:r>
      <w:r w:rsidR="006958D4" w:rsidRPr="00BF100B">
        <w:rPr>
          <w:rFonts w:ascii="Times New Roman" w:hAnsi="Times New Roman" w:cs="Times New Roman"/>
          <w:sz w:val="24"/>
          <w:szCs w:val="24"/>
        </w:rPr>
        <w:lastRenderedPageBreak/>
        <w:t xml:space="preserve">the creditors were claiming under </w:t>
      </w:r>
      <w:r w:rsidR="006958D4" w:rsidRPr="00BF100B">
        <w:rPr>
          <w:rFonts w:ascii="Times New Roman" w:hAnsi="Times New Roman" w:cs="Times New Roman"/>
          <w:b/>
          <w:sz w:val="24"/>
          <w:szCs w:val="24"/>
        </w:rPr>
        <w:t>Section 23</w:t>
      </w:r>
      <w:r w:rsidR="006958D4" w:rsidRPr="00BF100B">
        <w:rPr>
          <w:rFonts w:ascii="Times New Roman" w:hAnsi="Times New Roman" w:cs="Times New Roman"/>
          <w:sz w:val="24"/>
          <w:szCs w:val="24"/>
        </w:rPr>
        <w:t xml:space="preserve"> of the </w:t>
      </w:r>
      <w:r w:rsidR="006958D4" w:rsidRPr="00BF100B">
        <w:rPr>
          <w:rFonts w:ascii="Times New Roman" w:hAnsi="Times New Roman" w:cs="Times New Roman"/>
          <w:b/>
          <w:sz w:val="24"/>
          <w:szCs w:val="24"/>
        </w:rPr>
        <w:t>PERD Statute</w:t>
      </w:r>
      <w:r w:rsidR="006958D4" w:rsidRPr="00BF100B">
        <w:rPr>
          <w:rFonts w:ascii="Times New Roman" w:hAnsi="Times New Roman" w:cs="Times New Roman"/>
          <w:sz w:val="24"/>
          <w:szCs w:val="24"/>
        </w:rPr>
        <w:t xml:space="preserve"> but was founded on the allegation that by the Governm</w:t>
      </w:r>
      <w:r w:rsidR="00ED1444" w:rsidRPr="00BF100B">
        <w:rPr>
          <w:rFonts w:ascii="Times New Roman" w:hAnsi="Times New Roman" w:cs="Times New Roman"/>
          <w:sz w:val="24"/>
          <w:szCs w:val="24"/>
        </w:rPr>
        <w:t xml:space="preserve">ent being the sole shareholder, </w:t>
      </w:r>
      <w:r w:rsidR="006958D4" w:rsidRPr="00BF100B">
        <w:rPr>
          <w:rFonts w:ascii="Times New Roman" w:hAnsi="Times New Roman" w:cs="Times New Roman"/>
          <w:sz w:val="24"/>
          <w:szCs w:val="24"/>
        </w:rPr>
        <w:t xml:space="preserve">the Attorney General was responsible.  The </w:t>
      </w:r>
      <w:r w:rsidR="001A5D4B" w:rsidRPr="00BF100B">
        <w:rPr>
          <w:rFonts w:ascii="Times New Roman" w:hAnsi="Times New Roman" w:cs="Times New Roman"/>
          <w:sz w:val="24"/>
          <w:szCs w:val="24"/>
        </w:rPr>
        <w:t>c</w:t>
      </w:r>
      <w:r w:rsidR="006958D4" w:rsidRPr="00BF100B">
        <w:rPr>
          <w:rFonts w:ascii="Times New Roman" w:hAnsi="Times New Roman" w:cs="Times New Roman"/>
          <w:sz w:val="24"/>
          <w:szCs w:val="24"/>
        </w:rPr>
        <w:t>ourt further held as follows:</w:t>
      </w:r>
      <w:r w:rsidR="00ED1444" w:rsidRPr="00BF100B">
        <w:rPr>
          <w:rFonts w:ascii="Times New Roman" w:hAnsi="Times New Roman" w:cs="Times New Roman"/>
          <w:sz w:val="24"/>
          <w:szCs w:val="24"/>
        </w:rPr>
        <w:t xml:space="preserve"> </w:t>
      </w:r>
    </w:p>
    <w:p w:rsidR="008B581F" w:rsidRPr="00BF100B" w:rsidRDefault="006958D4" w:rsidP="003871CA">
      <w:pPr>
        <w:spacing w:line="360" w:lineRule="auto"/>
        <w:ind w:left="720"/>
        <w:jc w:val="both"/>
        <w:rPr>
          <w:rFonts w:ascii="Times New Roman" w:hAnsi="Times New Roman" w:cs="Times New Roman"/>
          <w:sz w:val="24"/>
          <w:szCs w:val="24"/>
        </w:rPr>
      </w:pPr>
      <w:r w:rsidRPr="00BF100B">
        <w:rPr>
          <w:rFonts w:ascii="Times New Roman" w:hAnsi="Times New Roman" w:cs="Times New Roman"/>
          <w:i/>
          <w:sz w:val="24"/>
          <w:szCs w:val="24"/>
        </w:rPr>
        <w:t xml:space="preserve">“This case is quite dissimilar to the </w:t>
      </w:r>
      <w:proofErr w:type="spellStart"/>
      <w:r w:rsidRPr="00BF100B">
        <w:rPr>
          <w:rFonts w:ascii="Times New Roman" w:hAnsi="Times New Roman" w:cs="Times New Roman"/>
          <w:i/>
          <w:sz w:val="24"/>
          <w:szCs w:val="24"/>
        </w:rPr>
        <w:t>Priamit</w:t>
      </w:r>
      <w:proofErr w:type="spellEnd"/>
      <w:r w:rsidRPr="00BF100B">
        <w:rPr>
          <w:rFonts w:ascii="Times New Roman" w:hAnsi="Times New Roman" w:cs="Times New Roman"/>
          <w:i/>
          <w:sz w:val="24"/>
          <w:szCs w:val="24"/>
        </w:rPr>
        <w:t xml:space="preserve"> Enterprises case and that of </w:t>
      </w:r>
      <w:proofErr w:type="spellStart"/>
      <w:r w:rsidRPr="00BF100B">
        <w:rPr>
          <w:rFonts w:ascii="Times New Roman" w:hAnsi="Times New Roman" w:cs="Times New Roman"/>
          <w:i/>
          <w:sz w:val="24"/>
          <w:szCs w:val="24"/>
        </w:rPr>
        <w:t>Mugenyi</w:t>
      </w:r>
      <w:proofErr w:type="spellEnd"/>
      <w:r w:rsidRPr="00BF100B">
        <w:rPr>
          <w:rFonts w:ascii="Times New Roman" w:hAnsi="Times New Roman" w:cs="Times New Roman"/>
          <w:i/>
          <w:sz w:val="24"/>
          <w:szCs w:val="24"/>
        </w:rPr>
        <w:t xml:space="preserve"> and Company Advocates because </w:t>
      </w:r>
      <w:r w:rsidR="0010051B" w:rsidRPr="00BF100B">
        <w:rPr>
          <w:rFonts w:ascii="Times New Roman" w:hAnsi="Times New Roman" w:cs="Times New Roman"/>
          <w:i/>
          <w:sz w:val="24"/>
          <w:szCs w:val="24"/>
        </w:rPr>
        <w:t>the plaint clearly shows that there was divesture and designated persons in authority to take care of the issues pertaining to claims by th</w:t>
      </w:r>
      <w:r w:rsidR="001A5D4B" w:rsidRPr="00BF100B">
        <w:rPr>
          <w:rFonts w:ascii="Times New Roman" w:hAnsi="Times New Roman" w:cs="Times New Roman"/>
          <w:i/>
          <w:sz w:val="24"/>
          <w:szCs w:val="24"/>
        </w:rPr>
        <w:t xml:space="preserve">e creditors of the liquidation. </w:t>
      </w:r>
      <w:r w:rsidR="0010051B" w:rsidRPr="00BF100B">
        <w:rPr>
          <w:rFonts w:ascii="Times New Roman" w:hAnsi="Times New Roman" w:cs="Times New Roman"/>
          <w:i/>
          <w:sz w:val="24"/>
          <w:szCs w:val="24"/>
        </w:rPr>
        <w:t>These included the Ministry of Finance and the Liquidators that were appointed on behalf of the Government, who are represented by the Office of the Attorney General”</w:t>
      </w:r>
      <w:r w:rsidR="0010051B" w:rsidRPr="00BF100B">
        <w:rPr>
          <w:rFonts w:ascii="Times New Roman" w:hAnsi="Times New Roman" w:cs="Times New Roman"/>
          <w:sz w:val="24"/>
          <w:szCs w:val="24"/>
        </w:rPr>
        <w:t xml:space="preserve">.  </w:t>
      </w:r>
    </w:p>
    <w:p w:rsidR="008B581F" w:rsidRPr="00BF100B" w:rsidRDefault="00DD7463"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w:t>
      </w:r>
      <w:r w:rsidR="00681845" w:rsidRPr="00BF100B">
        <w:rPr>
          <w:rFonts w:ascii="Times New Roman" w:hAnsi="Times New Roman" w:cs="Times New Roman"/>
          <w:sz w:val="24"/>
          <w:szCs w:val="24"/>
        </w:rPr>
        <w:t>c</w:t>
      </w:r>
      <w:r w:rsidRPr="00BF100B">
        <w:rPr>
          <w:rFonts w:ascii="Times New Roman" w:hAnsi="Times New Roman" w:cs="Times New Roman"/>
          <w:sz w:val="24"/>
          <w:szCs w:val="24"/>
        </w:rPr>
        <w:t xml:space="preserve">ourt further identified that there was a lacuna in the law since there was no express provision to cater for a situation where the money from the assets of the divested companies was not enough to pay off all creditors. The </w:t>
      </w:r>
      <w:r w:rsidR="00681845" w:rsidRPr="00BF100B">
        <w:rPr>
          <w:rFonts w:ascii="Times New Roman" w:hAnsi="Times New Roman" w:cs="Times New Roman"/>
          <w:sz w:val="24"/>
          <w:szCs w:val="24"/>
        </w:rPr>
        <w:t>c</w:t>
      </w:r>
      <w:r w:rsidRPr="00BF100B">
        <w:rPr>
          <w:rFonts w:ascii="Times New Roman" w:hAnsi="Times New Roman" w:cs="Times New Roman"/>
          <w:sz w:val="24"/>
          <w:szCs w:val="24"/>
        </w:rPr>
        <w:t xml:space="preserve">ourt made a finding that the above did not mean that the creditors did not have a remedy, and that it was incumbent upon the Minister of Finance to find or seek a budgetary support and pay the creditors. The above decision is binding on this </w:t>
      </w:r>
      <w:r w:rsidR="003745DF" w:rsidRPr="00BF100B">
        <w:rPr>
          <w:rFonts w:ascii="Times New Roman" w:hAnsi="Times New Roman" w:cs="Times New Roman"/>
          <w:sz w:val="24"/>
          <w:szCs w:val="24"/>
        </w:rPr>
        <w:t>c</w:t>
      </w:r>
      <w:r w:rsidRPr="00BF100B">
        <w:rPr>
          <w:rFonts w:ascii="Times New Roman" w:hAnsi="Times New Roman" w:cs="Times New Roman"/>
          <w:sz w:val="24"/>
          <w:szCs w:val="24"/>
        </w:rPr>
        <w:t xml:space="preserve">ourt, and I do not find any reason to </w:t>
      </w:r>
      <w:r w:rsidR="00985D55" w:rsidRPr="00BF100B">
        <w:rPr>
          <w:rFonts w:ascii="Times New Roman" w:hAnsi="Times New Roman" w:cs="Times New Roman"/>
          <w:sz w:val="24"/>
          <w:szCs w:val="24"/>
        </w:rPr>
        <w:t xml:space="preserve">find otherwise. </w:t>
      </w:r>
    </w:p>
    <w:p w:rsidR="00EE2E57" w:rsidRPr="00BF100B" w:rsidRDefault="00985D55"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Further, I am</w:t>
      </w:r>
      <w:r w:rsidR="0098045D" w:rsidRPr="00BF100B">
        <w:rPr>
          <w:rFonts w:ascii="Times New Roman" w:hAnsi="Times New Roman" w:cs="Times New Roman"/>
          <w:sz w:val="24"/>
          <w:szCs w:val="24"/>
        </w:rPr>
        <w:t xml:space="preserve"> not convinced by the argument raised by </w:t>
      </w:r>
      <w:r w:rsidR="003E2098" w:rsidRPr="00BF100B">
        <w:rPr>
          <w:rFonts w:ascii="Times New Roman" w:hAnsi="Times New Roman" w:cs="Times New Roman"/>
          <w:sz w:val="24"/>
          <w:szCs w:val="24"/>
        </w:rPr>
        <w:t>Counsel</w:t>
      </w:r>
      <w:r w:rsidR="00306B3D" w:rsidRPr="00BF100B">
        <w:rPr>
          <w:rFonts w:ascii="Times New Roman" w:hAnsi="Times New Roman" w:cs="Times New Roman"/>
          <w:sz w:val="24"/>
          <w:szCs w:val="24"/>
        </w:rPr>
        <w:t xml:space="preserve"> </w:t>
      </w:r>
      <w:r w:rsidR="0098045D" w:rsidRPr="00BF100B">
        <w:rPr>
          <w:rFonts w:ascii="Times New Roman" w:hAnsi="Times New Roman" w:cs="Times New Roman"/>
          <w:sz w:val="24"/>
          <w:szCs w:val="24"/>
        </w:rPr>
        <w:t xml:space="preserve">for defendant that this was an ordinary voluntary liquidation of companies where a solvent company can choose to wind up its business and pay all its creditors. In my view, in such an instance, the company has no option but to fully pay up its creditors; which was not the case </w:t>
      </w:r>
      <w:r w:rsidRPr="00BF100B">
        <w:rPr>
          <w:rFonts w:ascii="Times New Roman" w:hAnsi="Times New Roman" w:cs="Times New Roman"/>
          <w:sz w:val="24"/>
          <w:szCs w:val="24"/>
        </w:rPr>
        <w:t>herein</w:t>
      </w:r>
      <w:r w:rsidR="0098045D" w:rsidRPr="00BF100B">
        <w:rPr>
          <w:rFonts w:ascii="Times New Roman" w:hAnsi="Times New Roman" w:cs="Times New Roman"/>
          <w:sz w:val="24"/>
          <w:szCs w:val="24"/>
        </w:rPr>
        <w:t>.</w:t>
      </w:r>
      <w:r w:rsidRPr="00BF100B">
        <w:rPr>
          <w:rFonts w:ascii="Times New Roman" w:hAnsi="Times New Roman" w:cs="Times New Roman"/>
          <w:sz w:val="24"/>
          <w:szCs w:val="24"/>
        </w:rPr>
        <w:t xml:space="preserve"> In the present case, the divesture was carried out on the basis of the </w:t>
      </w:r>
      <w:r w:rsidRPr="00BF100B">
        <w:rPr>
          <w:rFonts w:ascii="Times New Roman" w:hAnsi="Times New Roman" w:cs="Times New Roman"/>
          <w:b/>
          <w:sz w:val="24"/>
          <w:szCs w:val="24"/>
        </w:rPr>
        <w:t>PERD Statute</w:t>
      </w:r>
      <w:r w:rsidRPr="00BF100B">
        <w:rPr>
          <w:rFonts w:ascii="Times New Roman" w:hAnsi="Times New Roman" w:cs="Times New Roman"/>
          <w:sz w:val="24"/>
          <w:szCs w:val="24"/>
        </w:rPr>
        <w:t xml:space="preserve"> and not on the basis of the Companies Act. The liquidators were also appointed under the </w:t>
      </w:r>
      <w:r w:rsidRPr="00BF100B">
        <w:rPr>
          <w:rFonts w:ascii="Times New Roman" w:hAnsi="Times New Roman" w:cs="Times New Roman"/>
          <w:b/>
          <w:sz w:val="24"/>
          <w:szCs w:val="24"/>
        </w:rPr>
        <w:t>PERD Statute</w:t>
      </w:r>
      <w:r w:rsidRPr="00BF100B">
        <w:rPr>
          <w:rFonts w:ascii="Times New Roman" w:hAnsi="Times New Roman" w:cs="Times New Roman"/>
          <w:sz w:val="24"/>
          <w:szCs w:val="24"/>
        </w:rPr>
        <w:t>. In my view, this was generally a liqu</w:t>
      </w:r>
      <w:r w:rsidR="00EE2E57" w:rsidRPr="00BF100B">
        <w:rPr>
          <w:rFonts w:ascii="Times New Roman" w:hAnsi="Times New Roman" w:cs="Times New Roman"/>
          <w:sz w:val="24"/>
          <w:szCs w:val="24"/>
        </w:rPr>
        <w:t xml:space="preserve">idation generally carried out under the </w:t>
      </w:r>
      <w:r w:rsidR="00EE2E57" w:rsidRPr="00BF100B">
        <w:rPr>
          <w:rFonts w:ascii="Times New Roman" w:hAnsi="Times New Roman" w:cs="Times New Roman"/>
          <w:b/>
          <w:sz w:val="24"/>
          <w:szCs w:val="24"/>
        </w:rPr>
        <w:t>PERD Statute</w:t>
      </w:r>
      <w:r w:rsidR="00EE2E57" w:rsidRPr="00BF100B">
        <w:rPr>
          <w:rFonts w:ascii="Times New Roman" w:hAnsi="Times New Roman" w:cs="Times New Roman"/>
          <w:sz w:val="24"/>
          <w:szCs w:val="24"/>
        </w:rPr>
        <w:t xml:space="preserve">. </w:t>
      </w:r>
    </w:p>
    <w:p w:rsidR="0036494F" w:rsidRPr="00BF100B" w:rsidRDefault="00EE2E57"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 have also considered the argument raised by the defendant that the plaintiffs had been </w:t>
      </w:r>
      <w:r w:rsidR="002F6268" w:rsidRPr="00BF100B">
        <w:rPr>
          <w:rFonts w:ascii="Times New Roman" w:hAnsi="Times New Roman" w:cs="Times New Roman"/>
          <w:sz w:val="24"/>
          <w:szCs w:val="24"/>
        </w:rPr>
        <w:t>given</w:t>
      </w:r>
      <w:r w:rsidRPr="00BF100B">
        <w:rPr>
          <w:rFonts w:ascii="Times New Roman" w:hAnsi="Times New Roman" w:cs="Times New Roman"/>
          <w:sz w:val="24"/>
          <w:szCs w:val="24"/>
        </w:rPr>
        <w:t xml:space="preserve"> ex-gratia payments in full settlement of their claims. The defendant relies on the letter dated 26</w:t>
      </w:r>
      <w:r w:rsidRPr="00BF100B">
        <w:rPr>
          <w:rFonts w:ascii="Times New Roman" w:hAnsi="Times New Roman" w:cs="Times New Roman"/>
          <w:sz w:val="24"/>
          <w:szCs w:val="24"/>
          <w:vertAlign w:val="superscript"/>
        </w:rPr>
        <w:t>th</w:t>
      </w:r>
      <w:r w:rsidRPr="00BF100B">
        <w:rPr>
          <w:rFonts w:ascii="Times New Roman" w:hAnsi="Times New Roman" w:cs="Times New Roman"/>
          <w:sz w:val="24"/>
          <w:szCs w:val="24"/>
        </w:rPr>
        <w:t xml:space="preserve"> May, 2006, </w:t>
      </w:r>
      <w:r w:rsidR="0036494F" w:rsidRPr="00BF100B">
        <w:rPr>
          <w:rFonts w:ascii="Times New Roman" w:hAnsi="Times New Roman" w:cs="Times New Roman"/>
          <w:sz w:val="24"/>
          <w:szCs w:val="24"/>
        </w:rPr>
        <w:t>where the Director, Privatization Unit wrote to M/S Kampala Associated Advocates as follows:</w:t>
      </w:r>
    </w:p>
    <w:p w:rsidR="0036494F" w:rsidRPr="00BF100B" w:rsidRDefault="0036494F" w:rsidP="003871CA">
      <w:pPr>
        <w:spacing w:after="0"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t xml:space="preserve">“RE:   EX-GRATIA PAYMENTS TO THE CREDITORS OF UGANDA </w:t>
      </w:r>
    </w:p>
    <w:p w:rsidR="0036494F" w:rsidRPr="00BF100B" w:rsidRDefault="0036494F" w:rsidP="003871CA">
      <w:pPr>
        <w:spacing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t xml:space="preserve">          TRANSPORT COMPANY (UTC)</w:t>
      </w:r>
    </w:p>
    <w:p w:rsidR="0036494F" w:rsidRPr="00BF100B" w:rsidRDefault="0036494F" w:rsidP="003871CA">
      <w:pPr>
        <w:spacing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t>We refer to yours dated the 18</w:t>
      </w:r>
      <w:r w:rsidRPr="00BF100B">
        <w:rPr>
          <w:rFonts w:ascii="Times New Roman" w:hAnsi="Times New Roman" w:cs="Times New Roman"/>
          <w:i/>
          <w:sz w:val="24"/>
          <w:szCs w:val="24"/>
          <w:vertAlign w:val="superscript"/>
        </w:rPr>
        <w:t>th</w:t>
      </w:r>
      <w:r w:rsidRPr="00BF100B">
        <w:rPr>
          <w:rFonts w:ascii="Times New Roman" w:hAnsi="Times New Roman" w:cs="Times New Roman"/>
          <w:i/>
          <w:sz w:val="24"/>
          <w:szCs w:val="24"/>
        </w:rPr>
        <w:t xml:space="preserve"> February, 2005 on the matter above. </w:t>
      </w:r>
    </w:p>
    <w:p w:rsidR="0036494F" w:rsidRPr="00BF100B" w:rsidRDefault="0036494F" w:rsidP="003871CA">
      <w:pPr>
        <w:spacing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lastRenderedPageBreak/>
        <w:t>Following the Attorney General’s advice that the proven creditors of UTC be paid an ex-gratia payment, we duly sought the sanction of the Treasury and the Divesture Reform Implementation Committee (DRIC) who have instructed us to advice you as follows:</w:t>
      </w:r>
    </w:p>
    <w:p w:rsidR="0036494F" w:rsidRPr="00BF100B" w:rsidRDefault="0036494F" w:rsidP="003871CA">
      <w:pPr>
        <w:pStyle w:val="ListParagraph"/>
        <w:numPr>
          <w:ilvl w:val="0"/>
          <w:numId w:val="5"/>
        </w:numPr>
        <w:spacing w:line="360" w:lineRule="auto"/>
        <w:ind w:left="1440"/>
        <w:jc w:val="both"/>
        <w:rPr>
          <w:rFonts w:ascii="Times New Roman" w:hAnsi="Times New Roman" w:cs="Times New Roman"/>
          <w:i/>
          <w:sz w:val="24"/>
          <w:szCs w:val="24"/>
        </w:rPr>
      </w:pPr>
      <w:r w:rsidRPr="00BF100B">
        <w:rPr>
          <w:rFonts w:ascii="Times New Roman" w:hAnsi="Times New Roman" w:cs="Times New Roman"/>
          <w:i/>
          <w:sz w:val="24"/>
          <w:szCs w:val="24"/>
        </w:rPr>
        <w:t>That Government will pay each of the creditors a total of 20% of their individual claims as ex-gratia;</w:t>
      </w:r>
    </w:p>
    <w:p w:rsidR="00FE290A" w:rsidRPr="00BF100B" w:rsidRDefault="0036494F" w:rsidP="003871CA">
      <w:pPr>
        <w:pStyle w:val="ListParagraph"/>
        <w:numPr>
          <w:ilvl w:val="0"/>
          <w:numId w:val="5"/>
        </w:numPr>
        <w:spacing w:line="360" w:lineRule="auto"/>
        <w:ind w:left="1440"/>
        <w:jc w:val="both"/>
        <w:rPr>
          <w:rFonts w:ascii="Times New Roman" w:hAnsi="Times New Roman" w:cs="Times New Roman"/>
          <w:i/>
          <w:sz w:val="24"/>
          <w:szCs w:val="24"/>
        </w:rPr>
      </w:pPr>
      <w:r w:rsidRPr="00BF100B">
        <w:rPr>
          <w:rFonts w:ascii="Times New Roman" w:hAnsi="Times New Roman" w:cs="Times New Roman"/>
          <w:i/>
          <w:sz w:val="24"/>
          <w:szCs w:val="24"/>
        </w:rPr>
        <w:t xml:space="preserve">That this payment shall be in full and final settlement of their claims and the creditors will be required to sign discharge forms on the terms </w:t>
      </w:r>
      <w:r w:rsidR="00FE290A" w:rsidRPr="00BF100B">
        <w:rPr>
          <w:rFonts w:ascii="Times New Roman" w:hAnsi="Times New Roman" w:cs="Times New Roman"/>
          <w:i/>
          <w:sz w:val="24"/>
          <w:szCs w:val="24"/>
        </w:rPr>
        <w:t xml:space="preserve">above. </w:t>
      </w:r>
    </w:p>
    <w:p w:rsidR="00FE290A" w:rsidRPr="00BF100B" w:rsidRDefault="00FE290A" w:rsidP="003871CA">
      <w:pPr>
        <w:spacing w:line="360" w:lineRule="auto"/>
        <w:ind w:left="1080"/>
        <w:jc w:val="both"/>
        <w:rPr>
          <w:rFonts w:ascii="Times New Roman" w:hAnsi="Times New Roman" w:cs="Times New Roman"/>
          <w:i/>
          <w:sz w:val="24"/>
          <w:szCs w:val="24"/>
        </w:rPr>
      </w:pPr>
      <w:r w:rsidRPr="00BF100B">
        <w:rPr>
          <w:rFonts w:ascii="Times New Roman" w:hAnsi="Times New Roman" w:cs="Times New Roman"/>
          <w:i/>
          <w:sz w:val="24"/>
          <w:szCs w:val="24"/>
        </w:rPr>
        <w:t>We also wish to advice that we have been receiving individual claimants who have told us that you do not represent them. We therefore ask you to provide us with a list of the creditors who instructed you together with proof of their instructions so that we can forward their payments to you”.</w:t>
      </w:r>
    </w:p>
    <w:p w:rsidR="00931346" w:rsidRPr="00BF100B" w:rsidRDefault="00FE290A" w:rsidP="003871CA">
      <w:pPr>
        <w:spacing w:line="360" w:lineRule="auto"/>
        <w:ind w:left="360"/>
        <w:jc w:val="both"/>
        <w:rPr>
          <w:rFonts w:ascii="Times New Roman" w:hAnsi="Times New Roman" w:cs="Times New Roman"/>
          <w:sz w:val="24"/>
          <w:szCs w:val="24"/>
        </w:rPr>
      </w:pPr>
      <w:r w:rsidRPr="00BF100B">
        <w:rPr>
          <w:rFonts w:ascii="Times New Roman" w:hAnsi="Times New Roman" w:cs="Times New Roman"/>
          <w:sz w:val="24"/>
          <w:szCs w:val="24"/>
        </w:rPr>
        <w:t>By letter dated 31</w:t>
      </w:r>
      <w:r w:rsidRPr="00BF100B">
        <w:rPr>
          <w:rFonts w:ascii="Times New Roman" w:hAnsi="Times New Roman" w:cs="Times New Roman"/>
          <w:sz w:val="24"/>
          <w:szCs w:val="24"/>
          <w:vertAlign w:val="superscript"/>
        </w:rPr>
        <w:t>st</w:t>
      </w:r>
      <w:r w:rsidRPr="00BF100B">
        <w:rPr>
          <w:rFonts w:ascii="Times New Roman" w:hAnsi="Times New Roman" w:cs="Times New Roman"/>
          <w:sz w:val="24"/>
          <w:szCs w:val="24"/>
        </w:rPr>
        <w:t xml:space="preserve"> May, 2005, Kampala Associated Advocates wrote to the Director, Privatization Unit, indicating that they had been instructed by UTC creditors to receive the above stated ex-gratia payment on their behalf. </w:t>
      </w:r>
    </w:p>
    <w:p w:rsidR="00931346" w:rsidRPr="00BF100B" w:rsidRDefault="00931346" w:rsidP="003871CA">
      <w:pPr>
        <w:spacing w:line="360" w:lineRule="auto"/>
        <w:ind w:left="360"/>
        <w:jc w:val="both"/>
        <w:rPr>
          <w:rFonts w:ascii="Times New Roman" w:hAnsi="Times New Roman" w:cs="Times New Roman"/>
          <w:sz w:val="24"/>
          <w:szCs w:val="24"/>
        </w:rPr>
      </w:pPr>
      <w:r w:rsidRPr="00BF100B">
        <w:rPr>
          <w:rFonts w:ascii="Times New Roman" w:hAnsi="Times New Roman" w:cs="Times New Roman"/>
          <w:sz w:val="24"/>
          <w:szCs w:val="24"/>
        </w:rPr>
        <w:t xml:space="preserve">In reference to the above stated ex-gratia payments made, or which the defendant alleges that the plaintiffs were free to claim, the </w:t>
      </w:r>
      <w:r w:rsidR="00C65917" w:rsidRPr="00BF100B">
        <w:rPr>
          <w:rFonts w:ascii="Times New Roman" w:hAnsi="Times New Roman" w:cs="Times New Roman"/>
          <w:sz w:val="24"/>
          <w:szCs w:val="24"/>
        </w:rPr>
        <w:t>c</w:t>
      </w:r>
      <w:r w:rsidRPr="00BF100B">
        <w:rPr>
          <w:rFonts w:ascii="Times New Roman" w:hAnsi="Times New Roman" w:cs="Times New Roman"/>
          <w:sz w:val="24"/>
          <w:szCs w:val="24"/>
        </w:rPr>
        <w:t xml:space="preserve">ourt in </w:t>
      </w:r>
      <w:proofErr w:type="spellStart"/>
      <w:r w:rsidRPr="00BF100B">
        <w:rPr>
          <w:rFonts w:ascii="Times New Roman" w:hAnsi="Times New Roman" w:cs="Times New Roman"/>
          <w:b/>
          <w:i/>
          <w:sz w:val="24"/>
          <w:szCs w:val="24"/>
        </w:rPr>
        <w:t>S</w:t>
      </w:r>
      <w:r w:rsidR="00261841" w:rsidRPr="00BF100B">
        <w:rPr>
          <w:rFonts w:ascii="Times New Roman" w:hAnsi="Times New Roman" w:cs="Times New Roman"/>
          <w:b/>
          <w:i/>
          <w:sz w:val="24"/>
          <w:szCs w:val="24"/>
        </w:rPr>
        <w:t>pecioza</w:t>
      </w:r>
      <w:proofErr w:type="spellEnd"/>
      <w:r w:rsidR="00261841" w:rsidRPr="00BF100B">
        <w:rPr>
          <w:rFonts w:ascii="Times New Roman" w:hAnsi="Times New Roman" w:cs="Times New Roman"/>
          <w:b/>
          <w:i/>
          <w:sz w:val="24"/>
          <w:szCs w:val="24"/>
        </w:rPr>
        <w:t xml:space="preserve"> </w:t>
      </w:r>
      <w:proofErr w:type="spellStart"/>
      <w:r w:rsidR="00261841" w:rsidRPr="00BF100B">
        <w:rPr>
          <w:rFonts w:ascii="Times New Roman" w:hAnsi="Times New Roman" w:cs="Times New Roman"/>
          <w:b/>
          <w:i/>
          <w:sz w:val="24"/>
          <w:szCs w:val="24"/>
        </w:rPr>
        <w:t>Kalungi</w:t>
      </w:r>
      <w:proofErr w:type="spellEnd"/>
      <w:r w:rsidR="00261841" w:rsidRPr="00BF100B">
        <w:rPr>
          <w:rFonts w:ascii="Times New Roman" w:hAnsi="Times New Roman" w:cs="Times New Roman"/>
          <w:b/>
          <w:i/>
          <w:sz w:val="24"/>
          <w:szCs w:val="24"/>
        </w:rPr>
        <w:t xml:space="preserve"> &amp; 62 Others </w:t>
      </w:r>
      <w:proofErr w:type="spellStart"/>
      <w:r w:rsidR="00261841" w:rsidRPr="00BF100B">
        <w:rPr>
          <w:rFonts w:ascii="Times New Roman" w:hAnsi="Times New Roman" w:cs="Times New Roman"/>
          <w:b/>
          <w:i/>
          <w:sz w:val="24"/>
          <w:szCs w:val="24"/>
        </w:rPr>
        <w:t>V</w:t>
      </w:r>
      <w:r w:rsidRPr="00BF100B">
        <w:rPr>
          <w:rFonts w:ascii="Times New Roman" w:hAnsi="Times New Roman" w:cs="Times New Roman"/>
          <w:b/>
          <w:i/>
          <w:sz w:val="24"/>
          <w:szCs w:val="24"/>
        </w:rPr>
        <w:t>s</w:t>
      </w:r>
      <w:proofErr w:type="spellEnd"/>
      <w:r w:rsidRPr="00BF100B">
        <w:rPr>
          <w:rFonts w:ascii="Times New Roman" w:hAnsi="Times New Roman" w:cs="Times New Roman"/>
          <w:b/>
          <w:i/>
          <w:sz w:val="24"/>
          <w:szCs w:val="24"/>
        </w:rPr>
        <w:t xml:space="preserve"> </w:t>
      </w:r>
      <w:proofErr w:type="gramStart"/>
      <w:r w:rsidRPr="00BF100B">
        <w:rPr>
          <w:rFonts w:ascii="Times New Roman" w:hAnsi="Times New Roman" w:cs="Times New Roman"/>
          <w:b/>
          <w:i/>
          <w:sz w:val="24"/>
          <w:szCs w:val="24"/>
        </w:rPr>
        <w:t>The</w:t>
      </w:r>
      <w:proofErr w:type="gramEnd"/>
      <w:r w:rsidRPr="00BF100B">
        <w:rPr>
          <w:rFonts w:ascii="Times New Roman" w:hAnsi="Times New Roman" w:cs="Times New Roman"/>
          <w:b/>
          <w:i/>
          <w:sz w:val="24"/>
          <w:szCs w:val="24"/>
        </w:rPr>
        <w:t xml:space="preserve"> Attorney General (Supra)</w:t>
      </w:r>
      <w:r w:rsidRPr="00BF100B">
        <w:rPr>
          <w:rFonts w:ascii="Times New Roman" w:hAnsi="Times New Roman" w:cs="Times New Roman"/>
          <w:sz w:val="24"/>
          <w:szCs w:val="24"/>
        </w:rPr>
        <w:t xml:space="preserve"> held as follows:</w:t>
      </w:r>
    </w:p>
    <w:p w:rsidR="002C31B1" w:rsidRPr="00BF100B" w:rsidRDefault="00931346" w:rsidP="003871CA">
      <w:pPr>
        <w:spacing w:line="360" w:lineRule="auto"/>
        <w:ind w:left="720"/>
        <w:jc w:val="both"/>
        <w:rPr>
          <w:rFonts w:ascii="Times New Roman" w:hAnsi="Times New Roman" w:cs="Times New Roman"/>
          <w:i/>
          <w:sz w:val="24"/>
          <w:szCs w:val="24"/>
        </w:rPr>
      </w:pPr>
      <w:r w:rsidRPr="00BF100B">
        <w:rPr>
          <w:rFonts w:ascii="Times New Roman" w:hAnsi="Times New Roman" w:cs="Times New Roman"/>
          <w:i/>
          <w:sz w:val="24"/>
          <w:szCs w:val="24"/>
        </w:rPr>
        <w:t>“The Attorney General</w:t>
      </w:r>
      <w:r w:rsidR="002C31B1" w:rsidRPr="00BF100B">
        <w:rPr>
          <w:rFonts w:ascii="Times New Roman" w:hAnsi="Times New Roman" w:cs="Times New Roman"/>
          <w:i/>
          <w:sz w:val="24"/>
          <w:szCs w:val="24"/>
        </w:rPr>
        <w:t xml:space="preserve"> recommended an ex gratia payment to the plaintiffs and also indicated that the money could be paid from the compensation fund in the Attorney General’s chambers.</w:t>
      </w:r>
    </w:p>
    <w:p w:rsidR="002C31B1" w:rsidRPr="00BF100B" w:rsidRDefault="002C31B1" w:rsidP="003871CA">
      <w:pPr>
        <w:spacing w:line="360" w:lineRule="auto"/>
        <w:ind w:left="720"/>
        <w:jc w:val="both"/>
        <w:rPr>
          <w:rFonts w:ascii="Times New Roman" w:hAnsi="Times New Roman" w:cs="Times New Roman"/>
          <w:sz w:val="24"/>
          <w:szCs w:val="24"/>
        </w:rPr>
      </w:pPr>
      <w:r w:rsidRPr="00BF100B">
        <w:rPr>
          <w:rFonts w:ascii="Times New Roman" w:hAnsi="Times New Roman" w:cs="Times New Roman"/>
          <w:i/>
          <w:sz w:val="24"/>
          <w:szCs w:val="24"/>
        </w:rPr>
        <w:t>In law, an ex gratia payment is made without the giver accepting liability or legal obligation. This does not, in law, takeaway the obligation to pay the debt…</w:t>
      </w:r>
      <w:proofErr w:type="gramStart"/>
      <w:r w:rsidRPr="00BF100B">
        <w:rPr>
          <w:rFonts w:ascii="Times New Roman" w:hAnsi="Times New Roman" w:cs="Times New Roman"/>
          <w:i/>
          <w:sz w:val="24"/>
          <w:szCs w:val="24"/>
        </w:rPr>
        <w:t>”</w:t>
      </w:r>
      <w:r w:rsidRPr="00BF100B">
        <w:rPr>
          <w:rFonts w:ascii="Times New Roman" w:hAnsi="Times New Roman" w:cs="Times New Roman"/>
          <w:sz w:val="24"/>
          <w:szCs w:val="24"/>
        </w:rPr>
        <w:t>.</w:t>
      </w:r>
      <w:proofErr w:type="gramEnd"/>
      <w:r w:rsidRPr="00BF100B">
        <w:rPr>
          <w:rFonts w:ascii="Times New Roman" w:hAnsi="Times New Roman" w:cs="Times New Roman"/>
          <w:sz w:val="24"/>
          <w:szCs w:val="24"/>
        </w:rPr>
        <w:t xml:space="preserve">  </w:t>
      </w:r>
      <w:r w:rsidR="0036494F" w:rsidRPr="00BF100B">
        <w:rPr>
          <w:rFonts w:ascii="Times New Roman" w:hAnsi="Times New Roman" w:cs="Times New Roman"/>
          <w:sz w:val="24"/>
          <w:szCs w:val="24"/>
        </w:rPr>
        <w:t xml:space="preserve">  </w:t>
      </w:r>
      <w:r w:rsidR="00EE2E57" w:rsidRPr="00BF100B">
        <w:rPr>
          <w:rFonts w:ascii="Times New Roman" w:hAnsi="Times New Roman" w:cs="Times New Roman"/>
          <w:sz w:val="24"/>
          <w:szCs w:val="24"/>
        </w:rPr>
        <w:t xml:space="preserve"> </w:t>
      </w:r>
    </w:p>
    <w:p w:rsidR="002C6E49" w:rsidRPr="00BF100B" w:rsidRDefault="002C31B1"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view of the above, I find that the promise to pay or </w:t>
      </w:r>
      <w:r w:rsidR="0026217D" w:rsidRPr="00BF100B">
        <w:rPr>
          <w:rFonts w:ascii="Times New Roman" w:hAnsi="Times New Roman" w:cs="Times New Roman"/>
          <w:sz w:val="24"/>
          <w:szCs w:val="24"/>
        </w:rPr>
        <w:t xml:space="preserve">the payment of the ex gratia did not extinguish the defendant’s liability to pay the creditors what was owing to them. </w:t>
      </w:r>
    </w:p>
    <w:p w:rsidR="0026217D" w:rsidRPr="00BF100B" w:rsidRDefault="002F626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Accordingly</w:t>
      </w:r>
      <w:r w:rsidR="0026217D" w:rsidRPr="00BF100B">
        <w:rPr>
          <w:rFonts w:ascii="Times New Roman" w:hAnsi="Times New Roman" w:cs="Times New Roman"/>
          <w:sz w:val="24"/>
          <w:szCs w:val="24"/>
        </w:rPr>
        <w:t xml:space="preserve">, I find that although there was no express provision in the </w:t>
      </w:r>
      <w:r w:rsidR="0026217D" w:rsidRPr="00BF100B">
        <w:rPr>
          <w:rFonts w:ascii="Times New Roman" w:hAnsi="Times New Roman" w:cs="Times New Roman"/>
          <w:b/>
          <w:sz w:val="24"/>
          <w:szCs w:val="24"/>
        </w:rPr>
        <w:t>PERD Statute</w:t>
      </w:r>
      <w:r w:rsidR="0026217D" w:rsidRPr="00BF100B">
        <w:rPr>
          <w:rFonts w:ascii="Times New Roman" w:hAnsi="Times New Roman" w:cs="Times New Roman"/>
          <w:sz w:val="24"/>
          <w:szCs w:val="24"/>
        </w:rPr>
        <w:t xml:space="preserve"> to provide for instances where the money realized from the proceeds </w:t>
      </w:r>
      <w:r w:rsidR="00082C4C" w:rsidRPr="00BF100B">
        <w:rPr>
          <w:rFonts w:ascii="Times New Roman" w:hAnsi="Times New Roman" w:cs="Times New Roman"/>
          <w:sz w:val="24"/>
          <w:szCs w:val="24"/>
        </w:rPr>
        <w:t xml:space="preserve">from the sale of the assets of the divested companies were not enough to pay off all the creditors, the defendant, through the </w:t>
      </w:r>
      <w:r w:rsidR="00082C4C" w:rsidRPr="00BF100B">
        <w:rPr>
          <w:rFonts w:ascii="Times New Roman" w:hAnsi="Times New Roman" w:cs="Times New Roman"/>
          <w:sz w:val="24"/>
          <w:szCs w:val="24"/>
        </w:rPr>
        <w:lastRenderedPageBreak/>
        <w:t xml:space="preserve">Ministry of Finance was under a duty to seek for budgetary support </w:t>
      </w:r>
      <w:r w:rsidR="00CF4907" w:rsidRPr="00BF100B">
        <w:rPr>
          <w:rFonts w:ascii="Times New Roman" w:hAnsi="Times New Roman" w:cs="Times New Roman"/>
          <w:sz w:val="24"/>
          <w:szCs w:val="24"/>
        </w:rPr>
        <w:t xml:space="preserve">so as to be able to pay </w:t>
      </w:r>
      <w:r w:rsidR="00622416" w:rsidRPr="00BF100B">
        <w:rPr>
          <w:rFonts w:ascii="Times New Roman" w:hAnsi="Times New Roman" w:cs="Times New Roman"/>
          <w:sz w:val="24"/>
          <w:szCs w:val="24"/>
        </w:rPr>
        <w:t xml:space="preserve">the plaintiffs. </w:t>
      </w:r>
    </w:p>
    <w:p w:rsidR="00622416" w:rsidRPr="00BF100B" w:rsidRDefault="00622416"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Accordingly, this issue is answered in the affirmative. </w:t>
      </w:r>
    </w:p>
    <w:p w:rsidR="001E0C90" w:rsidRPr="00BF100B" w:rsidRDefault="00622416" w:rsidP="003871CA">
      <w:pPr>
        <w:spacing w:after="0" w:line="360" w:lineRule="auto"/>
        <w:ind w:left="2160" w:hanging="2160"/>
        <w:jc w:val="both"/>
        <w:rPr>
          <w:rFonts w:ascii="Times New Roman" w:hAnsi="Times New Roman" w:cs="Times New Roman"/>
          <w:b/>
          <w:i/>
          <w:sz w:val="24"/>
          <w:szCs w:val="24"/>
        </w:rPr>
      </w:pPr>
      <w:r w:rsidRPr="00BF100B">
        <w:rPr>
          <w:rFonts w:ascii="Times New Roman" w:hAnsi="Times New Roman" w:cs="Times New Roman"/>
          <w:b/>
          <w:i/>
          <w:sz w:val="24"/>
          <w:szCs w:val="24"/>
        </w:rPr>
        <w:t>ISSUE 2</w:t>
      </w:r>
      <w:r w:rsidR="00772B65" w:rsidRPr="00BF100B">
        <w:rPr>
          <w:rFonts w:ascii="Times New Roman" w:hAnsi="Times New Roman" w:cs="Times New Roman"/>
          <w:b/>
          <w:i/>
          <w:sz w:val="24"/>
          <w:szCs w:val="24"/>
        </w:rPr>
        <w:t>:</w:t>
      </w:r>
      <w:r w:rsidR="00772B65" w:rsidRPr="00BF100B">
        <w:rPr>
          <w:rFonts w:ascii="Times New Roman" w:hAnsi="Times New Roman" w:cs="Times New Roman"/>
          <w:b/>
          <w:i/>
          <w:sz w:val="24"/>
          <w:szCs w:val="24"/>
        </w:rPr>
        <w:tab/>
      </w:r>
      <w:r w:rsidR="001E0C90" w:rsidRPr="00BF100B">
        <w:rPr>
          <w:rFonts w:ascii="Times New Roman" w:hAnsi="Times New Roman" w:cs="Times New Roman"/>
          <w:b/>
          <w:i/>
          <w:sz w:val="24"/>
          <w:szCs w:val="24"/>
        </w:rPr>
        <w:t>Whether the Development Credit Agreement was incorporated by reference into the PERD Act.</w:t>
      </w:r>
    </w:p>
    <w:p w:rsidR="001E0C90"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BD4521" w:rsidRPr="00BF100B">
        <w:rPr>
          <w:rFonts w:ascii="Times New Roman" w:hAnsi="Times New Roman" w:cs="Times New Roman"/>
          <w:sz w:val="24"/>
          <w:szCs w:val="24"/>
        </w:rPr>
        <w:t xml:space="preserve"> </w:t>
      </w:r>
      <w:r w:rsidR="00281AB2" w:rsidRPr="00BF100B">
        <w:rPr>
          <w:rFonts w:ascii="Times New Roman" w:hAnsi="Times New Roman" w:cs="Times New Roman"/>
          <w:sz w:val="24"/>
          <w:szCs w:val="24"/>
        </w:rPr>
        <w:t xml:space="preserve">for the plaintiff reiterated his submissions in issue 1 above as his submissions on this issue. He submitted that </w:t>
      </w:r>
      <w:r w:rsidR="00782717" w:rsidRPr="00BF100B">
        <w:rPr>
          <w:rFonts w:ascii="Times New Roman" w:hAnsi="Times New Roman" w:cs="Times New Roman"/>
          <w:b/>
          <w:sz w:val="24"/>
          <w:szCs w:val="24"/>
        </w:rPr>
        <w:t>S</w:t>
      </w:r>
      <w:r w:rsidR="00281AB2" w:rsidRPr="00BF100B">
        <w:rPr>
          <w:rFonts w:ascii="Times New Roman" w:hAnsi="Times New Roman" w:cs="Times New Roman"/>
          <w:b/>
          <w:sz w:val="24"/>
          <w:szCs w:val="24"/>
        </w:rPr>
        <w:t>ection 2</w:t>
      </w:r>
      <w:r w:rsidR="00281AB2" w:rsidRPr="00BF100B">
        <w:rPr>
          <w:rFonts w:ascii="Times New Roman" w:hAnsi="Times New Roman" w:cs="Times New Roman"/>
          <w:sz w:val="24"/>
          <w:szCs w:val="24"/>
        </w:rPr>
        <w:t xml:space="preserve"> of the </w:t>
      </w:r>
      <w:r w:rsidR="00281AB2" w:rsidRPr="00BF100B">
        <w:rPr>
          <w:rFonts w:ascii="Times New Roman" w:hAnsi="Times New Roman" w:cs="Times New Roman"/>
          <w:b/>
          <w:sz w:val="24"/>
          <w:szCs w:val="24"/>
        </w:rPr>
        <w:t>PERD Statute</w:t>
      </w:r>
      <w:r w:rsidR="00281AB2" w:rsidRPr="00BF100B">
        <w:rPr>
          <w:rFonts w:ascii="Times New Roman" w:hAnsi="Times New Roman" w:cs="Times New Roman"/>
          <w:sz w:val="24"/>
          <w:szCs w:val="24"/>
        </w:rPr>
        <w:t xml:space="preserve"> was sufficien</w:t>
      </w:r>
      <w:r w:rsidR="002F6268" w:rsidRPr="00BF100B">
        <w:rPr>
          <w:rFonts w:ascii="Times New Roman" w:hAnsi="Times New Roman" w:cs="Times New Roman"/>
          <w:sz w:val="24"/>
          <w:szCs w:val="24"/>
        </w:rPr>
        <w:t>t in answering the present issue</w:t>
      </w:r>
      <w:r w:rsidR="00281AB2" w:rsidRPr="00BF100B">
        <w:rPr>
          <w:rFonts w:ascii="Times New Roman" w:hAnsi="Times New Roman" w:cs="Times New Roman"/>
          <w:sz w:val="24"/>
          <w:szCs w:val="24"/>
        </w:rPr>
        <w:t xml:space="preserve">. </w:t>
      </w:r>
    </w:p>
    <w:p w:rsidR="00281AB2" w:rsidRPr="00BF100B" w:rsidRDefault="00281AB2"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reply, </w:t>
      </w:r>
      <w:r w:rsidR="003E2098" w:rsidRPr="00BF100B">
        <w:rPr>
          <w:rFonts w:ascii="Times New Roman" w:hAnsi="Times New Roman" w:cs="Times New Roman"/>
          <w:sz w:val="24"/>
          <w:szCs w:val="24"/>
        </w:rPr>
        <w:t>Counsel</w:t>
      </w:r>
      <w:r w:rsidR="00BD4521"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the defendant submitted that the Development Credit Agreement was not incorporated into the </w:t>
      </w:r>
      <w:r w:rsidRPr="00BF100B">
        <w:rPr>
          <w:rFonts w:ascii="Times New Roman" w:hAnsi="Times New Roman" w:cs="Times New Roman"/>
          <w:b/>
          <w:sz w:val="24"/>
          <w:szCs w:val="24"/>
        </w:rPr>
        <w:t>PERD Statute</w:t>
      </w:r>
      <w:r w:rsidRPr="00BF100B">
        <w:rPr>
          <w:rFonts w:ascii="Times New Roman" w:hAnsi="Times New Roman" w:cs="Times New Roman"/>
          <w:sz w:val="24"/>
          <w:szCs w:val="24"/>
        </w:rPr>
        <w:t xml:space="preserve">, and that even if it were so incorporated, it did not make the defendant liable to pay the plaintiffs’ claim. Further, that the Development Credit Agreement did not specifically provide that the defendant was </w:t>
      </w:r>
      <w:r w:rsidR="002F6268" w:rsidRPr="00BF100B">
        <w:rPr>
          <w:rFonts w:ascii="Times New Roman" w:hAnsi="Times New Roman" w:cs="Times New Roman"/>
          <w:sz w:val="24"/>
          <w:szCs w:val="24"/>
        </w:rPr>
        <w:t>legally responsible</w:t>
      </w:r>
      <w:r w:rsidRPr="00BF100B">
        <w:rPr>
          <w:rFonts w:ascii="Times New Roman" w:hAnsi="Times New Roman" w:cs="Times New Roman"/>
          <w:sz w:val="24"/>
          <w:szCs w:val="24"/>
        </w:rPr>
        <w:t xml:space="preserve"> for the liabilities of the divested companies in the event that the proceeds from the Divesture were insufficient to pay off the creditors. </w:t>
      </w:r>
    </w:p>
    <w:p w:rsidR="00A028C8"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BD4521" w:rsidRPr="00BF100B">
        <w:rPr>
          <w:rFonts w:ascii="Times New Roman" w:hAnsi="Times New Roman" w:cs="Times New Roman"/>
          <w:sz w:val="24"/>
          <w:szCs w:val="24"/>
        </w:rPr>
        <w:t xml:space="preserve"> </w:t>
      </w:r>
      <w:r w:rsidR="00281AB2" w:rsidRPr="00BF100B">
        <w:rPr>
          <w:rFonts w:ascii="Times New Roman" w:hAnsi="Times New Roman" w:cs="Times New Roman"/>
          <w:sz w:val="24"/>
          <w:szCs w:val="24"/>
        </w:rPr>
        <w:t xml:space="preserve">made reference to the evidence of DW1 that the Development Credit Agreement resulted into the setting up of a project called </w:t>
      </w:r>
      <w:proofErr w:type="spellStart"/>
      <w:r w:rsidR="00281AB2" w:rsidRPr="00BF100B">
        <w:rPr>
          <w:rFonts w:ascii="Times New Roman" w:hAnsi="Times New Roman" w:cs="Times New Roman"/>
          <w:sz w:val="24"/>
          <w:szCs w:val="24"/>
        </w:rPr>
        <w:t>Passip</w:t>
      </w:r>
      <w:proofErr w:type="spellEnd"/>
      <w:r w:rsidR="00281AB2" w:rsidRPr="00BF100B">
        <w:rPr>
          <w:rFonts w:ascii="Times New Roman" w:hAnsi="Times New Roman" w:cs="Times New Roman"/>
          <w:sz w:val="24"/>
          <w:szCs w:val="24"/>
        </w:rPr>
        <w:t xml:space="preserve">, which operated from 2000 until 2006, before being closed by the World Bank. It was his contention that </w:t>
      </w:r>
      <w:r w:rsidR="00A028C8" w:rsidRPr="00BF100B">
        <w:rPr>
          <w:rFonts w:ascii="Times New Roman" w:hAnsi="Times New Roman" w:cs="Times New Roman"/>
          <w:sz w:val="24"/>
          <w:szCs w:val="24"/>
        </w:rPr>
        <w:t xml:space="preserve">the Divesture Account was in existence before the </w:t>
      </w:r>
      <w:r w:rsidR="00A028C8" w:rsidRPr="00BF100B">
        <w:rPr>
          <w:rFonts w:ascii="Times New Roman" w:hAnsi="Times New Roman" w:cs="Times New Roman"/>
          <w:b/>
          <w:sz w:val="24"/>
          <w:szCs w:val="24"/>
        </w:rPr>
        <w:t>PERD Statute</w:t>
      </w:r>
      <w:r w:rsidR="00A028C8" w:rsidRPr="00BF100B">
        <w:rPr>
          <w:rFonts w:ascii="Times New Roman" w:hAnsi="Times New Roman" w:cs="Times New Roman"/>
          <w:sz w:val="24"/>
          <w:szCs w:val="24"/>
        </w:rPr>
        <w:t>.</w:t>
      </w:r>
    </w:p>
    <w:p w:rsidR="00E51CE1"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BD4521" w:rsidRPr="00BF100B">
        <w:rPr>
          <w:rFonts w:ascii="Times New Roman" w:hAnsi="Times New Roman" w:cs="Times New Roman"/>
          <w:sz w:val="24"/>
          <w:szCs w:val="24"/>
        </w:rPr>
        <w:t xml:space="preserve"> </w:t>
      </w:r>
      <w:r w:rsidR="00A028C8" w:rsidRPr="00BF100B">
        <w:rPr>
          <w:rFonts w:ascii="Times New Roman" w:hAnsi="Times New Roman" w:cs="Times New Roman"/>
          <w:sz w:val="24"/>
          <w:szCs w:val="24"/>
        </w:rPr>
        <w:t>further submitted that Article 1.</w:t>
      </w:r>
      <w:r w:rsidR="007717F5" w:rsidRPr="00BF100B">
        <w:rPr>
          <w:rFonts w:ascii="Times New Roman" w:hAnsi="Times New Roman" w:cs="Times New Roman"/>
          <w:sz w:val="24"/>
          <w:szCs w:val="24"/>
        </w:rPr>
        <w:t xml:space="preserve">02 (z) of the Development Credit Agreement was not mandatory in as far as it stated that </w:t>
      </w:r>
      <w:r w:rsidR="002F6268" w:rsidRPr="00BF100B">
        <w:rPr>
          <w:rFonts w:ascii="Times New Roman" w:hAnsi="Times New Roman" w:cs="Times New Roman"/>
          <w:sz w:val="24"/>
          <w:szCs w:val="24"/>
        </w:rPr>
        <w:t>t</w:t>
      </w:r>
      <w:r w:rsidR="007717F5" w:rsidRPr="00BF100B">
        <w:rPr>
          <w:rFonts w:ascii="Times New Roman" w:hAnsi="Times New Roman" w:cs="Times New Roman"/>
          <w:sz w:val="24"/>
          <w:szCs w:val="24"/>
        </w:rPr>
        <w:t xml:space="preserve">he Divesture Account was to be supported by the borrower with annual budgetary contributions. Further, that </w:t>
      </w:r>
      <w:r w:rsidR="00E51CE1" w:rsidRPr="00BF100B">
        <w:rPr>
          <w:rFonts w:ascii="Times New Roman" w:hAnsi="Times New Roman" w:cs="Times New Roman"/>
          <w:sz w:val="24"/>
          <w:szCs w:val="24"/>
        </w:rPr>
        <w:t xml:space="preserve">this issue could not hold water in light of the findings of the Supreme Court in the </w:t>
      </w:r>
      <w:proofErr w:type="spellStart"/>
      <w:r w:rsidR="00E51CE1" w:rsidRPr="00BF100B">
        <w:rPr>
          <w:rFonts w:ascii="Times New Roman" w:hAnsi="Times New Roman" w:cs="Times New Roman"/>
          <w:b/>
          <w:i/>
          <w:sz w:val="24"/>
          <w:szCs w:val="24"/>
        </w:rPr>
        <w:t>Priamit</w:t>
      </w:r>
      <w:proofErr w:type="spellEnd"/>
      <w:r w:rsidR="00E51CE1" w:rsidRPr="00BF100B">
        <w:rPr>
          <w:rFonts w:ascii="Times New Roman" w:hAnsi="Times New Roman" w:cs="Times New Roman"/>
          <w:sz w:val="24"/>
          <w:szCs w:val="24"/>
        </w:rPr>
        <w:t xml:space="preserve"> case. </w:t>
      </w:r>
    </w:p>
    <w:p w:rsidR="00B028E1" w:rsidRPr="00BF100B" w:rsidRDefault="00E51CE1"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rejoinder, </w:t>
      </w:r>
      <w:r w:rsidR="003E2098" w:rsidRPr="00BF100B">
        <w:rPr>
          <w:rFonts w:ascii="Times New Roman" w:hAnsi="Times New Roman" w:cs="Times New Roman"/>
          <w:sz w:val="24"/>
          <w:szCs w:val="24"/>
        </w:rPr>
        <w:t>Counsel</w:t>
      </w:r>
      <w:r w:rsidR="00BD4521"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the plaintiffs submitted that</w:t>
      </w:r>
      <w:r w:rsidR="00B028E1" w:rsidRPr="00BF100B">
        <w:rPr>
          <w:rFonts w:ascii="Times New Roman" w:hAnsi="Times New Roman" w:cs="Times New Roman"/>
          <w:sz w:val="24"/>
          <w:szCs w:val="24"/>
        </w:rPr>
        <w:t xml:space="preserve"> the defendant had a statutory duty to seek for budgetary support under Article 1.02 (z) of the Development Agreement. Further, that this was the approach adopted in </w:t>
      </w:r>
      <w:r w:rsidR="00BD4521" w:rsidRPr="00BF100B">
        <w:rPr>
          <w:rFonts w:ascii="Times New Roman" w:hAnsi="Times New Roman" w:cs="Times New Roman"/>
          <w:b/>
          <w:i/>
          <w:sz w:val="24"/>
          <w:szCs w:val="24"/>
        </w:rPr>
        <w:t xml:space="preserve">Godfrey </w:t>
      </w:r>
      <w:proofErr w:type="spellStart"/>
      <w:r w:rsidR="00BD4521" w:rsidRPr="00BF100B">
        <w:rPr>
          <w:rFonts w:ascii="Times New Roman" w:hAnsi="Times New Roman" w:cs="Times New Roman"/>
          <w:b/>
          <w:i/>
          <w:sz w:val="24"/>
          <w:szCs w:val="24"/>
        </w:rPr>
        <w:t>Baguma</w:t>
      </w:r>
      <w:proofErr w:type="spellEnd"/>
      <w:r w:rsidR="00BD4521" w:rsidRPr="00BF100B">
        <w:rPr>
          <w:rFonts w:ascii="Times New Roman" w:hAnsi="Times New Roman" w:cs="Times New Roman"/>
          <w:b/>
          <w:i/>
          <w:sz w:val="24"/>
          <w:szCs w:val="24"/>
        </w:rPr>
        <w:t xml:space="preserve"> &amp; Others </w:t>
      </w:r>
      <w:proofErr w:type="spellStart"/>
      <w:r w:rsidR="00BD4521" w:rsidRPr="00BF100B">
        <w:rPr>
          <w:rFonts w:ascii="Times New Roman" w:hAnsi="Times New Roman" w:cs="Times New Roman"/>
          <w:b/>
          <w:i/>
          <w:sz w:val="24"/>
          <w:szCs w:val="24"/>
        </w:rPr>
        <w:t>V</w:t>
      </w:r>
      <w:r w:rsidR="00B028E1" w:rsidRPr="00BF100B">
        <w:rPr>
          <w:rFonts w:ascii="Times New Roman" w:hAnsi="Times New Roman" w:cs="Times New Roman"/>
          <w:b/>
          <w:i/>
          <w:sz w:val="24"/>
          <w:szCs w:val="24"/>
        </w:rPr>
        <w:t>s</w:t>
      </w:r>
      <w:proofErr w:type="spellEnd"/>
      <w:r w:rsidR="00B028E1" w:rsidRPr="00BF100B">
        <w:rPr>
          <w:rFonts w:ascii="Times New Roman" w:hAnsi="Times New Roman" w:cs="Times New Roman"/>
          <w:b/>
          <w:i/>
          <w:sz w:val="24"/>
          <w:szCs w:val="24"/>
        </w:rPr>
        <w:t xml:space="preserve"> </w:t>
      </w:r>
      <w:proofErr w:type="gramStart"/>
      <w:r w:rsidR="00B028E1" w:rsidRPr="00BF100B">
        <w:rPr>
          <w:rFonts w:ascii="Times New Roman" w:hAnsi="Times New Roman" w:cs="Times New Roman"/>
          <w:b/>
          <w:i/>
          <w:sz w:val="24"/>
          <w:szCs w:val="24"/>
        </w:rPr>
        <w:t>The</w:t>
      </w:r>
      <w:proofErr w:type="gramEnd"/>
      <w:r w:rsidR="00B028E1" w:rsidRPr="00BF100B">
        <w:rPr>
          <w:rFonts w:ascii="Times New Roman" w:hAnsi="Times New Roman" w:cs="Times New Roman"/>
          <w:b/>
          <w:i/>
          <w:sz w:val="24"/>
          <w:szCs w:val="24"/>
        </w:rPr>
        <w:t xml:space="preserve"> Executive Director PERD, High Court Civil Suit No.659 of 1999</w:t>
      </w:r>
      <w:r w:rsidR="00B028E1"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 </w:t>
      </w:r>
    </w:p>
    <w:p w:rsidR="00D10B15" w:rsidRPr="00BF100B" w:rsidRDefault="00B028E1"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 have already made a finding above that the defendant had a duty to seek for a budgetary contribution in order to pay the plaintiffs the amounts proved and owing to them as creditors of the public divested companies. </w:t>
      </w:r>
      <w:r w:rsidR="00D10B15" w:rsidRPr="00BF100B">
        <w:rPr>
          <w:rFonts w:ascii="Times New Roman" w:hAnsi="Times New Roman" w:cs="Times New Roman"/>
          <w:sz w:val="24"/>
          <w:szCs w:val="24"/>
        </w:rPr>
        <w:t xml:space="preserve">In view of the above, this issue has been addressed in issue 1. I, </w:t>
      </w:r>
      <w:r w:rsidR="00D10B15" w:rsidRPr="00BF100B">
        <w:rPr>
          <w:rFonts w:ascii="Times New Roman" w:hAnsi="Times New Roman" w:cs="Times New Roman"/>
          <w:sz w:val="24"/>
          <w:szCs w:val="24"/>
        </w:rPr>
        <w:lastRenderedPageBreak/>
        <w:t xml:space="preserve">therefore, do not find any reason to </w:t>
      </w:r>
      <w:r w:rsidR="002F6268" w:rsidRPr="00BF100B">
        <w:rPr>
          <w:rFonts w:ascii="Times New Roman" w:hAnsi="Times New Roman" w:cs="Times New Roman"/>
          <w:sz w:val="24"/>
          <w:szCs w:val="24"/>
        </w:rPr>
        <w:t xml:space="preserve">further </w:t>
      </w:r>
      <w:r w:rsidR="00D10B15" w:rsidRPr="00BF100B">
        <w:rPr>
          <w:rFonts w:ascii="Times New Roman" w:hAnsi="Times New Roman" w:cs="Times New Roman"/>
          <w:sz w:val="24"/>
          <w:szCs w:val="24"/>
        </w:rPr>
        <w:t xml:space="preserve">address </w:t>
      </w:r>
      <w:r w:rsidR="002F6268" w:rsidRPr="00BF100B">
        <w:rPr>
          <w:rFonts w:ascii="Times New Roman" w:hAnsi="Times New Roman" w:cs="Times New Roman"/>
          <w:sz w:val="24"/>
          <w:szCs w:val="24"/>
        </w:rPr>
        <w:t>it</w:t>
      </w:r>
      <w:r w:rsidR="00D10B15" w:rsidRPr="00BF100B">
        <w:rPr>
          <w:rFonts w:ascii="Times New Roman" w:hAnsi="Times New Roman" w:cs="Times New Roman"/>
          <w:sz w:val="24"/>
          <w:szCs w:val="24"/>
        </w:rPr>
        <w:t xml:space="preserve"> considering that it has been a</w:t>
      </w:r>
      <w:r w:rsidR="002F6268" w:rsidRPr="00BF100B">
        <w:rPr>
          <w:rFonts w:ascii="Times New Roman" w:hAnsi="Times New Roman" w:cs="Times New Roman"/>
          <w:sz w:val="24"/>
          <w:szCs w:val="24"/>
        </w:rPr>
        <w:t>nswered</w:t>
      </w:r>
      <w:r w:rsidR="00D10B15" w:rsidRPr="00BF100B">
        <w:rPr>
          <w:rFonts w:ascii="Times New Roman" w:hAnsi="Times New Roman" w:cs="Times New Roman"/>
          <w:sz w:val="24"/>
          <w:szCs w:val="24"/>
        </w:rPr>
        <w:t xml:space="preserve"> in substance above. </w:t>
      </w:r>
    </w:p>
    <w:p w:rsidR="00D10B15" w:rsidRPr="00BF100B" w:rsidRDefault="00D10B15"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Accordingly, this issue is answered in the affirmative. </w:t>
      </w:r>
    </w:p>
    <w:p w:rsidR="00406B9D" w:rsidRPr="00BF100B" w:rsidRDefault="00D10B15" w:rsidP="003871CA">
      <w:pPr>
        <w:spacing w:after="0" w:line="360" w:lineRule="auto"/>
        <w:ind w:left="2160" w:hanging="2160"/>
        <w:jc w:val="both"/>
        <w:rPr>
          <w:rFonts w:ascii="Times New Roman" w:hAnsi="Times New Roman" w:cs="Times New Roman"/>
          <w:b/>
          <w:i/>
          <w:sz w:val="24"/>
          <w:szCs w:val="24"/>
        </w:rPr>
      </w:pPr>
      <w:r w:rsidRPr="00BF100B">
        <w:rPr>
          <w:rFonts w:ascii="Times New Roman" w:hAnsi="Times New Roman" w:cs="Times New Roman"/>
          <w:b/>
          <w:i/>
          <w:sz w:val="24"/>
          <w:szCs w:val="24"/>
        </w:rPr>
        <w:t xml:space="preserve">ISSUE </w:t>
      </w:r>
      <w:r w:rsidR="00406B9D" w:rsidRPr="00BF100B">
        <w:rPr>
          <w:rFonts w:ascii="Times New Roman" w:hAnsi="Times New Roman" w:cs="Times New Roman"/>
          <w:b/>
          <w:i/>
          <w:sz w:val="24"/>
          <w:szCs w:val="24"/>
        </w:rPr>
        <w:t>4</w:t>
      </w:r>
      <w:r w:rsidR="00522217" w:rsidRPr="00BF100B">
        <w:rPr>
          <w:rFonts w:ascii="Times New Roman" w:hAnsi="Times New Roman" w:cs="Times New Roman"/>
          <w:b/>
          <w:i/>
          <w:sz w:val="24"/>
          <w:szCs w:val="24"/>
        </w:rPr>
        <w:t>:</w:t>
      </w:r>
      <w:r w:rsidR="00522217" w:rsidRPr="00BF100B">
        <w:rPr>
          <w:rFonts w:ascii="Times New Roman" w:hAnsi="Times New Roman" w:cs="Times New Roman"/>
          <w:b/>
          <w:i/>
          <w:sz w:val="24"/>
          <w:szCs w:val="24"/>
        </w:rPr>
        <w:tab/>
      </w:r>
      <w:r w:rsidR="00406B9D" w:rsidRPr="00BF100B">
        <w:rPr>
          <w:rFonts w:ascii="Times New Roman" w:hAnsi="Times New Roman" w:cs="Times New Roman"/>
          <w:b/>
          <w:i/>
          <w:sz w:val="24"/>
          <w:szCs w:val="24"/>
        </w:rPr>
        <w:t>Whether the plaintiffs are entitled to the prayers in the plaint.</w:t>
      </w:r>
    </w:p>
    <w:p w:rsidR="002B6E23"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000D0781" w:rsidRPr="00BF100B">
        <w:rPr>
          <w:rFonts w:ascii="Times New Roman" w:hAnsi="Times New Roman" w:cs="Times New Roman"/>
          <w:sz w:val="24"/>
          <w:szCs w:val="24"/>
        </w:rPr>
        <w:t xml:space="preserve">for the plaintiffs submitted that the plaintiffs claimed for the amounts they proved in liquidation and the same were stated in </w:t>
      </w:r>
      <w:r w:rsidR="00D23BAC" w:rsidRPr="00BF100B">
        <w:rPr>
          <w:rFonts w:ascii="Times New Roman" w:hAnsi="Times New Roman" w:cs="Times New Roman"/>
          <w:sz w:val="24"/>
          <w:szCs w:val="24"/>
        </w:rPr>
        <w:t>the liquidators report. He also submitted that the plaintiffs were also claiming for 25% interest on the above stated sums of money from the time when the said amounts were proved in liquidation. Further, that the plaintiffs were claiming for aggravated and punitive damages</w:t>
      </w:r>
      <w:r w:rsidR="002F6268" w:rsidRPr="00BF100B">
        <w:rPr>
          <w:rFonts w:ascii="Times New Roman" w:hAnsi="Times New Roman" w:cs="Times New Roman"/>
          <w:sz w:val="24"/>
          <w:szCs w:val="24"/>
        </w:rPr>
        <w:t>,</w:t>
      </w:r>
      <w:r w:rsidR="00D23BAC" w:rsidRPr="00BF100B">
        <w:rPr>
          <w:rFonts w:ascii="Times New Roman" w:hAnsi="Times New Roman" w:cs="Times New Roman"/>
          <w:sz w:val="24"/>
          <w:szCs w:val="24"/>
        </w:rPr>
        <w:t xml:space="preserve"> owing to the unbecoming conduct of the defendant’s officials who were in charge of the privatization process for failure to seek budgetary support from the time they became aware that the liquidation of the divested companies could not yield enough funds to pay all the creditors. </w:t>
      </w:r>
    </w:p>
    <w:p w:rsidR="00606F4C" w:rsidRPr="00BF100B" w:rsidRDefault="002B6E23"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reply, </w:t>
      </w:r>
      <w:r w:rsidR="003E2098"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Pr="00BF100B">
        <w:rPr>
          <w:rFonts w:ascii="Times New Roman" w:hAnsi="Times New Roman" w:cs="Times New Roman"/>
          <w:sz w:val="24"/>
          <w:szCs w:val="24"/>
        </w:rPr>
        <w:t>for defendant submitted that</w:t>
      </w:r>
      <w:r w:rsidR="0047100C" w:rsidRPr="00BF100B">
        <w:rPr>
          <w:rFonts w:ascii="Times New Roman" w:hAnsi="Times New Roman" w:cs="Times New Roman"/>
          <w:sz w:val="24"/>
          <w:szCs w:val="24"/>
        </w:rPr>
        <w:t xml:space="preserve"> the </w:t>
      </w:r>
      <w:proofErr w:type="spellStart"/>
      <w:r w:rsidR="0047100C" w:rsidRPr="00BF100B">
        <w:rPr>
          <w:rFonts w:ascii="Times New Roman" w:hAnsi="Times New Roman" w:cs="Times New Roman"/>
          <w:sz w:val="24"/>
          <w:szCs w:val="24"/>
        </w:rPr>
        <w:t>annexture</w:t>
      </w:r>
      <w:proofErr w:type="spellEnd"/>
      <w:r w:rsidR="0047100C" w:rsidRPr="00BF100B">
        <w:rPr>
          <w:rFonts w:ascii="Times New Roman" w:hAnsi="Times New Roman" w:cs="Times New Roman"/>
          <w:sz w:val="24"/>
          <w:szCs w:val="24"/>
        </w:rPr>
        <w:t xml:space="preserve"> “F” which was relied upon by </w:t>
      </w:r>
      <w:r w:rsidR="003E2098"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0047100C" w:rsidRPr="00BF100B">
        <w:rPr>
          <w:rFonts w:ascii="Times New Roman" w:hAnsi="Times New Roman" w:cs="Times New Roman"/>
          <w:sz w:val="24"/>
          <w:szCs w:val="24"/>
        </w:rPr>
        <w:t xml:space="preserve">for plaintiff as being the list of the creditors including the plaintiffs with their proved claims, was non-existent on the Court record and that the </w:t>
      </w:r>
      <w:proofErr w:type="spellStart"/>
      <w:r w:rsidR="0047100C" w:rsidRPr="00BF100B">
        <w:rPr>
          <w:rFonts w:ascii="Times New Roman" w:hAnsi="Times New Roman" w:cs="Times New Roman"/>
          <w:sz w:val="24"/>
          <w:szCs w:val="24"/>
        </w:rPr>
        <w:t>annextures</w:t>
      </w:r>
      <w:proofErr w:type="spellEnd"/>
      <w:r w:rsidR="0047100C" w:rsidRPr="00BF100B">
        <w:rPr>
          <w:rFonts w:ascii="Times New Roman" w:hAnsi="Times New Roman" w:cs="Times New Roman"/>
          <w:sz w:val="24"/>
          <w:szCs w:val="24"/>
        </w:rPr>
        <w:t xml:space="preserve"> to the plaint </w:t>
      </w:r>
      <w:r w:rsidR="00606F4C" w:rsidRPr="00BF100B">
        <w:rPr>
          <w:rFonts w:ascii="Times New Roman" w:hAnsi="Times New Roman" w:cs="Times New Roman"/>
          <w:sz w:val="24"/>
          <w:szCs w:val="24"/>
        </w:rPr>
        <w:t xml:space="preserve">only stopped on </w:t>
      </w:r>
      <w:proofErr w:type="spellStart"/>
      <w:r w:rsidR="00606F4C" w:rsidRPr="00BF100B">
        <w:rPr>
          <w:rFonts w:ascii="Times New Roman" w:hAnsi="Times New Roman" w:cs="Times New Roman"/>
          <w:sz w:val="24"/>
          <w:szCs w:val="24"/>
        </w:rPr>
        <w:t>annexture</w:t>
      </w:r>
      <w:proofErr w:type="spellEnd"/>
      <w:r w:rsidR="00606F4C" w:rsidRPr="00BF100B">
        <w:rPr>
          <w:rFonts w:ascii="Times New Roman" w:hAnsi="Times New Roman" w:cs="Times New Roman"/>
          <w:sz w:val="24"/>
          <w:szCs w:val="24"/>
        </w:rPr>
        <w:t xml:space="preserve"> “E” and not “F”. Further, that the said </w:t>
      </w:r>
      <w:proofErr w:type="spellStart"/>
      <w:r w:rsidR="00606F4C" w:rsidRPr="00BF100B">
        <w:rPr>
          <w:rFonts w:ascii="Times New Roman" w:hAnsi="Times New Roman" w:cs="Times New Roman"/>
          <w:sz w:val="24"/>
          <w:szCs w:val="24"/>
        </w:rPr>
        <w:t>annexture</w:t>
      </w:r>
      <w:proofErr w:type="spellEnd"/>
      <w:r w:rsidR="00606F4C" w:rsidRPr="00BF100B">
        <w:rPr>
          <w:rFonts w:ascii="Times New Roman" w:hAnsi="Times New Roman" w:cs="Times New Roman"/>
          <w:sz w:val="24"/>
          <w:szCs w:val="24"/>
        </w:rPr>
        <w:t xml:space="preserve"> “F” was merely plucked from the attachments on </w:t>
      </w:r>
      <w:proofErr w:type="spellStart"/>
      <w:r w:rsidR="00606F4C" w:rsidRPr="00BF100B">
        <w:rPr>
          <w:rFonts w:ascii="Times New Roman" w:hAnsi="Times New Roman" w:cs="Times New Roman"/>
          <w:sz w:val="24"/>
          <w:szCs w:val="24"/>
        </w:rPr>
        <w:t>annexture</w:t>
      </w:r>
      <w:proofErr w:type="spellEnd"/>
      <w:r w:rsidR="00606F4C" w:rsidRPr="00BF100B">
        <w:rPr>
          <w:rFonts w:ascii="Times New Roman" w:hAnsi="Times New Roman" w:cs="Times New Roman"/>
          <w:sz w:val="24"/>
          <w:szCs w:val="24"/>
        </w:rPr>
        <w:t xml:space="preserve"> “B”, and that the said </w:t>
      </w:r>
      <w:proofErr w:type="spellStart"/>
      <w:r w:rsidR="00606F4C" w:rsidRPr="00BF100B">
        <w:rPr>
          <w:rFonts w:ascii="Times New Roman" w:hAnsi="Times New Roman" w:cs="Times New Roman"/>
          <w:sz w:val="24"/>
          <w:szCs w:val="24"/>
        </w:rPr>
        <w:t>annexture</w:t>
      </w:r>
      <w:proofErr w:type="spellEnd"/>
      <w:r w:rsidR="00606F4C" w:rsidRPr="00BF100B">
        <w:rPr>
          <w:rFonts w:ascii="Times New Roman" w:hAnsi="Times New Roman" w:cs="Times New Roman"/>
          <w:sz w:val="24"/>
          <w:szCs w:val="24"/>
        </w:rPr>
        <w:t xml:space="preserve"> was never tendered in the evidence. </w:t>
      </w:r>
    </w:p>
    <w:p w:rsidR="00824489"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00824489" w:rsidRPr="00BF100B">
        <w:rPr>
          <w:rFonts w:ascii="Times New Roman" w:hAnsi="Times New Roman" w:cs="Times New Roman"/>
          <w:sz w:val="24"/>
          <w:szCs w:val="24"/>
        </w:rPr>
        <w:t xml:space="preserve">submitted that the plaintiffs had a burden to prove that they were entitled to the remedies sought. </w:t>
      </w:r>
      <w:proofErr w:type="spellStart"/>
      <w:r w:rsidRPr="00BF100B">
        <w:rPr>
          <w:rFonts w:ascii="Times New Roman" w:hAnsi="Times New Roman" w:cs="Times New Roman"/>
          <w:sz w:val="24"/>
          <w:szCs w:val="24"/>
        </w:rPr>
        <w:t>Counsel</w:t>
      </w:r>
      <w:r w:rsidR="00824489" w:rsidRPr="00BF100B">
        <w:rPr>
          <w:rFonts w:ascii="Times New Roman" w:hAnsi="Times New Roman" w:cs="Times New Roman"/>
          <w:sz w:val="24"/>
          <w:szCs w:val="24"/>
        </w:rPr>
        <w:t>relied</w:t>
      </w:r>
      <w:proofErr w:type="spellEnd"/>
      <w:r w:rsidR="00824489" w:rsidRPr="00BF100B">
        <w:rPr>
          <w:rFonts w:ascii="Times New Roman" w:hAnsi="Times New Roman" w:cs="Times New Roman"/>
          <w:sz w:val="24"/>
          <w:szCs w:val="24"/>
        </w:rPr>
        <w:t xml:space="preserve"> on </w:t>
      </w:r>
      <w:proofErr w:type="spellStart"/>
      <w:r w:rsidR="00937672" w:rsidRPr="00BF100B">
        <w:rPr>
          <w:rFonts w:ascii="Times New Roman" w:hAnsi="Times New Roman" w:cs="Times New Roman"/>
          <w:b/>
          <w:i/>
          <w:sz w:val="24"/>
          <w:szCs w:val="24"/>
        </w:rPr>
        <w:t>Sebuliba</w:t>
      </w:r>
      <w:proofErr w:type="spellEnd"/>
      <w:r w:rsidR="00937672" w:rsidRPr="00BF100B">
        <w:rPr>
          <w:rFonts w:ascii="Times New Roman" w:hAnsi="Times New Roman" w:cs="Times New Roman"/>
          <w:b/>
          <w:i/>
          <w:sz w:val="24"/>
          <w:szCs w:val="24"/>
        </w:rPr>
        <w:t xml:space="preserve"> </w:t>
      </w:r>
      <w:proofErr w:type="spellStart"/>
      <w:r w:rsidR="00937672" w:rsidRPr="00BF100B">
        <w:rPr>
          <w:rFonts w:ascii="Times New Roman" w:hAnsi="Times New Roman" w:cs="Times New Roman"/>
          <w:b/>
          <w:i/>
          <w:sz w:val="24"/>
          <w:szCs w:val="24"/>
        </w:rPr>
        <w:t>Busuulwa</w:t>
      </w:r>
      <w:proofErr w:type="spellEnd"/>
      <w:r w:rsidR="00937672" w:rsidRPr="00BF100B">
        <w:rPr>
          <w:rFonts w:ascii="Times New Roman" w:hAnsi="Times New Roman" w:cs="Times New Roman"/>
          <w:b/>
          <w:i/>
          <w:sz w:val="24"/>
          <w:szCs w:val="24"/>
        </w:rPr>
        <w:t xml:space="preserve"> </w:t>
      </w:r>
      <w:proofErr w:type="spellStart"/>
      <w:r w:rsidR="00937672" w:rsidRPr="00BF100B">
        <w:rPr>
          <w:rFonts w:ascii="Times New Roman" w:hAnsi="Times New Roman" w:cs="Times New Roman"/>
          <w:b/>
          <w:i/>
          <w:sz w:val="24"/>
          <w:szCs w:val="24"/>
        </w:rPr>
        <w:t>V</w:t>
      </w:r>
      <w:r w:rsidR="00824489" w:rsidRPr="00BF100B">
        <w:rPr>
          <w:rFonts w:ascii="Times New Roman" w:hAnsi="Times New Roman" w:cs="Times New Roman"/>
          <w:b/>
          <w:i/>
          <w:sz w:val="24"/>
          <w:szCs w:val="24"/>
        </w:rPr>
        <w:t>s</w:t>
      </w:r>
      <w:proofErr w:type="spellEnd"/>
      <w:r w:rsidR="00824489" w:rsidRPr="00BF100B">
        <w:rPr>
          <w:rFonts w:ascii="Times New Roman" w:hAnsi="Times New Roman" w:cs="Times New Roman"/>
          <w:b/>
          <w:i/>
          <w:sz w:val="24"/>
          <w:szCs w:val="24"/>
        </w:rPr>
        <w:t xml:space="preserve"> Cooperative Bank (1982) HCB 129</w:t>
      </w:r>
      <w:r w:rsidR="00824489" w:rsidRPr="00BF100B">
        <w:rPr>
          <w:rFonts w:ascii="Times New Roman" w:hAnsi="Times New Roman" w:cs="Times New Roman"/>
          <w:sz w:val="24"/>
          <w:szCs w:val="24"/>
        </w:rPr>
        <w:t xml:space="preserve"> and </w:t>
      </w:r>
      <w:r w:rsidR="00824489" w:rsidRPr="00BF100B">
        <w:rPr>
          <w:rFonts w:ascii="Times New Roman" w:hAnsi="Times New Roman" w:cs="Times New Roman"/>
          <w:b/>
          <w:i/>
          <w:sz w:val="24"/>
          <w:szCs w:val="24"/>
        </w:rPr>
        <w:t>J.K Patel and Spear Motors Limited, Supreme Court Civil Appeal No.4 of 1991</w:t>
      </w:r>
      <w:r w:rsidR="00824489" w:rsidRPr="00BF100B">
        <w:rPr>
          <w:rFonts w:ascii="Times New Roman" w:hAnsi="Times New Roman" w:cs="Times New Roman"/>
          <w:sz w:val="24"/>
          <w:szCs w:val="24"/>
        </w:rPr>
        <w:t xml:space="preserve">, to support the above submission. </w:t>
      </w:r>
    </w:p>
    <w:p w:rsidR="001C648F" w:rsidRPr="00BF100B" w:rsidRDefault="00824489"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regard to the prayer for aggravated damages by the plaintiffs, </w:t>
      </w:r>
      <w:r w:rsidR="003E2098"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the defendant submitted that </w:t>
      </w:r>
      <w:r w:rsidR="001C648F" w:rsidRPr="00BF100B">
        <w:rPr>
          <w:rFonts w:ascii="Times New Roman" w:hAnsi="Times New Roman" w:cs="Times New Roman"/>
          <w:sz w:val="24"/>
          <w:szCs w:val="24"/>
        </w:rPr>
        <w:t xml:space="preserve">the plaintiffs did not suffer any loss whatsoever which was occasioned by the defendant. Further, that the exceptional circumstances that warrant the </w:t>
      </w:r>
      <w:r w:rsidR="002F6268" w:rsidRPr="00BF100B">
        <w:rPr>
          <w:rFonts w:ascii="Times New Roman" w:hAnsi="Times New Roman" w:cs="Times New Roman"/>
          <w:sz w:val="24"/>
          <w:szCs w:val="24"/>
        </w:rPr>
        <w:t>award of aggravated damages had</w:t>
      </w:r>
      <w:r w:rsidR="001C648F" w:rsidRPr="00BF100B">
        <w:rPr>
          <w:rFonts w:ascii="Times New Roman" w:hAnsi="Times New Roman" w:cs="Times New Roman"/>
          <w:sz w:val="24"/>
          <w:szCs w:val="24"/>
        </w:rPr>
        <w:t xml:space="preserve"> not been proved by the plaintiffs. </w:t>
      </w:r>
    </w:p>
    <w:p w:rsidR="001C648F"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001C648F" w:rsidRPr="00BF100B">
        <w:rPr>
          <w:rFonts w:ascii="Times New Roman" w:hAnsi="Times New Roman" w:cs="Times New Roman"/>
          <w:sz w:val="24"/>
          <w:szCs w:val="24"/>
        </w:rPr>
        <w:t xml:space="preserve">submitted that </w:t>
      </w:r>
      <w:r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001C648F" w:rsidRPr="00BF100B">
        <w:rPr>
          <w:rFonts w:ascii="Times New Roman" w:hAnsi="Times New Roman" w:cs="Times New Roman"/>
          <w:sz w:val="24"/>
          <w:szCs w:val="24"/>
        </w:rPr>
        <w:t xml:space="preserve">for the plaintiff had smuggled in a claim for general damages yet the same was never pleaded in the plaint. </w:t>
      </w:r>
      <w:r w:rsidRPr="00BF100B">
        <w:rPr>
          <w:rFonts w:ascii="Times New Roman" w:hAnsi="Times New Roman" w:cs="Times New Roman"/>
          <w:sz w:val="24"/>
          <w:szCs w:val="24"/>
        </w:rPr>
        <w:t>Counsel</w:t>
      </w:r>
      <w:r w:rsidR="00820FC5" w:rsidRPr="00BF100B">
        <w:rPr>
          <w:rFonts w:ascii="Times New Roman" w:hAnsi="Times New Roman" w:cs="Times New Roman"/>
          <w:sz w:val="24"/>
          <w:szCs w:val="24"/>
        </w:rPr>
        <w:t xml:space="preserve"> </w:t>
      </w:r>
      <w:r w:rsidR="001C648F" w:rsidRPr="00BF100B">
        <w:rPr>
          <w:rFonts w:ascii="Times New Roman" w:hAnsi="Times New Roman" w:cs="Times New Roman"/>
          <w:sz w:val="24"/>
          <w:szCs w:val="24"/>
        </w:rPr>
        <w:t xml:space="preserve">invited Court to disregard the said claim considering that it was a departure from the pleadings. </w:t>
      </w:r>
    </w:p>
    <w:p w:rsidR="001C648F" w:rsidRPr="00BF100B" w:rsidRDefault="003E209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lastRenderedPageBreak/>
        <w:t>Counsel</w:t>
      </w:r>
      <w:r w:rsidR="00820FC5" w:rsidRPr="00BF100B">
        <w:rPr>
          <w:rFonts w:ascii="Times New Roman" w:hAnsi="Times New Roman" w:cs="Times New Roman"/>
          <w:sz w:val="24"/>
          <w:szCs w:val="24"/>
        </w:rPr>
        <w:t xml:space="preserve"> </w:t>
      </w:r>
      <w:r w:rsidR="001C648F" w:rsidRPr="00BF100B">
        <w:rPr>
          <w:rFonts w:ascii="Times New Roman" w:hAnsi="Times New Roman" w:cs="Times New Roman"/>
          <w:sz w:val="24"/>
          <w:szCs w:val="24"/>
        </w:rPr>
        <w:t xml:space="preserve">prayed that in the event that this </w:t>
      </w:r>
      <w:r w:rsidR="00900F5B" w:rsidRPr="00BF100B">
        <w:rPr>
          <w:rFonts w:ascii="Times New Roman" w:hAnsi="Times New Roman" w:cs="Times New Roman"/>
          <w:sz w:val="24"/>
          <w:szCs w:val="24"/>
        </w:rPr>
        <w:t>c</w:t>
      </w:r>
      <w:r w:rsidR="001C648F" w:rsidRPr="00BF100B">
        <w:rPr>
          <w:rFonts w:ascii="Times New Roman" w:hAnsi="Times New Roman" w:cs="Times New Roman"/>
          <w:sz w:val="24"/>
          <w:szCs w:val="24"/>
        </w:rPr>
        <w:t xml:space="preserve">ourt was to grant interest, it should award the same at </w:t>
      </w:r>
      <w:r w:rsidR="00900F5B" w:rsidRPr="00BF100B">
        <w:rPr>
          <w:rFonts w:ascii="Times New Roman" w:hAnsi="Times New Roman" w:cs="Times New Roman"/>
          <w:sz w:val="24"/>
          <w:szCs w:val="24"/>
        </w:rPr>
        <w:t>c</w:t>
      </w:r>
      <w:r w:rsidR="001C648F" w:rsidRPr="00BF100B">
        <w:rPr>
          <w:rFonts w:ascii="Times New Roman" w:hAnsi="Times New Roman" w:cs="Times New Roman"/>
          <w:sz w:val="24"/>
          <w:szCs w:val="24"/>
        </w:rPr>
        <w:t>ourt rate from the date of Judgment.</w:t>
      </w:r>
    </w:p>
    <w:p w:rsidR="00BC3D5C" w:rsidRPr="00BF100B" w:rsidRDefault="001C648F"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rejoinder, </w:t>
      </w:r>
      <w:r w:rsidR="003E2098" w:rsidRPr="00BF100B">
        <w:rPr>
          <w:rFonts w:ascii="Times New Roman" w:hAnsi="Times New Roman" w:cs="Times New Roman"/>
          <w:sz w:val="24"/>
          <w:szCs w:val="24"/>
        </w:rPr>
        <w:t>Counsel</w:t>
      </w:r>
      <w:r w:rsidR="003568E5"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the plaintiffs submitted that </w:t>
      </w:r>
      <w:proofErr w:type="spellStart"/>
      <w:r w:rsidR="00BC3D5C" w:rsidRPr="00BF100B">
        <w:rPr>
          <w:rFonts w:ascii="Times New Roman" w:hAnsi="Times New Roman" w:cs="Times New Roman"/>
          <w:sz w:val="24"/>
          <w:szCs w:val="24"/>
        </w:rPr>
        <w:t>annexture</w:t>
      </w:r>
      <w:proofErr w:type="spellEnd"/>
      <w:r w:rsidR="00BC3D5C" w:rsidRPr="00BF100B">
        <w:rPr>
          <w:rFonts w:ascii="Times New Roman" w:hAnsi="Times New Roman" w:cs="Times New Roman"/>
          <w:sz w:val="24"/>
          <w:szCs w:val="24"/>
        </w:rPr>
        <w:t xml:space="preserve"> “F” was one of the agreed upon documents during the scheduling conference and that there was no further need to prove the same. </w:t>
      </w:r>
    </w:p>
    <w:p w:rsidR="00417B19" w:rsidRPr="00BF100B" w:rsidRDefault="00BC3D5C"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 have considered the submissions of </w:t>
      </w:r>
      <w:r w:rsidR="003E2098" w:rsidRPr="00BF100B">
        <w:rPr>
          <w:rFonts w:ascii="Times New Roman" w:hAnsi="Times New Roman" w:cs="Times New Roman"/>
          <w:sz w:val="24"/>
          <w:szCs w:val="24"/>
        </w:rPr>
        <w:t>Counsel</w:t>
      </w:r>
      <w:r w:rsidR="003568E5"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and the evidence on record </w:t>
      </w:r>
      <w:r w:rsidR="00417B19" w:rsidRPr="00BF100B">
        <w:rPr>
          <w:rFonts w:ascii="Times New Roman" w:hAnsi="Times New Roman" w:cs="Times New Roman"/>
          <w:sz w:val="24"/>
          <w:szCs w:val="24"/>
        </w:rPr>
        <w:t xml:space="preserve">in regard to this issue. </w:t>
      </w:r>
    </w:p>
    <w:p w:rsidR="00417B19" w:rsidRPr="00BF100B" w:rsidRDefault="00417B19"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first order sought by the plaintiffs was for an award of the claims proved in liquidation in public entities that were divested and liquidated under the PERD Statute. </w:t>
      </w:r>
    </w:p>
    <w:p w:rsidR="002804F8" w:rsidRPr="00BF100B" w:rsidRDefault="002804F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At the joint scheduling conference, it was an agreed fact that the plaintiffs were proved creditors of the divested companies</w:t>
      </w:r>
      <w:r w:rsidR="002F6268" w:rsidRPr="00BF100B">
        <w:rPr>
          <w:rFonts w:ascii="Times New Roman" w:hAnsi="Times New Roman" w:cs="Times New Roman"/>
          <w:sz w:val="24"/>
          <w:szCs w:val="24"/>
        </w:rPr>
        <w:t>. However,</w:t>
      </w:r>
      <w:r w:rsidRPr="00BF100B">
        <w:rPr>
          <w:rFonts w:ascii="Times New Roman" w:hAnsi="Times New Roman" w:cs="Times New Roman"/>
          <w:sz w:val="24"/>
          <w:szCs w:val="24"/>
        </w:rPr>
        <w:t xml:space="preserve"> </w:t>
      </w:r>
      <w:r w:rsidR="003E2098" w:rsidRPr="00BF100B">
        <w:rPr>
          <w:rFonts w:ascii="Times New Roman" w:hAnsi="Times New Roman" w:cs="Times New Roman"/>
          <w:sz w:val="24"/>
          <w:szCs w:val="24"/>
        </w:rPr>
        <w:t>Counsel</w:t>
      </w:r>
      <w:r w:rsidR="003568E5" w:rsidRPr="00BF100B">
        <w:rPr>
          <w:rFonts w:ascii="Times New Roman" w:hAnsi="Times New Roman" w:cs="Times New Roman"/>
          <w:sz w:val="24"/>
          <w:szCs w:val="24"/>
        </w:rPr>
        <w:t xml:space="preserve"> </w:t>
      </w:r>
      <w:r w:rsidRPr="00BF100B">
        <w:rPr>
          <w:rFonts w:ascii="Times New Roman" w:hAnsi="Times New Roman" w:cs="Times New Roman"/>
          <w:sz w:val="24"/>
          <w:szCs w:val="24"/>
        </w:rPr>
        <w:t xml:space="preserve">for the defendant intimated that </w:t>
      </w:r>
      <w:proofErr w:type="spellStart"/>
      <w:r w:rsidRPr="00BF100B">
        <w:rPr>
          <w:rFonts w:ascii="Times New Roman" w:hAnsi="Times New Roman" w:cs="Times New Roman"/>
          <w:sz w:val="24"/>
          <w:szCs w:val="24"/>
        </w:rPr>
        <w:t>annexture</w:t>
      </w:r>
      <w:proofErr w:type="spellEnd"/>
      <w:r w:rsidRPr="00BF100B">
        <w:rPr>
          <w:rFonts w:ascii="Times New Roman" w:hAnsi="Times New Roman" w:cs="Times New Roman"/>
          <w:sz w:val="24"/>
          <w:szCs w:val="24"/>
        </w:rPr>
        <w:t xml:space="preserve"> “F” to the plaint which was a compilation of the plaintiffs and the amounts that were proved in liquidation was never part of the record of this </w:t>
      </w:r>
      <w:r w:rsidR="003568E5" w:rsidRPr="00BF100B">
        <w:rPr>
          <w:rFonts w:ascii="Times New Roman" w:hAnsi="Times New Roman" w:cs="Times New Roman"/>
          <w:sz w:val="24"/>
          <w:szCs w:val="24"/>
        </w:rPr>
        <w:t>c</w:t>
      </w:r>
      <w:r w:rsidRPr="00BF100B">
        <w:rPr>
          <w:rFonts w:ascii="Times New Roman" w:hAnsi="Times New Roman" w:cs="Times New Roman"/>
          <w:sz w:val="24"/>
          <w:szCs w:val="24"/>
        </w:rPr>
        <w:t xml:space="preserve">ourt. </w:t>
      </w:r>
    </w:p>
    <w:p w:rsidR="004B7266" w:rsidRPr="00BF100B" w:rsidRDefault="002804F8"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In the circumstances, I award the plaintiffs the amounts proved in liquidation, on condition that </w:t>
      </w:r>
      <w:r w:rsidR="004B7266" w:rsidRPr="00BF100B">
        <w:rPr>
          <w:rFonts w:ascii="Times New Roman" w:hAnsi="Times New Roman" w:cs="Times New Roman"/>
          <w:sz w:val="24"/>
          <w:szCs w:val="24"/>
        </w:rPr>
        <w:t xml:space="preserve">each plaintiff shall individually or through their agents/representatives present their proved amounts in liquidation to the respondent for approval, within 60 days from the date hereof. </w:t>
      </w:r>
    </w:p>
    <w:p w:rsidR="00765FD5" w:rsidRPr="00BF100B" w:rsidRDefault="004B7266"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defendant also prayed for punitive damages and aggravated damages against the defendant. </w:t>
      </w:r>
    </w:p>
    <w:p w:rsidR="00765FD5" w:rsidRPr="00BF100B" w:rsidRDefault="00765FD5"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Exemplary/punitive damages may be awarded in cases where the behavior of the defendant is oppressive, arrogant and high handed. In </w:t>
      </w:r>
      <w:proofErr w:type="spellStart"/>
      <w:r w:rsidRPr="00BF100B">
        <w:rPr>
          <w:rFonts w:ascii="Times New Roman" w:hAnsi="Times New Roman" w:cs="Times New Roman"/>
          <w:b/>
          <w:i/>
          <w:sz w:val="24"/>
          <w:szCs w:val="24"/>
        </w:rPr>
        <w:t>R</w:t>
      </w:r>
      <w:r w:rsidR="007B76D0" w:rsidRPr="00BF100B">
        <w:rPr>
          <w:rFonts w:ascii="Times New Roman" w:hAnsi="Times New Roman" w:cs="Times New Roman"/>
          <w:b/>
          <w:i/>
          <w:sz w:val="24"/>
          <w:szCs w:val="24"/>
        </w:rPr>
        <w:t>ookes</w:t>
      </w:r>
      <w:proofErr w:type="spellEnd"/>
      <w:r w:rsidR="007B76D0" w:rsidRPr="00BF100B">
        <w:rPr>
          <w:rFonts w:ascii="Times New Roman" w:hAnsi="Times New Roman" w:cs="Times New Roman"/>
          <w:b/>
          <w:i/>
          <w:sz w:val="24"/>
          <w:szCs w:val="24"/>
        </w:rPr>
        <w:t xml:space="preserve"> </w:t>
      </w:r>
      <w:proofErr w:type="spellStart"/>
      <w:r w:rsidR="007B76D0" w:rsidRPr="00BF100B">
        <w:rPr>
          <w:rFonts w:ascii="Times New Roman" w:hAnsi="Times New Roman" w:cs="Times New Roman"/>
          <w:b/>
          <w:i/>
          <w:sz w:val="24"/>
          <w:szCs w:val="24"/>
        </w:rPr>
        <w:t>V</w:t>
      </w:r>
      <w:r w:rsidRPr="00BF100B">
        <w:rPr>
          <w:rFonts w:ascii="Times New Roman" w:hAnsi="Times New Roman" w:cs="Times New Roman"/>
          <w:b/>
          <w:i/>
          <w:sz w:val="24"/>
          <w:szCs w:val="24"/>
        </w:rPr>
        <w:t>s</w:t>
      </w:r>
      <w:proofErr w:type="spellEnd"/>
      <w:r w:rsidRPr="00BF100B">
        <w:rPr>
          <w:rFonts w:ascii="Times New Roman" w:hAnsi="Times New Roman" w:cs="Times New Roman"/>
          <w:b/>
          <w:i/>
          <w:sz w:val="24"/>
          <w:szCs w:val="24"/>
        </w:rPr>
        <w:t xml:space="preserve"> Barnard, [1964] ALL ER</w:t>
      </w:r>
      <w:r w:rsidRPr="00BF100B">
        <w:rPr>
          <w:rFonts w:ascii="Times New Roman" w:hAnsi="Times New Roman" w:cs="Times New Roman"/>
          <w:sz w:val="24"/>
          <w:szCs w:val="24"/>
        </w:rPr>
        <w:t>, It was stated that there are only three categories of cases in which exemplary damages are awarded;</w:t>
      </w:r>
    </w:p>
    <w:p w:rsidR="00765FD5" w:rsidRPr="00BF100B" w:rsidRDefault="00765FD5" w:rsidP="003871CA">
      <w:pPr>
        <w:pStyle w:val="ListParagraph"/>
        <w:numPr>
          <w:ilvl w:val="0"/>
          <w:numId w:val="8"/>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Where there has been oppressive, arbitrary, or unconstitutional action by the servants of the government.</w:t>
      </w:r>
    </w:p>
    <w:p w:rsidR="00765FD5" w:rsidRPr="00BF100B" w:rsidRDefault="00765FD5" w:rsidP="003871CA">
      <w:pPr>
        <w:pStyle w:val="ListParagraph"/>
        <w:numPr>
          <w:ilvl w:val="0"/>
          <w:numId w:val="8"/>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Where the defendant’s conduct has been calculated by him to make profit which may well exceed the compensation payable to the plaintiff; and</w:t>
      </w:r>
    </w:p>
    <w:p w:rsidR="00765FD5" w:rsidRPr="00BF100B" w:rsidRDefault="00765FD5" w:rsidP="003871CA">
      <w:pPr>
        <w:pStyle w:val="ListParagraph"/>
        <w:numPr>
          <w:ilvl w:val="0"/>
          <w:numId w:val="8"/>
        </w:numPr>
        <w:spacing w:line="360" w:lineRule="auto"/>
        <w:jc w:val="both"/>
        <w:rPr>
          <w:rFonts w:ascii="Times New Roman" w:hAnsi="Times New Roman" w:cs="Times New Roman"/>
          <w:i/>
          <w:sz w:val="24"/>
          <w:szCs w:val="24"/>
        </w:rPr>
      </w:pPr>
      <w:r w:rsidRPr="00BF100B">
        <w:rPr>
          <w:rFonts w:ascii="Times New Roman" w:hAnsi="Times New Roman" w:cs="Times New Roman"/>
          <w:i/>
          <w:sz w:val="24"/>
          <w:szCs w:val="24"/>
        </w:rPr>
        <w:t xml:space="preserve">Where some law for the time being in force authorizes the award of exemplary damages. </w:t>
      </w:r>
    </w:p>
    <w:p w:rsidR="00765FD5" w:rsidRPr="00BF100B" w:rsidRDefault="00765FD5"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It is apparent that the actions of the defendant did not fall in any of the above categories warranting the award of exemplary/punitive damages. This claim is, therefore, disallowed.</w:t>
      </w:r>
    </w:p>
    <w:p w:rsidR="006266F5" w:rsidRPr="00BF100B" w:rsidRDefault="00765FD5"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lastRenderedPageBreak/>
        <w:t>On the other hand, aggravated damages are compensation to the plaintiff for injury to his feelings and dignity caused by the manner in which the defendant acted</w:t>
      </w:r>
      <w:r w:rsidR="006266F5" w:rsidRPr="00BF100B">
        <w:rPr>
          <w:rFonts w:ascii="Times New Roman" w:hAnsi="Times New Roman" w:cs="Times New Roman"/>
          <w:b/>
          <w:i/>
          <w:sz w:val="24"/>
          <w:szCs w:val="24"/>
        </w:rPr>
        <w:t xml:space="preserve"> (See </w:t>
      </w:r>
      <w:proofErr w:type="spellStart"/>
      <w:r w:rsidR="006266F5" w:rsidRPr="00BF100B">
        <w:rPr>
          <w:rFonts w:ascii="Times New Roman" w:hAnsi="Times New Roman" w:cs="Times New Roman"/>
          <w:b/>
          <w:i/>
          <w:sz w:val="24"/>
          <w:szCs w:val="24"/>
        </w:rPr>
        <w:t>Obongo</w:t>
      </w:r>
      <w:proofErr w:type="spellEnd"/>
      <w:r w:rsidR="006266F5" w:rsidRPr="00BF100B">
        <w:rPr>
          <w:rFonts w:ascii="Times New Roman" w:hAnsi="Times New Roman" w:cs="Times New Roman"/>
          <w:b/>
          <w:i/>
          <w:sz w:val="24"/>
          <w:szCs w:val="24"/>
        </w:rPr>
        <w:t xml:space="preserve"> and Another Versus Municipal Council of Kisumu [1971] EA 91)</w:t>
      </w:r>
      <w:r w:rsidR="006266F5" w:rsidRPr="00BF100B">
        <w:rPr>
          <w:rFonts w:ascii="Times New Roman" w:hAnsi="Times New Roman" w:cs="Times New Roman"/>
          <w:sz w:val="24"/>
          <w:szCs w:val="24"/>
        </w:rPr>
        <w:t xml:space="preserve">. In the present case, I find that there were no aggravating circumstances that warrant an award of aggravated damages. I find that there was no proof that the defendant acted maliciously or arrogantly in any way toward the plaintiffs. This award is therefore also denied. </w:t>
      </w:r>
    </w:p>
    <w:p w:rsidR="001E0C90" w:rsidRPr="00BF100B" w:rsidRDefault="006266F5"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With regard to the prayer for general damages, it is apparent that the same was not </w:t>
      </w:r>
      <w:proofErr w:type="spellStart"/>
      <w:r w:rsidRPr="00BF100B">
        <w:rPr>
          <w:rFonts w:ascii="Times New Roman" w:hAnsi="Times New Roman" w:cs="Times New Roman"/>
          <w:sz w:val="24"/>
          <w:szCs w:val="24"/>
        </w:rPr>
        <w:t>pleaded</w:t>
      </w:r>
      <w:proofErr w:type="spellEnd"/>
      <w:r w:rsidRPr="00BF100B">
        <w:rPr>
          <w:rFonts w:ascii="Times New Roman" w:hAnsi="Times New Roman" w:cs="Times New Roman"/>
          <w:sz w:val="24"/>
          <w:szCs w:val="24"/>
        </w:rPr>
        <w:t xml:space="preserve"> </w:t>
      </w:r>
      <w:r w:rsidR="008A52F1" w:rsidRPr="00BF100B">
        <w:rPr>
          <w:rFonts w:ascii="Times New Roman" w:hAnsi="Times New Roman" w:cs="Times New Roman"/>
          <w:sz w:val="24"/>
          <w:szCs w:val="24"/>
        </w:rPr>
        <w:t xml:space="preserve">by the plaintiffs. </w:t>
      </w:r>
      <w:r w:rsidR="00CF256F" w:rsidRPr="00BF100B">
        <w:rPr>
          <w:rFonts w:ascii="Times New Roman" w:hAnsi="Times New Roman" w:cs="Times New Roman"/>
          <w:sz w:val="24"/>
          <w:szCs w:val="24"/>
        </w:rPr>
        <w:t xml:space="preserve">It is trite law that damages have to be proved in order to be awarded. </w:t>
      </w:r>
      <w:r w:rsidR="00CF256F" w:rsidRPr="00BF100B">
        <w:rPr>
          <w:rFonts w:ascii="Times New Roman" w:hAnsi="Times New Roman" w:cs="Times New Roman"/>
          <w:b/>
          <w:i/>
          <w:sz w:val="24"/>
          <w:szCs w:val="24"/>
        </w:rPr>
        <w:t>(See</w:t>
      </w:r>
      <w:r w:rsidR="00CF256F" w:rsidRPr="00BF100B">
        <w:rPr>
          <w:rFonts w:ascii="Times New Roman" w:hAnsi="Times New Roman" w:cs="Times New Roman"/>
          <w:sz w:val="24"/>
          <w:szCs w:val="24"/>
        </w:rPr>
        <w:t xml:space="preserve"> </w:t>
      </w:r>
      <w:proofErr w:type="spellStart"/>
      <w:r w:rsidR="00F565C9" w:rsidRPr="00BF100B">
        <w:rPr>
          <w:rFonts w:ascii="Times New Roman" w:hAnsi="Times New Roman" w:cs="Times New Roman"/>
          <w:b/>
          <w:i/>
          <w:sz w:val="24"/>
          <w:szCs w:val="24"/>
        </w:rPr>
        <w:t>Bishanga</w:t>
      </w:r>
      <w:proofErr w:type="spellEnd"/>
      <w:r w:rsidR="00F565C9" w:rsidRPr="00BF100B">
        <w:rPr>
          <w:rFonts w:ascii="Times New Roman" w:hAnsi="Times New Roman" w:cs="Times New Roman"/>
          <w:b/>
          <w:i/>
          <w:sz w:val="24"/>
          <w:szCs w:val="24"/>
        </w:rPr>
        <w:t xml:space="preserve"> </w:t>
      </w:r>
      <w:proofErr w:type="spellStart"/>
      <w:r w:rsidR="00F565C9" w:rsidRPr="00BF100B">
        <w:rPr>
          <w:rFonts w:ascii="Times New Roman" w:hAnsi="Times New Roman" w:cs="Times New Roman"/>
          <w:b/>
          <w:i/>
          <w:sz w:val="24"/>
          <w:szCs w:val="24"/>
        </w:rPr>
        <w:t>Silagi</w:t>
      </w:r>
      <w:proofErr w:type="spellEnd"/>
      <w:r w:rsidR="00F565C9" w:rsidRPr="00BF100B">
        <w:rPr>
          <w:rFonts w:ascii="Times New Roman" w:hAnsi="Times New Roman" w:cs="Times New Roman"/>
          <w:b/>
          <w:i/>
          <w:sz w:val="24"/>
          <w:szCs w:val="24"/>
        </w:rPr>
        <w:t xml:space="preserve"> </w:t>
      </w:r>
      <w:proofErr w:type="spellStart"/>
      <w:r w:rsidR="00F565C9" w:rsidRPr="00BF100B">
        <w:rPr>
          <w:rFonts w:ascii="Times New Roman" w:hAnsi="Times New Roman" w:cs="Times New Roman"/>
          <w:b/>
          <w:i/>
          <w:sz w:val="24"/>
          <w:szCs w:val="24"/>
        </w:rPr>
        <w:t>V</w:t>
      </w:r>
      <w:r w:rsidR="00CF256F" w:rsidRPr="00BF100B">
        <w:rPr>
          <w:rFonts w:ascii="Times New Roman" w:hAnsi="Times New Roman" w:cs="Times New Roman"/>
          <w:b/>
          <w:i/>
          <w:sz w:val="24"/>
          <w:szCs w:val="24"/>
        </w:rPr>
        <w:t>s</w:t>
      </w:r>
      <w:proofErr w:type="spellEnd"/>
      <w:r w:rsidR="00CF256F" w:rsidRPr="00BF100B">
        <w:rPr>
          <w:rFonts w:ascii="Times New Roman" w:hAnsi="Times New Roman" w:cs="Times New Roman"/>
          <w:b/>
          <w:i/>
          <w:sz w:val="24"/>
          <w:szCs w:val="24"/>
        </w:rPr>
        <w:t xml:space="preserve"> </w:t>
      </w:r>
      <w:proofErr w:type="spellStart"/>
      <w:r w:rsidR="00CF256F" w:rsidRPr="00BF100B">
        <w:rPr>
          <w:rFonts w:ascii="Times New Roman" w:hAnsi="Times New Roman" w:cs="Times New Roman"/>
          <w:b/>
          <w:i/>
          <w:sz w:val="24"/>
          <w:szCs w:val="24"/>
        </w:rPr>
        <w:t>Bataha</w:t>
      </w:r>
      <w:proofErr w:type="spellEnd"/>
      <w:r w:rsidR="00CF256F" w:rsidRPr="00BF100B">
        <w:rPr>
          <w:rFonts w:ascii="Times New Roman" w:hAnsi="Times New Roman" w:cs="Times New Roman"/>
          <w:b/>
          <w:i/>
          <w:sz w:val="24"/>
          <w:szCs w:val="24"/>
        </w:rPr>
        <w:t xml:space="preserve"> </w:t>
      </w:r>
      <w:proofErr w:type="spellStart"/>
      <w:r w:rsidR="00CF256F" w:rsidRPr="00BF100B">
        <w:rPr>
          <w:rFonts w:ascii="Times New Roman" w:hAnsi="Times New Roman" w:cs="Times New Roman"/>
          <w:b/>
          <w:i/>
          <w:sz w:val="24"/>
          <w:szCs w:val="24"/>
        </w:rPr>
        <w:t>Joselin</w:t>
      </w:r>
      <w:proofErr w:type="spellEnd"/>
      <w:r w:rsidR="00CF256F" w:rsidRPr="00BF100B">
        <w:rPr>
          <w:rFonts w:ascii="Times New Roman" w:hAnsi="Times New Roman" w:cs="Times New Roman"/>
          <w:b/>
          <w:i/>
          <w:sz w:val="24"/>
          <w:szCs w:val="24"/>
        </w:rPr>
        <w:t xml:space="preserve">, High Court Civil </w:t>
      </w:r>
      <w:proofErr w:type="spellStart"/>
      <w:r w:rsidR="00CF256F" w:rsidRPr="00BF100B">
        <w:rPr>
          <w:rFonts w:ascii="Times New Roman" w:hAnsi="Times New Roman" w:cs="Times New Roman"/>
          <w:b/>
          <w:i/>
          <w:sz w:val="24"/>
          <w:szCs w:val="24"/>
        </w:rPr>
        <w:t>Sui</w:t>
      </w:r>
      <w:proofErr w:type="spellEnd"/>
      <w:r w:rsidR="00CF256F" w:rsidRPr="00BF100B">
        <w:rPr>
          <w:rFonts w:ascii="Times New Roman" w:hAnsi="Times New Roman" w:cs="Times New Roman"/>
          <w:b/>
          <w:i/>
          <w:sz w:val="24"/>
          <w:szCs w:val="24"/>
        </w:rPr>
        <w:t xml:space="preserve"> No.15 of 2011).</w:t>
      </w:r>
      <w:r w:rsidR="00CF256F" w:rsidRPr="00BF100B">
        <w:rPr>
          <w:rFonts w:ascii="Times New Roman" w:hAnsi="Times New Roman" w:cs="Times New Roman"/>
          <w:sz w:val="24"/>
          <w:szCs w:val="24"/>
        </w:rPr>
        <w:t xml:space="preserve"> In the present case, </w:t>
      </w:r>
      <w:r w:rsidR="003E2098" w:rsidRPr="00BF100B">
        <w:rPr>
          <w:rFonts w:ascii="Times New Roman" w:hAnsi="Times New Roman" w:cs="Times New Roman"/>
          <w:sz w:val="24"/>
          <w:szCs w:val="24"/>
        </w:rPr>
        <w:t>Counsel</w:t>
      </w:r>
      <w:r w:rsidR="00F565C9" w:rsidRPr="00BF100B">
        <w:rPr>
          <w:rFonts w:ascii="Times New Roman" w:hAnsi="Times New Roman" w:cs="Times New Roman"/>
          <w:sz w:val="24"/>
          <w:szCs w:val="24"/>
        </w:rPr>
        <w:t xml:space="preserve"> </w:t>
      </w:r>
      <w:r w:rsidR="00CF256F" w:rsidRPr="00BF100B">
        <w:rPr>
          <w:rFonts w:ascii="Times New Roman" w:hAnsi="Times New Roman" w:cs="Times New Roman"/>
          <w:sz w:val="24"/>
          <w:szCs w:val="24"/>
        </w:rPr>
        <w:t xml:space="preserve">for the plaintiffs merely prayed for the award of the general damages, yet the same had not been pleaded or proved in evidence. I, therefore, decline to make an award for general damages in the present case. </w:t>
      </w:r>
    </w:p>
    <w:p w:rsidR="000A0B36" w:rsidRPr="00BF100B" w:rsidRDefault="00CF256F"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In conclusion</w:t>
      </w:r>
      <w:r w:rsidR="000A0B36" w:rsidRPr="00BF100B">
        <w:rPr>
          <w:rFonts w:ascii="Times New Roman" w:hAnsi="Times New Roman" w:cs="Times New Roman"/>
          <w:sz w:val="24"/>
          <w:szCs w:val="24"/>
        </w:rPr>
        <w:t>,</w:t>
      </w:r>
      <w:r w:rsidRPr="00BF100B">
        <w:rPr>
          <w:rFonts w:ascii="Times New Roman" w:hAnsi="Times New Roman" w:cs="Times New Roman"/>
          <w:sz w:val="24"/>
          <w:szCs w:val="24"/>
        </w:rPr>
        <w:t xml:space="preserve"> the suit</w:t>
      </w:r>
      <w:r w:rsidR="002F6268" w:rsidRPr="00BF100B">
        <w:rPr>
          <w:rFonts w:ascii="Times New Roman" w:hAnsi="Times New Roman" w:cs="Times New Roman"/>
          <w:sz w:val="24"/>
          <w:szCs w:val="24"/>
        </w:rPr>
        <w:t xml:space="preserve"> against the defendant succeeds</w:t>
      </w:r>
      <w:r w:rsidRPr="00BF100B">
        <w:rPr>
          <w:rFonts w:ascii="Times New Roman" w:hAnsi="Times New Roman" w:cs="Times New Roman"/>
          <w:sz w:val="24"/>
          <w:szCs w:val="24"/>
        </w:rPr>
        <w:t xml:space="preserve"> and I order that the </w:t>
      </w:r>
      <w:proofErr w:type="gramStart"/>
      <w:r w:rsidRPr="00BF100B">
        <w:rPr>
          <w:rFonts w:ascii="Times New Roman" w:hAnsi="Times New Roman" w:cs="Times New Roman"/>
          <w:sz w:val="24"/>
          <w:szCs w:val="24"/>
        </w:rPr>
        <w:t>defendant,</w:t>
      </w:r>
      <w:proofErr w:type="gramEnd"/>
      <w:r w:rsidRPr="00BF100B">
        <w:rPr>
          <w:rFonts w:ascii="Times New Roman" w:hAnsi="Times New Roman" w:cs="Times New Roman"/>
          <w:sz w:val="24"/>
          <w:szCs w:val="24"/>
        </w:rPr>
        <w:t xml:space="preserve"> </w:t>
      </w:r>
      <w:r w:rsidR="000A0B36" w:rsidRPr="00BF100B">
        <w:rPr>
          <w:rFonts w:ascii="Times New Roman" w:hAnsi="Times New Roman" w:cs="Times New Roman"/>
          <w:sz w:val="24"/>
          <w:szCs w:val="24"/>
        </w:rPr>
        <w:t xml:space="preserve">shall make a budgetary allocation in order to pay the plaintiffs their proved claims, with interest of 12% per annum from the date when the claims were proved in liquidation till payment in full. </w:t>
      </w:r>
    </w:p>
    <w:p w:rsidR="000A0B36" w:rsidRPr="00BF100B" w:rsidRDefault="000A0B36"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 xml:space="preserve">The costs of this suit are awarded to the plaintiffs. </w:t>
      </w:r>
    </w:p>
    <w:p w:rsidR="00AD1A04" w:rsidRPr="00BF100B" w:rsidRDefault="000A0B36" w:rsidP="003871CA">
      <w:pPr>
        <w:spacing w:line="360" w:lineRule="auto"/>
        <w:jc w:val="both"/>
        <w:rPr>
          <w:rFonts w:ascii="Times New Roman" w:hAnsi="Times New Roman" w:cs="Times New Roman"/>
          <w:sz w:val="24"/>
          <w:szCs w:val="24"/>
        </w:rPr>
      </w:pPr>
      <w:r w:rsidRPr="00BF100B">
        <w:rPr>
          <w:rFonts w:ascii="Times New Roman" w:hAnsi="Times New Roman" w:cs="Times New Roman"/>
          <w:sz w:val="24"/>
          <w:szCs w:val="24"/>
        </w:rPr>
        <w:t>I so order.</w:t>
      </w:r>
    </w:p>
    <w:p w:rsidR="00715D41" w:rsidRPr="00BF100B" w:rsidRDefault="00715D41" w:rsidP="003871CA">
      <w:pPr>
        <w:spacing w:line="360" w:lineRule="auto"/>
        <w:jc w:val="both"/>
        <w:rPr>
          <w:rFonts w:ascii="Times New Roman" w:hAnsi="Times New Roman" w:cs="Times New Roman"/>
          <w:sz w:val="24"/>
          <w:szCs w:val="24"/>
        </w:rPr>
      </w:pPr>
    </w:p>
    <w:p w:rsidR="00682344" w:rsidRPr="00BF100B" w:rsidRDefault="00682344" w:rsidP="003871CA">
      <w:pPr>
        <w:spacing w:line="360" w:lineRule="auto"/>
        <w:jc w:val="both"/>
        <w:rPr>
          <w:rFonts w:ascii="Times New Roman" w:hAnsi="Times New Roman" w:cs="Times New Roman"/>
          <w:sz w:val="24"/>
          <w:szCs w:val="24"/>
        </w:rPr>
      </w:pPr>
    </w:p>
    <w:p w:rsidR="00715D41" w:rsidRPr="00BF100B" w:rsidRDefault="00715D41" w:rsidP="00682344">
      <w:pPr>
        <w:spacing w:after="0" w:line="360" w:lineRule="auto"/>
        <w:jc w:val="both"/>
        <w:rPr>
          <w:rFonts w:ascii="Times New Roman" w:hAnsi="Times New Roman" w:cs="Times New Roman"/>
          <w:b/>
          <w:sz w:val="24"/>
          <w:szCs w:val="24"/>
        </w:rPr>
      </w:pPr>
      <w:r w:rsidRPr="00BF100B">
        <w:rPr>
          <w:rFonts w:ascii="Times New Roman" w:hAnsi="Times New Roman" w:cs="Times New Roman"/>
          <w:b/>
          <w:sz w:val="24"/>
          <w:szCs w:val="24"/>
        </w:rPr>
        <w:t xml:space="preserve">B. </w:t>
      </w:r>
      <w:proofErr w:type="spellStart"/>
      <w:r w:rsidRPr="00BF100B">
        <w:rPr>
          <w:rFonts w:ascii="Times New Roman" w:hAnsi="Times New Roman" w:cs="Times New Roman"/>
          <w:b/>
          <w:sz w:val="24"/>
          <w:szCs w:val="24"/>
        </w:rPr>
        <w:t>Kainamura</w:t>
      </w:r>
      <w:proofErr w:type="spellEnd"/>
      <w:r w:rsidRPr="00BF100B">
        <w:rPr>
          <w:rFonts w:ascii="Times New Roman" w:hAnsi="Times New Roman" w:cs="Times New Roman"/>
          <w:b/>
          <w:sz w:val="24"/>
          <w:szCs w:val="24"/>
        </w:rPr>
        <w:t xml:space="preserve"> </w:t>
      </w:r>
    </w:p>
    <w:p w:rsidR="00715D41" w:rsidRPr="00BF100B" w:rsidRDefault="00715D41" w:rsidP="00682344">
      <w:pPr>
        <w:spacing w:after="0" w:line="360" w:lineRule="auto"/>
        <w:jc w:val="both"/>
        <w:rPr>
          <w:rFonts w:ascii="Times New Roman" w:hAnsi="Times New Roman" w:cs="Times New Roman"/>
          <w:b/>
          <w:sz w:val="24"/>
          <w:szCs w:val="24"/>
        </w:rPr>
      </w:pPr>
      <w:r w:rsidRPr="00BF100B">
        <w:rPr>
          <w:rFonts w:ascii="Times New Roman" w:hAnsi="Times New Roman" w:cs="Times New Roman"/>
          <w:b/>
          <w:sz w:val="24"/>
          <w:szCs w:val="24"/>
        </w:rPr>
        <w:t xml:space="preserve">Judge </w:t>
      </w:r>
    </w:p>
    <w:p w:rsidR="00715D41" w:rsidRPr="00BF100B" w:rsidRDefault="004343CA" w:rsidP="00682344">
      <w:pPr>
        <w:spacing w:after="0" w:line="360" w:lineRule="auto"/>
        <w:jc w:val="both"/>
        <w:rPr>
          <w:rFonts w:ascii="Times New Roman" w:hAnsi="Times New Roman" w:cs="Times New Roman"/>
          <w:b/>
          <w:sz w:val="24"/>
          <w:szCs w:val="24"/>
        </w:rPr>
      </w:pPr>
      <w:r w:rsidRPr="00BF100B">
        <w:rPr>
          <w:rFonts w:ascii="Times New Roman" w:hAnsi="Times New Roman" w:cs="Times New Roman"/>
          <w:b/>
          <w:sz w:val="24"/>
          <w:szCs w:val="24"/>
        </w:rPr>
        <w:t>28</w:t>
      </w:r>
      <w:r w:rsidR="00715D41" w:rsidRPr="00BF100B">
        <w:rPr>
          <w:rFonts w:ascii="Times New Roman" w:hAnsi="Times New Roman" w:cs="Times New Roman"/>
          <w:b/>
          <w:sz w:val="24"/>
          <w:szCs w:val="24"/>
        </w:rPr>
        <w:t>.10.2016</w:t>
      </w:r>
    </w:p>
    <w:sectPr w:rsidR="00715D41" w:rsidRPr="00BF100B" w:rsidSect="00EC5556">
      <w:footerReference w:type="default" r:id="rId8"/>
      <w:pgSz w:w="12240" w:h="15840"/>
      <w:pgMar w:top="108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22" w:rsidRDefault="00BA7322" w:rsidP="003D3343">
      <w:pPr>
        <w:spacing w:after="0" w:line="240" w:lineRule="auto"/>
      </w:pPr>
      <w:r>
        <w:separator/>
      </w:r>
    </w:p>
  </w:endnote>
  <w:endnote w:type="continuationSeparator" w:id="0">
    <w:p w:rsidR="00BA7322" w:rsidRDefault="00BA7322" w:rsidP="003D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673"/>
      <w:docPartObj>
        <w:docPartGallery w:val="Page Numbers (Bottom of Page)"/>
        <w:docPartUnique/>
      </w:docPartObj>
    </w:sdtPr>
    <w:sdtEndPr>
      <w:rPr>
        <w:color w:val="7F7F7F" w:themeColor="background1" w:themeShade="7F"/>
        <w:spacing w:val="60"/>
      </w:rPr>
    </w:sdtEndPr>
    <w:sdtContent>
      <w:p w:rsidR="009D4324" w:rsidRDefault="00BA7322">
        <w:pPr>
          <w:pStyle w:val="Footer"/>
          <w:pBdr>
            <w:top w:val="single" w:sz="4" w:space="1" w:color="D9D9D9" w:themeColor="background1" w:themeShade="D9"/>
          </w:pBdr>
          <w:rPr>
            <w:b/>
          </w:rPr>
        </w:pPr>
        <w:r>
          <w:fldChar w:fldCharType="begin"/>
        </w:r>
        <w:r>
          <w:instrText xml:space="preserve"> PAGE   \* MERGEFORMAT </w:instrText>
        </w:r>
        <w:r>
          <w:fldChar w:fldCharType="separate"/>
        </w:r>
        <w:r w:rsidR="00BF100B" w:rsidRPr="00BF100B">
          <w:rPr>
            <w:b/>
            <w:noProof/>
          </w:rPr>
          <w:t>1</w:t>
        </w:r>
        <w:r>
          <w:rPr>
            <w:b/>
            <w:noProof/>
          </w:rPr>
          <w:fldChar w:fldCharType="end"/>
        </w:r>
        <w:r w:rsidR="009D4324">
          <w:rPr>
            <w:b/>
          </w:rPr>
          <w:t xml:space="preserve"> | </w:t>
        </w:r>
        <w:r w:rsidR="009D4324">
          <w:rPr>
            <w:color w:val="7F7F7F" w:themeColor="background1" w:themeShade="7F"/>
            <w:spacing w:val="60"/>
          </w:rPr>
          <w:t>Page</w:t>
        </w:r>
      </w:p>
    </w:sdtContent>
  </w:sdt>
  <w:p w:rsidR="00344345" w:rsidRDefault="00344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22" w:rsidRDefault="00BA7322" w:rsidP="003D3343">
      <w:pPr>
        <w:spacing w:after="0" w:line="240" w:lineRule="auto"/>
      </w:pPr>
      <w:r>
        <w:separator/>
      </w:r>
    </w:p>
  </w:footnote>
  <w:footnote w:type="continuationSeparator" w:id="0">
    <w:p w:rsidR="00BA7322" w:rsidRDefault="00BA7322" w:rsidP="003D3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254F"/>
    <w:multiLevelType w:val="hybridMultilevel"/>
    <w:tmpl w:val="9626B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90562"/>
    <w:multiLevelType w:val="hybridMultilevel"/>
    <w:tmpl w:val="2592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03A8D"/>
    <w:multiLevelType w:val="hybridMultilevel"/>
    <w:tmpl w:val="A16C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37861"/>
    <w:multiLevelType w:val="hybridMultilevel"/>
    <w:tmpl w:val="A16C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D2972"/>
    <w:multiLevelType w:val="hybridMultilevel"/>
    <w:tmpl w:val="FE325B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81E77"/>
    <w:multiLevelType w:val="hybridMultilevel"/>
    <w:tmpl w:val="2592A0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866B27"/>
    <w:multiLevelType w:val="hybridMultilevel"/>
    <w:tmpl w:val="A16C37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D80380"/>
    <w:multiLevelType w:val="hybridMultilevel"/>
    <w:tmpl w:val="4A5C3E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6"/>
    <w:rsid w:val="000021DB"/>
    <w:rsid w:val="0000389A"/>
    <w:rsid w:val="00012DAD"/>
    <w:rsid w:val="00017388"/>
    <w:rsid w:val="00027E2E"/>
    <w:rsid w:val="00031B0F"/>
    <w:rsid w:val="000359B7"/>
    <w:rsid w:val="00042555"/>
    <w:rsid w:val="0004610C"/>
    <w:rsid w:val="000549E7"/>
    <w:rsid w:val="000629F0"/>
    <w:rsid w:val="0006462A"/>
    <w:rsid w:val="000766C7"/>
    <w:rsid w:val="00082C4C"/>
    <w:rsid w:val="000A0B36"/>
    <w:rsid w:val="000A668B"/>
    <w:rsid w:val="000B2B6D"/>
    <w:rsid w:val="000C4391"/>
    <w:rsid w:val="000C77B6"/>
    <w:rsid w:val="000D0781"/>
    <w:rsid w:val="000D6F9E"/>
    <w:rsid w:val="000D7E71"/>
    <w:rsid w:val="000E04DA"/>
    <w:rsid w:val="0010051B"/>
    <w:rsid w:val="00115A83"/>
    <w:rsid w:val="00133951"/>
    <w:rsid w:val="00146753"/>
    <w:rsid w:val="001514F5"/>
    <w:rsid w:val="00165D1C"/>
    <w:rsid w:val="00191BA7"/>
    <w:rsid w:val="001969B9"/>
    <w:rsid w:val="00197C2A"/>
    <w:rsid w:val="001A033E"/>
    <w:rsid w:val="001A495F"/>
    <w:rsid w:val="001A5D4B"/>
    <w:rsid w:val="001B544F"/>
    <w:rsid w:val="001C648F"/>
    <w:rsid w:val="001D41B3"/>
    <w:rsid w:val="001D7A39"/>
    <w:rsid w:val="001E0C90"/>
    <w:rsid w:val="001F07CA"/>
    <w:rsid w:val="001F1E10"/>
    <w:rsid w:val="001F20AC"/>
    <w:rsid w:val="001F3584"/>
    <w:rsid w:val="001F602C"/>
    <w:rsid w:val="00206837"/>
    <w:rsid w:val="00220296"/>
    <w:rsid w:val="00231E0C"/>
    <w:rsid w:val="002414DB"/>
    <w:rsid w:val="002513D1"/>
    <w:rsid w:val="00251D8E"/>
    <w:rsid w:val="002546AC"/>
    <w:rsid w:val="00261841"/>
    <w:rsid w:val="0026217D"/>
    <w:rsid w:val="00262C29"/>
    <w:rsid w:val="002711AA"/>
    <w:rsid w:val="002804F8"/>
    <w:rsid w:val="00281AB2"/>
    <w:rsid w:val="002B340E"/>
    <w:rsid w:val="002B5F37"/>
    <w:rsid w:val="002B6E23"/>
    <w:rsid w:val="002C31B1"/>
    <w:rsid w:val="002C6E49"/>
    <w:rsid w:val="002D00B7"/>
    <w:rsid w:val="002D794F"/>
    <w:rsid w:val="002E5B26"/>
    <w:rsid w:val="002F2716"/>
    <w:rsid w:val="002F311E"/>
    <w:rsid w:val="002F6268"/>
    <w:rsid w:val="00302650"/>
    <w:rsid w:val="00306B3D"/>
    <w:rsid w:val="003244BE"/>
    <w:rsid w:val="00336E13"/>
    <w:rsid w:val="00344345"/>
    <w:rsid w:val="00345211"/>
    <w:rsid w:val="0034690D"/>
    <w:rsid w:val="00347CB8"/>
    <w:rsid w:val="00350077"/>
    <w:rsid w:val="003568E5"/>
    <w:rsid w:val="0036494F"/>
    <w:rsid w:val="00370250"/>
    <w:rsid w:val="003740BB"/>
    <w:rsid w:val="003745DF"/>
    <w:rsid w:val="00381982"/>
    <w:rsid w:val="003830BA"/>
    <w:rsid w:val="003871CA"/>
    <w:rsid w:val="003A03F0"/>
    <w:rsid w:val="003A0B1E"/>
    <w:rsid w:val="003A0EA2"/>
    <w:rsid w:val="003A189C"/>
    <w:rsid w:val="003B3E1D"/>
    <w:rsid w:val="003D3343"/>
    <w:rsid w:val="003D5937"/>
    <w:rsid w:val="003E2098"/>
    <w:rsid w:val="003E654C"/>
    <w:rsid w:val="00400407"/>
    <w:rsid w:val="00404A50"/>
    <w:rsid w:val="00406B9D"/>
    <w:rsid w:val="0041258C"/>
    <w:rsid w:val="00417902"/>
    <w:rsid w:val="00417B19"/>
    <w:rsid w:val="00431E9C"/>
    <w:rsid w:val="004343CA"/>
    <w:rsid w:val="0043515E"/>
    <w:rsid w:val="00436720"/>
    <w:rsid w:val="00442E1D"/>
    <w:rsid w:val="004460D9"/>
    <w:rsid w:val="00460BE5"/>
    <w:rsid w:val="0046659A"/>
    <w:rsid w:val="00467CBC"/>
    <w:rsid w:val="0047100C"/>
    <w:rsid w:val="00490073"/>
    <w:rsid w:val="0049239D"/>
    <w:rsid w:val="004A5ACB"/>
    <w:rsid w:val="004B2D67"/>
    <w:rsid w:val="004B3FF2"/>
    <w:rsid w:val="004B7266"/>
    <w:rsid w:val="004D1573"/>
    <w:rsid w:val="004E3CCF"/>
    <w:rsid w:val="004F4781"/>
    <w:rsid w:val="00522217"/>
    <w:rsid w:val="00525AE2"/>
    <w:rsid w:val="00526735"/>
    <w:rsid w:val="00553E30"/>
    <w:rsid w:val="00575F44"/>
    <w:rsid w:val="005B2951"/>
    <w:rsid w:val="005B7ECB"/>
    <w:rsid w:val="005C6171"/>
    <w:rsid w:val="005E07AB"/>
    <w:rsid w:val="00606957"/>
    <w:rsid w:val="00606F4C"/>
    <w:rsid w:val="00620F9D"/>
    <w:rsid w:val="00622416"/>
    <w:rsid w:val="006243BE"/>
    <w:rsid w:val="006266F5"/>
    <w:rsid w:val="00646DA3"/>
    <w:rsid w:val="00656709"/>
    <w:rsid w:val="006603BC"/>
    <w:rsid w:val="00666F20"/>
    <w:rsid w:val="00680984"/>
    <w:rsid w:val="00681845"/>
    <w:rsid w:val="00682344"/>
    <w:rsid w:val="0068712F"/>
    <w:rsid w:val="006950AD"/>
    <w:rsid w:val="006958D4"/>
    <w:rsid w:val="00697889"/>
    <w:rsid w:val="006B5DBE"/>
    <w:rsid w:val="006B66DD"/>
    <w:rsid w:val="006E2C6D"/>
    <w:rsid w:val="006E5DBF"/>
    <w:rsid w:val="006F60B6"/>
    <w:rsid w:val="007009ED"/>
    <w:rsid w:val="0070496D"/>
    <w:rsid w:val="00715D41"/>
    <w:rsid w:val="0074371A"/>
    <w:rsid w:val="00747E43"/>
    <w:rsid w:val="00747FBD"/>
    <w:rsid w:val="0075630D"/>
    <w:rsid w:val="00756BEB"/>
    <w:rsid w:val="00756C1A"/>
    <w:rsid w:val="007656F5"/>
    <w:rsid w:val="00765FD5"/>
    <w:rsid w:val="00767520"/>
    <w:rsid w:val="007717F5"/>
    <w:rsid w:val="00772B65"/>
    <w:rsid w:val="0077475A"/>
    <w:rsid w:val="00777539"/>
    <w:rsid w:val="00782717"/>
    <w:rsid w:val="00785A42"/>
    <w:rsid w:val="007930B8"/>
    <w:rsid w:val="007B6043"/>
    <w:rsid w:val="007B76D0"/>
    <w:rsid w:val="007D01BC"/>
    <w:rsid w:val="007D74AD"/>
    <w:rsid w:val="007E1247"/>
    <w:rsid w:val="007E4E38"/>
    <w:rsid w:val="007F0AEF"/>
    <w:rsid w:val="00801071"/>
    <w:rsid w:val="008033B3"/>
    <w:rsid w:val="00803D98"/>
    <w:rsid w:val="00804500"/>
    <w:rsid w:val="00817692"/>
    <w:rsid w:val="00820FC5"/>
    <w:rsid w:val="00824489"/>
    <w:rsid w:val="00824623"/>
    <w:rsid w:val="0084459E"/>
    <w:rsid w:val="008572A8"/>
    <w:rsid w:val="0086472D"/>
    <w:rsid w:val="00893E4E"/>
    <w:rsid w:val="00896290"/>
    <w:rsid w:val="008A3BD9"/>
    <w:rsid w:val="008A52F1"/>
    <w:rsid w:val="008B0E30"/>
    <w:rsid w:val="008B581F"/>
    <w:rsid w:val="008B7C43"/>
    <w:rsid w:val="008D1E06"/>
    <w:rsid w:val="008E097A"/>
    <w:rsid w:val="0090067F"/>
    <w:rsid w:val="00900F5B"/>
    <w:rsid w:val="00923199"/>
    <w:rsid w:val="00931346"/>
    <w:rsid w:val="00937672"/>
    <w:rsid w:val="009471AD"/>
    <w:rsid w:val="00947965"/>
    <w:rsid w:val="009579C0"/>
    <w:rsid w:val="009712FE"/>
    <w:rsid w:val="00973130"/>
    <w:rsid w:val="0098045D"/>
    <w:rsid w:val="00984402"/>
    <w:rsid w:val="00985D55"/>
    <w:rsid w:val="009A013B"/>
    <w:rsid w:val="009A7C66"/>
    <w:rsid w:val="009B38D0"/>
    <w:rsid w:val="009B4D56"/>
    <w:rsid w:val="009C05BF"/>
    <w:rsid w:val="009C1F86"/>
    <w:rsid w:val="009C587D"/>
    <w:rsid w:val="009D3B16"/>
    <w:rsid w:val="009D4324"/>
    <w:rsid w:val="009F1679"/>
    <w:rsid w:val="00A028C8"/>
    <w:rsid w:val="00A04217"/>
    <w:rsid w:val="00A11258"/>
    <w:rsid w:val="00A17E5B"/>
    <w:rsid w:val="00A6051F"/>
    <w:rsid w:val="00A75F5F"/>
    <w:rsid w:val="00A922D4"/>
    <w:rsid w:val="00AC2C3E"/>
    <w:rsid w:val="00AC4656"/>
    <w:rsid w:val="00AC517D"/>
    <w:rsid w:val="00AD0C97"/>
    <w:rsid w:val="00AD1A04"/>
    <w:rsid w:val="00AD7702"/>
    <w:rsid w:val="00AD7717"/>
    <w:rsid w:val="00AD79E1"/>
    <w:rsid w:val="00AE06C9"/>
    <w:rsid w:val="00AE5819"/>
    <w:rsid w:val="00AF0FA3"/>
    <w:rsid w:val="00B028E1"/>
    <w:rsid w:val="00B10F9E"/>
    <w:rsid w:val="00B31608"/>
    <w:rsid w:val="00B43864"/>
    <w:rsid w:val="00B523E1"/>
    <w:rsid w:val="00B5446F"/>
    <w:rsid w:val="00B664E4"/>
    <w:rsid w:val="00B74913"/>
    <w:rsid w:val="00B8238F"/>
    <w:rsid w:val="00B941A6"/>
    <w:rsid w:val="00B970FD"/>
    <w:rsid w:val="00BA7322"/>
    <w:rsid w:val="00BA7907"/>
    <w:rsid w:val="00BC3D5C"/>
    <w:rsid w:val="00BC6B69"/>
    <w:rsid w:val="00BD25DC"/>
    <w:rsid w:val="00BD4521"/>
    <w:rsid w:val="00BD515A"/>
    <w:rsid w:val="00BF100B"/>
    <w:rsid w:val="00C3754F"/>
    <w:rsid w:val="00C411EB"/>
    <w:rsid w:val="00C6539A"/>
    <w:rsid w:val="00C65917"/>
    <w:rsid w:val="00C7740A"/>
    <w:rsid w:val="00CB56A4"/>
    <w:rsid w:val="00CD4ACE"/>
    <w:rsid w:val="00CE25B2"/>
    <w:rsid w:val="00CF256F"/>
    <w:rsid w:val="00CF3B25"/>
    <w:rsid w:val="00CF4907"/>
    <w:rsid w:val="00D0035D"/>
    <w:rsid w:val="00D00AD7"/>
    <w:rsid w:val="00D10B15"/>
    <w:rsid w:val="00D15E0C"/>
    <w:rsid w:val="00D23BAC"/>
    <w:rsid w:val="00D34C0B"/>
    <w:rsid w:val="00D55A8D"/>
    <w:rsid w:val="00D62E1B"/>
    <w:rsid w:val="00D656F0"/>
    <w:rsid w:val="00D7784B"/>
    <w:rsid w:val="00D91231"/>
    <w:rsid w:val="00D9137A"/>
    <w:rsid w:val="00DC046E"/>
    <w:rsid w:val="00DD7463"/>
    <w:rsid w:val="00DE07E1"/>
    <w:rsid w:val="00DE208F"/>
    <w:rsid w:val="00DE4D1D"/>
    <w:rsid w:val="00E02F04"/>
    <w:rsid w:val="00E12AF3"/>
    <w:rsid w:val="00E26AAC"/>
    <w:rsid w:val="00E461C7"/>
    <w:rsid w:val="00E51CE1"/>
    <w:rsid w:val="00E71033"/>
    <w:rsid w:val="00E71F32"/>
    <w:rsid w:val="00E77911"/>
    <w:rsid w:val="00E818A4"/>
    <w:rsid w:val="00E81BF7"/>
    <w:rsid w:val="00E91DAD"/>
    <w:rsid w:val="00EB575F"/>
    <w:rsid w:val="00EB6AC8"/>
    <w:rsid w:val="00EC5556"/>
    <w:rsid w:val="00ED1444"/>
    <w:rsid w:val="00ED41DE"/>
    <w:rsid w:val="00EE2E57"/>
    <w:rsid w:val="00EE6C43"/>
    <w:rsid w:val="00EF36BE"/>
    <w:rsid w:val="00EF5118"/>
    <w:rsid w:val="00F00887"/>
    <w:rsid w:val="00F03936"/>
    <w:rsid w:val="00F06767"/>
    <w:rsid w:val="00F079D2"/>
    <w:rsid w:val="00F110B6"/>
    <w:rsid w:val="00F244FC"/>
    <w:rsid w:val="00F34F4C"/>
    <w:rsid w:val="00F35B3A"/>
    <w:rsid w:val="00F50356"/>
    <w:rsid w:val="00F50431"/>
    <w:rsid w:val="00F518A2"/>
    <w:rsid w:val="00F540B4"/>
    <w:rsid w:val="00F565C9"/>
    <w:rsid w:val="00F57C59"/>
    <w:rsid w:val="00F65F65"/>
    <w:rsid w:val="00F66CE6"/>
    <w:rsid w:val="00F86EC5"/>
    <w:rsid w:val="00F933D6"/>
    <w:rsid w:val="00F950A7"/>
    <w:rsid w:val="00F97F5F"/>
    <w:rsid w:val="00FA358B"/>
    <w:rsid w:val="00FB2BAC"/>
    <w:rsid w:val="00FC2DC6"/>
    <w:rsid w:val="00FD7FD5"/>
    <w:rsid w:val="00FE0A40"/>
    <w:rsid w:val="00FE290A"/>
    <w:rsid w:val="00FE5AF9"/>
    <w:rsid w:val="00FF09D1"/>
    <w:rsid w:val="00FF1CD8"/>
    <w:rsid w:val="00FF2D38"/>
    <w:rsid w:val="00FF3F0E"/>
    <w:rsid w:val="00FF562A"/>
    <w:rsid w:val="00FF7CB3"/>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86"/>
    <w:pPr>
      <w:ind w:left="720"/>
      <w:contextualSpacing/>
    </w:pPr>
  </w:style>
  <w:style w:type="paragraph" w:styleId="Header">
    <w:name w:val="header"/>
    <w:basedOn w:val="Normal"/>
    <w:link w:val="HeaderChar"/>
    <w:uiPriority w:val="99"/>
    <w:semiHidden/>
    <w:unhideWhenUsed/>
    <w:rsid w:val="003D3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343"/>
  </w:style>
  <w:style w:type="paragraph" w:styleId="Footer">
    <w:name w:val="footer"/>
    <w:basedOn w:val="Normal"/>
    <w:link w:val="FooterChar"/>
    <w:uiPriority w:val="99"/>
    <w:unhideWhenUsed/>
    <w:rsid w:val="003D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43"/>
  </w:style>
  <w:style w:type="character" w:styleId="LineNumber">
    <w:name w:val="line number"/>
    <w:basedOn w:val="DefaultParagraphFont"/>
    <w:uiPriority w:val="99"/>
    <w:semiHidden/>
    <w:unhideWhenUsed/>
    <w:rsid w:val="00EC5556"/>
  </w:style>
  <w:style w:type="paragraph" w:styleId="BalloonText">
    <w:name w:val="Balloon Text"/>
    <w:basedOn w:val="Normal"/>
    <w:link w:val="BalloonTextChar"/>
    <w:uiPriority w:val="99"/>
    <w:semiHidden/>
    <w:unhideWhenUsed/>
    <w:rsid w:val="00434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86"/>
    <w:pPr>
      <w:ind w:left="720"/>
      <w:contextualSpacing/>
    </w:pPr>
  </w:style>
  <w:style w:type="paragraph" w:styleId="Header">
    <w:name w:val="header"/>
    <w:basedOn w:val="Normal"/>
    <w:link w:val="HeaderChar"/>
    <w:uiPriority w:val="99"/>
    <w:semiHidden/>
    <w:unhideWhenUsed/>
    <w:rsid w:val="003D3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343"/>
  </w:style>
  <w:style w:type="paragraph" w:styleId="Footer">
    <w:name w:val="footer"/>
    <w:basedOn w:val="Normal"/>
    <w:link w:val="FooterChar"/>
    <w:uiPriority w:val="99"/>
    <w:unhideWhenUsed/>
    <w:rsid w:val="003D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43"/>
  </w:style>
  <w:style w:type="character" w:styleId="LineNumber">
    <w:name w:val="line number"/>
    <w:basedOn w:val="DefaultParagraphFont"/>
    <w:uiPriority w:val="99"/>
    <w:semiHidden/>
    <w:unhideWhenUsed/>
    <w:rsid w:val="00EC5556"/>
  </w:style>
  <w:style w:type="paragraph" w:styleId="BalloonText">
    <w:name w:val="Balloon Text"/>
    <w:basedOn w:val="Normal"/>
    <w:link w:val="BalloonTextChar"/>
    <w:uiPriority w:val="99"/>
    <w:semiHidden/>
    <w:unhideWhenUsed/>
    <w:rsid w:val="00434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6592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2016-10-28T12:16:00Z</cp:lastPrinted>
  <dcterms:created xsi:type="dcterms:W3CDTF">2017-01-18T12:52:00Z</dcterms:created>
  <dcterms:modified xsi:type="dcterms:W3CDTF">2017-01-18T12:52:00Z</dcterms:modified>
</cp:coreProperties>
</file>