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992" w:rsidRPr="00C01B3D" w:rsidRDefault="00950992" w:rsidP="00C01B3D">
      <w:pPr>
        <w:spacing w:line="360" w:lineRule="auto"/>
        <w:ind w:right="-425"/>
        <w:jc w:val="both"/>
        <w:rPr>
          <w:b/>
          <w:sz w:val="24"/>
          <w:szCs w:val="24"/>
        </w:rPr>
      </w:pPr>
      <w:r w:rsidRPr="00C01B3D">
        <w:rPr>
          <w:b/>
          <w:sz w:val="24"/>
          <w:szCs w:val="24"/>
        </w:rPr>
        <w:t>THE REPUBLIC OF UGANDA</w:t>
      </w:r>
      <w:bookmarkStart w:id="0" w:name="_GoBack"/>
      <w:bookmarkEnd w:id="0"/>
    </w:p>
    <w:p w:rsidR="00950992" w:rsidRPr="00C01B3D" w:rsidRDefault="00950992" w:rsidP="00C01B3D">
      <w:pPr>
        <w:spacing w:line="360" w:lineRule="auto"/>
        <w:ind w:right="-425"/>
        <w:jc w:val="both"/>
        <w:rPr>
          <w:b/>
          <w:sz w:val="24"/>
          <w:szCs w:val="24"/>
        </w:rPr>
      </w:pPr>
      <w:r w:rsidRPr="00C01B3D">
        <w:rPr>
          <w:b/>
          <w:sz w:val="24"/>
          <w:szCs w:val="24"/>
        </w:rPr>
        <w:t>IN THE HIGH COURT OF UGANDA AT KAMPALA</w:t>
      </w:r>
    </w:p>
    <w:p w:rsidR="00950992" w:rsidRPr="00C01B3D" w:rsidRDefault="00950992" w:rsidP="00C01B3D">
      <w:pPr>
        <w:spacing w:line="360" w:lineRule="auto"/>
        <w:ind w:right="-425"/>
        <w:jc w:val="both"/>
        <w:rPr>
          <w:b/>
          <w:sz w:val="24"/>
          <w:szCs w:val="24"/>
        </w:rPr>
      </w:pPr>
      <w:r w:rsidRPr="00C01B3D">
        <w:rPr>
          <w:b/>
          <w:sz w:val="24"/>
          <w:szCs w:val="24"/>
        </w:rPr>
        <w:t>COMMERCIAL COURT DIVISION</w:t>
      </w:r>
    </w:p>
    <w:p w:rsidR="00950992" w:rsidRPr="00C01B3D" w:rsidRDefault="00950992" w:rsidP="00C01B3D">
      <w:pPr>
        <w:spacing w:line="360" w:lineRule="auto"/>
        <w:ind w:right="-425"/>
        <w:jc w:val="both"/>
        <w:rPr>
          <w:b/>
          <w:sz w:val="24"/>
          <w:szCs w:val="24"/>
        </w:rPr>
      </w:pPr>
      <w:proofErr w:type="gramStart"/>
      <w:r w:rsidRPr="00C01B3D">
        <w:rPr>
          <w:b/>
          <w:sz w:val="24"/>
          <w:szCs w:val="24"/>
        </w:rPr>
        <w:t xml:space="preserve">CIVIL </w:t>
      </w:r>
      <w:r w:rsidR="001F073A" w:rsidRPr="00C01B3D">
        <w:rPr>
          <w:b/>
          <w:sz w:val="24"/>
          <w:szCs w:val="24"/>
        </w:rPr>
        <w:t>SUIT N0</w:t>
      </w:r>
      <w:r w:rsidRPr="00C01B3D">
        <w:rPr>
          <w:b/>
          <w:sz w:val="24"/>
          <w:szCs w:val="24"/>
        </w:rPr>
        <w:t>.</w:t>
      </w:r>
      <w:proofErr w:type="gramEnd"/>
      <w:r w:rsidRPr="00C01B3D">
        <w:rPr>
          <w:b/>
          <w:sz w:val="24"/>
          <w:szCs w:val="24"/>
        </w:rPr>
        <w:t xml:space="preserve"> </w:t>
      </w:r>
      <w:r w:rsidR="001F073A" w:rsidRPr="00C01B3D">
        <w:rPr>
          <w:b/>
          <w:sz w:val="24"/>
          <w:szCs w:val="24"/>
        </w:rPr>
        <w:t>35 OF 2012</w:t>
      </w:r>
    </w:p>
    <w:p w:rsidR="00950992" w:rsidRPr="00C01B3D" w:rsidRDefault="00950992" w:rsidP="00C01B3D">
      <w:pPr>
        <w:spacing w:line="360" w:lineRule="auto"/>
        <w:ind w:right="-425"/>
        <w:jc w:val="both"/>
        <w:rPr>
          <w:b/>
          <w:sz w:val="24"/>
          <w:szCs w:val="24"/>
        </w:rPr>
      </w:pPr>
      <w:r w:rsidRPr="00C01B3D">
        <w:rPr>
          <w:b/>
          <w:sz w:val="24"/>
          <w:szCs w:val="24"/>
        </w:rPr>
        <w:t>COUNTRY BAKERIES LTD::::::::::::::::::::::::::::::::::::::::::::::</w:t>
      </w:r>
      <w:r w:rsidR="00A93585" w:rsidRPr="00C01B3D">
        <w:rPr>
          <w:b/>
          <w:sz w:val="24"/>
          <w:szCs w:val="24"/>
        </w:rPr>
        <w:t>::</w:t>
      </w:r>
      <w:proofErr w:type="gramStart"/>
      <w:r w:rsidR="00A93585" w:rsidRPr="00C01B3D">
        <w:rPr>
          <w:b/>
          <w:sz w:val="24"/>
          <w:szCs w:val="24"/>
        </w:rPr>
        <w:t>:</w:t>
      </w:r>
      <w:r w:rsidRPr="00C01B3D">
        <w:rPr>
          <w:b/>
          <w:sz w:val="24"/>
          <w:szCs w:val="24"/>
        </w:rPr>
        <w:t>PLAINTIFF</w:t>
      </w:r>
      <w:proofErr w:type="gramEnd"/>
    </w:p>
    <w:p w:rsidR="00950992" w:rsidRPr="00C01B3D" w:rsidRDefault="00950992" w:rsidP="00C01B3D">
      <w:pPr>
        <w:spacing w:line="360" w:lineRule="auto"/>
        <w:ind w:right="-425"/>
        <w:jc w:val="both"/>
        <w:rPr>
          <w:b/>
          <w:sz w:val="24"/>
          <w:szCs w:val="24"/>
        </w:rPr>
      </w:pPr>
      <w:r w:rsidRPr="00C01B3D">
        <w:rPr>
          <w:b/>
          <w:sz w:val="24"/>
          <w:szCs w:val="24"/>
        </w:rPr>
        <w:t>VERSUS</w:t>
      </w:r>
    </w:p>
    <w:p w:rsidR="00953D67" w:rsidRPr="00C01B3D" w:rsidRDefault="00950992" w:rsidP="00C01B3D">
      <w:pPr>
        <w:spacing w:line="360" w:lineRule="auto"/>
        <w:ind w:right="-425"/>
        <w:jc w:val="both"/>
        <w:rPr>
          <w:b/>
          <w:sz w:val="24"/>
          <w:szCs w:val="24"/>
        </w:rPr>
      </w:pPr>
      <w:r w:rsidRPr="00C01B3D">
        <w:rPr>
          <w:b/>
          <w:sz w:val="24"/>
          <w:szCs w:val="24"/>
        </w:rPr>
        <w:t>INTERNATIONAL O</w:t>
      </w:r>
      <w:r w:rsidR="00B11FF3" w:rsidRPr="00C01B3D">
        <w:rPr>
          <w:b/>
          <w:sz w:val="24"/>
          <w:szCs w:val="24"/>
        </w:rPr>
        <w:t>RGANISATION FOR</w:t>
      </w:r>
      <w:r w:rsidR="00953D67" w:rsidRPr="00C01B3D">
        <w:rPr>
          <w:b/>
          <w:sz w:val="24"/>
          <w:szCs w:val="24"/>
        </w:rPr>
        <w:t xml:space="preserve"> MIGRATION </w:t>
      </w:r>
    </w:p>
    <w:p w:rsidR="00950992" w:rsidRPr="00C01B3D" w:rsidRDefault="00953D67" w:rsidP="00C01B3D">
      <w:pPr>
        <w:spacing w:line="360" w:lineRule="auto"/>
        <w:ind w:right="-425"/>
        <w:jc w:val="both"/>
        <w:rPr>
          <w:b/>
          <w:sz w:val="24"/>
          <w:szCs w:val="24"/>
        </w:rPr>
      </w:pPr>
      <w:r w:rsidRPr="00C01B3D">
        <w:rPr>
          <w:b/>
          <w:sz w:val="24"/>
          <w:szCs w:val="24"/>
        </w:rPr>
        <w:t>(IOM):::::::::::::::::::::::::::::::::::::::::::::::::::::::::::::::::::::::::::</w:t>
      </w:r>
      <w:proofErr w:type="gramStart"/>
      <w:r w:rsidRPr="00C01B3D">
        <w:rPr>
          <w:b/>
          <w:sz w:val="24"/>
          <w:szCs w:val="24"/>
        </w:rPr>
        <w:t>:</w:t>
      </w:r>
      <w:r w:rsidR="00950992" w:rsidRPr="00C01B3D">
        <w:rPr>
          <w:b/>
          <w:sz w:val="24"/>
          <w:szCs w:val="24"/>
        </w:rPr>
        <w:t>DEFENDANT</w:t>
      </w:r>
      <w:proofErr w:type="gramEnd"/>
    </w:p>
    <w:p w:rsidR="00950992" w:rsidRPr="00C01B3D" w:rsidRDefault="00950992" w:rsidP="00C01B3D">
      <w:pPr>
        <w:spacing w:line="360" w:lineRule="auto"/>
        <w:ind w:right="-425"/>
        <w:jc w:val="both"/>
        <w:rPr>
          <w:b/>
          <w:sz w:val="24"/>
          <w:szCs w:val="24"/>
        </w:rPr>
      </w:pPr>
      <w:r w:rsidRPr="00C01B3D">
        <w:rPr>
          <w:b/>
          <w:sz w:val="24"/>
          <w:szCs w:val="24"/>
          <w:u w:val="single"/>
        </w:rPr>
        <w:t>BEFORE: HON. LADY JUSTICE HELLEN OBURA</w:t>
      </w:r>
    </w:p>
    <w:p w:rsidR="00950992" w:rsidRPr="00C01B3D" w:rsidRDefault="00950992" w:rsidP="00C01B3D">
      <w:pPr>
        <w:spacing w:line="360" w:lineRule="auto"/>
        <w:ind w:right="-425"/>
        <w:jc w:val="both"/>
        <w:rPr>
          <w:b/>
          <w:sz w:val="24"/>
          <w:szCs w:val="24"/>
          <w:u w:val="single"/>
        </w:rPr>
      </w:pPr>
    </w:p>
    <w:p w:rsidR="000A71AE" w:rsidRPr="00C01B3D" w:rsidRDefault="00950992" w:rsidP="00C01B3D">
      <w:pPr>
        <w:spacing w:line="360" w:lineRule="auto"/>
        <w:ind w:right="-425"/>
        <w:jc w:val="both"/>
        <w:rPr>
          <w:b/>
          <w:sz w:val="24"/>
          <w:szCs w:val="24"/>
          <w:u w:val="single"/>
        </w:rPr>
      </w:pPr>
      <w:r w:rsidRPr="00C01B3D">
        <w:rPr>
          <w:b/>
          <w:sz w:val="24"/>
          <w:szCs w:val="24"/>
          <w:u w:val="single"/>
        </w:rPr>
        <w:t>JUDGMENT</w:t>
      </w:r>
    </w:p>
    <w:p w:rsidR="00CC6639" w:rsidRPr="00C01B3D" w:rsidRDefault="00950992" w:rsidP="00C01B3D">
      <w:pPr>
        <w:spacing w:line="360" w:lineRule="auto"/>
        <w:ind w:right="-425"/>
        <w:jc w:val="both"/>
        <w:rPr>
          <w:sz w:val="24"/>
          <w:szCs w:val="24"/>
        </w:rPr>
      </w:pPr>
      <w:r w:rsidRPr="00C01B3D">
        <w:rPr>
          <w:sz w:val="24"/>
          <w:szCs w:val="24"/>
        </w:rPr>
        <w:t>Country Bakeries Ltd</w:t>
      </w:r>
      <w:r w:rsidR="001F073A" w:rsidRPr="00C01B3D">
        <w:rPr>
          <w:sz w:val="24"/>
          <w:szCs w:val="24"/>
        </w:rPr>
        <w:t xml:space="preserve">, the Plaintiff </w:t>
      </w:r>
      <w:r w:rsidR="0083431E" w:rsidRPr="00C01B3D">
        <w:rPr>
          <w:sz w:val="24"/>
          <w:szCs w:val="24"/>
        </w:rPr>
        <w:t xml:space="preserve">(referred to in the agreement as Service Provider) </w:t>
      </w:r>
      <w:r w:rsidR="001F073A" w:rsidRPr="00C01B3D">
        <w:rPr>
          <w:sz w:val="24"/>
          <w:szCs w:val="24"/>
        </w:rPr>
        <w:t>runs</w:t>
      </w:r>
      <w:r w:rsidRPr="00C01B3D">
        <w:rPr>
          <w:sz w:val="24"/>
          <w:szCs w:val="24"/>
        </w:rPr>
        <w:t xml:space="preserve"> a commercial farm known as </w:t>
      </w:r>
      <w:proofErr w:type="spellStart"/>
      <w:r w:rsidRPr="00C01B3D">
        <w:rPr>
          <w:sz w:val="24"/>
          <w:szCs w:val="24"/>
        </w:rPr>
        <w:t>Teng</w:t>
      </w:r>
      <w:proofErr w:type="spellEnd"/>
      <w:r w:rsidR="00953D67" w:rsidRPr="00C01B3D">
        <w:rPr>
          <w:sz w:val="24"/>
          <w:szCs w:val="24"/>
        </w:rPr>
        <w:t xml:space="preserve"> </w:t>
      </w:r>
      <w:proofErr w:type="spellStart"/>
      <w:r w:rsidRPr="00C01B3D">
        <w:rPr>
          <w:sz w:val="24"/>
          <w:szCs w:val="24"/>
        </w:rPr>
        <w:t>Piny</w:t>
      </w:r>
      <w:proofErr w:type="spellEnd"/>
      <w:r w:rsidRPr="00C01B3D">
        <w:rPr>
          <w:sz w:val="24"/>
          <w:szCs w:val="24"/>
        </w:rPr>
        <w:t xml:space="preserve"> Farming Enterprises, located in the </w:t>
      </w:r>
      <w:proofErr w:type="spellStart"/>
      <w:r w:rsidRPr="00C01B3D">
        <w:rPr>
          <w:sz w:val="24"/>
          <w:szCs w:val="24"/>
        </w:rPr>
        <w:t>Gulu</w:t>
      </w:r>
      <w:proofErr w:type="spellEnd"/>
      <w:r w:rsidRPr="00C01B3D">
        <w:rPr>
          <w:sz w:val="24"/>
          <w:szCs w:val="24"/>
        </w:rPr>
        <w:t xml:space="preserve"> District. </w:t>
      </w:r>
      <w:r w:rsidR="001F073A" w:rsidRPr="00C01B3D">
        <w:rPr>
          <w:sz w:val="24"/>
          <w:szCs w:val="24"/>
        </w:rPr>
        <w:t>The</w:t>
      </w:r>
      <w:r w:rsidRPr="00C01B3D">
        <w:rPr>
          <w:sz w:val="24"/>
          <w:szCs w:val="24"/>
        </w:rPr>
        <w:t xml:space="preserve"> </w:t>
      </w:r>
      <w:r w:rsidR="001F073A" w:rsidRPr="00C01B3D">
        <w:rPr>
          <w:sz w:val="24"/>
          <w:szCs w:val="24"/>
        </w:rPr>
        <w:t xml:space="preserve">International </w:t>
      </w:r>
      <w:proofErr w:type="spellStart"/>
      <w:r w:rsidR="001F073A" w:rsidRPr="00C01B3D">
        <w:rPr>
          <w:sz w:val="24"/>
          <w:szCs w:val="24"/>
        </w:rPr>
        <w:t>Organisation</w:t>
      </w:r>
      <w:proofErr w:type="spellEnd"/>
      <w:r w:rsidR="001F073A" w:rsidRPr="00C01B3D">
        <w:rPr>
          <w:sz w:val="24"/>
          <w:szCs w:val="24"/>
        </w:rPr>
        <w:t xml:space="preserve"> f</w:t>
      </w:r>
      <w:r w:rsidRPr="00C01B3D">
        <w:rPr>
          <w:sz w:val="24"/>
          <w:szCs w:val="24"/>
        </w:rPr>
        <w:t>or Migrati</w:t>
      </w:r>
      <w:r w:rsidR="00BE3CC2" w:rsidRPr="00C01B3D">
        <w:rPr>
          <w:sz w:val="24"/>
          <w:szCs w:val="24"/>
        </w:rPr>
        <w:t xml:space="preserve">on (IOM), </w:t>
      </w:r>
      <w:r w:rsidR="001F073A" w:rsidRPr="00C01B3D">
        <w:rPr>
          <w:sz w:val="24"/>
          <w:szCs w:val="24"/>
        </w:rPr>
        <w:t xml:space="preserve">the Defendant, is </w:t>
      </w:r>
      <w:r w:rsidR="00BE3CC2" w:rsidRPr="00C01B3D">
        <w:rPr>
          <w:sz w:val="24"/>
          <w:szCs w:val="24"/>
        </w:rPr>
        <w:t>an</w:t>
      </w:r>
      <w:r w:rsidR="005622BE" w:rsidRPr="00C01B3D">
        <w:rPr>
          <w:sz w:val="24"/>
          <w:szCs w:val="24"/>
        </w:rPr>
        <w:t xml:space="preserve"> international inter</w:t>
      </w:r>
      <w:r w:rsidRPr="00C01B3D">
        <w:rPr>
          <w:sz w:val="24"/>
          <w:szCs w:val="24"/>
        </w:rPr>
        <w:t xml:space="preserve">governmental </w:t>
      </w:r>
      <w:r w:rsidR="005622BE" w:rsidRPr="00C01B3D">
        <w:rPr>
          <w:sz w:val="24"/>
          <w:szCs w:val="24"/>
        </w:rPr>
        <w:t>organization</w:t>
      </w:r>
      <w:r w:rsidRPr="00C01B3D">
        <w:rPr>
          <w:sz w:val="24"/>
          <w:szCs w:val="24"/>
        </w:rPr>
        <w:t xml:space="preserve"> involved </w:t>
      </w:r>
      <w:r w:rsidR="007510BF" w:rsidRPr="00C01B3D">
        <w:rPr>
          <w:sz w:val="24"/>
          <w:szCs w:val="24"/>
        </w:rPr>
        <w:t xml:space="preserve">among other activities, </w:t>
      </w:r>
      <w:r w:rsidRPr="00C01B3D">
        <w:rPr>
          <w:sz w:val="24"/>
          <w:szCs w:val="24"/>
        </w:rPr>
        <w:t xml:space="preserve">in rehabilitation </w:t>
      </w:r>
      <w:r w:rsidR="007510BF" w:rsidRPr="00C01B3D">
        <w:rPr>
          <w:sz w:val="24"/>
          <w:szCs w:val="24"/>
        </w:rPr>
        <w:t xml:space="preserve">and resettlement </w:t>
      </w:r>
      <w:r w:rsidRPr="00C01B3D">
        <w:rPr>
          <w:sz w:val="24"/>
          <w:szCs w:val="24"/>
        </w:rPr>
        <w:t xml:space="preserve">of vulnerable </w:t>
      </w:r>
      <w:r w:rsidR="007510BF" w:rsidRPr="00C01B3D">
        <w:rPr>
          <w:sz w:val="24"/>
          <w:szCs w:val="24"/>
        </w:rPr>
        <w:t xml:space="preserve">ex-combatant </w:t>
      </w:r>
      <w:r w:rsidRPr="00C01B3D">
        <w:rPr>
          <w:sz w:val="24"/>
          <w:szCs w:val="24"/>
        </w:rPr>
        <w:t xml:space="preserve">youth </w:t>
      </w:r>
      <w:r w:rsidR="007510BF" w:rsidRPr="00C01B3D">
        <w:rPr>
          <w:sz w:val="24"/>
          <w:szCs w:val="24"/>
        </w:rPr>
        <w:t xml:space="preserve">of the Lord’s Resistant Movement </w:t>
      </w:r>
      <w:r w:rsidRPr="00C01B3D">
        <w:rPr>
          <w:sz w:val="24"/>
          <w:szCs w:val="24"/>
        </w:rPr>
        <w:t xml:space="preserve">in Northern Uganda. </w:t>
      </w:r>
      <w:r w:rsidR="001F073A" w:rsidRPr="00C01B3D">
        <w:rPr>
          <w:sz w:val="24"/>
          <w:szCs w:val="24"/>
        </w:rPr>
        <w:t xml:space="preserve">The </w:t>
      </w:r>
      <w:r w:rsidRPr="00C01B3D">
        <w:rPr>
          <w:sz w:val="24"/>
          <w:szCs w:val="24"/>
        </w:rPr>
        <w:t xml:space="preserve">Plaintiff sued </w:t>
      </w:r>
      <w:r w:rsidR="001F073A" w:rsidRPr="00C01B3D">
        <w:rPr>
          <w:sz w:val="24"/>
          <w:szCs w:val="24"/>
        </w:rPr>
        <w:t xml:space="preserve">the </w:t>
      </w:r>
      <w:r w:rsidRPr="00C01B3D">
        <w:rPr>
          <w:sz w:val="24"/>
          <w:szCs w:val="24"/>
        </w:rPr>
        <w:t>Defendant for breac</w:t>
      </w:r>
      <w:r w:rsidR="00C06D84" w:rsidRPr="00C01B3D">
        <w:rPr>
          <w:sz w:val="24"/>
          <w:szCs w:val="24"/>
        </w:rPr>
        <w:t xml:space="preserve">h of </w:t>
      </w:r>
      <w:r w:rsidR="001F073A" w:rsidRPr="00C01B3D">
        <w:rPr>
          <w:sz w:val="24"/>
          <w:szCs w:val="24"/>
        </w:rPr>
        <w:t>the Service Agreement under which the</w:t>
      </w:r>
      <w:r w:rsidR="00C06D84" w:rsidRPr="00C01B3D">
        <w:rPr>
          <w:sz w:val="24"/>
          <w:szCs w:val="24"/>
        </w:rPr>
        <w:t xml:space="preserve"> Plaintiff </w:t>
      </w:r>
      <w:r w:rsidR="001F073A" w:rsidRPr="00C01B3D">
        <w:rPr>
          <w:sz w:val="24"/>
          <w:szCs w:val="24"/>
        </w:rPr>
        <w:t xml:space="preserve">was to </w:t>
      </w:r>
      <w:r w:rsidR="00C06D84" w:rsidRPr="00C01B3D">
        <w:rPr>
          <w:sz w:val="24"/>
          <w:szCs w:val="24"/>
        </w:rPr>
        <w:t>house</w:t>
      </w:r>
      <w:r w:rsidR="001F073A" w:rsidRPr="00C01B3D">
        <w:rPr>
          <w:sz w:val="24"/>
          <w:szCs w:val="24"/>
        </w:rPr>
        <w:t>, feed</w:t>
      </w:r>
      <w:r w:rsidR="00C06D84" w:rsidRPr="00C01B3D">
        <w:rPr>
          <w:sz w:val="24"/>
          <w:szCs w:val="24"/>
        </w:rPr>
        <w:t xml:space="preserve"> and </w:t>
      </w:r>
      <w:r w:rsidR="00CC6639" w:rsidRPr="00C01B3D">
        <w:rPr>
          <w:sz w:val="24"/>
          <w:szCs w:val="24"/>
        </w:rPr>
        <w:t xml:space="preserve">provide skills &amp; empowerment through </w:t>
      </w:r>
      <w:r w:rsidR="00C06D84" w:rsidRPr="00C01B3D">
        <w:rPr>
          <w:sz w:val="24"/>
          <w:szCs w:val="24"/>
        </w:rPr>
        <w:t>e</w:t>
      </w:r>
      <w:r w:rsidRPr="00C01B3D">
        <w:rPr>
          <w:sz w:val="24"/>
          <w:szCs w:val="24"/>
        </w:rPr>
        <w:t>mploy</w:t>
      </w:r>
      <w:r w:rsidR="00CC6639" w:rsidRPr="00C01B3D">
        <w:rPr>
          <w:sz w:val="24"/>
          <w:szCs w:val="24"/>
        </w:rPr>
        <w:t xml:space="preserve">ment of the </w:t>
      </w:r>
      <w:r w:rsidRPr="00C01B3D">
        <w:rPr>
          <w:sz w:val="24"/>
          <w:szCs w:val="24"/>
        </w:rPr>
        <w:t xml:space="preserve">vulnerable </w:t>
      </w:r>
      <w:r w:rsidR="001F073A" w:rsidRPr="00C01B3D">
        <w:rPr>
          <w:sz w:val="24"/>
          <w:szCs w:val="24"/>
        </w:rPr>
        <w:t xml:space="preserve">ex-combatant </w:t>
      </w:r>
      <w:r w:rsidRPr="00C01B3D">
        <w:rPr>
          <w:sz w:val="24"/>
          <w:szCs w:val="24"/>
        </w:rPr>
        <w:t xml:space="preserve">youth on </w:t>
      </w:r>
      <w:r w:rsidR="002132C3" w:rsidRPr="00C01B3D">
        <w:rPr>
          <w:sz w:val="24"/>
          <w:szCs w:val="24"/>
        </w:rPr>
        <w:t>its</w:t>
      </w:r>
      <w:r w:rsidRPr="00C01B3D">
        <w:rPr>
          <w:sz w:val="24"/>
          <w:szCs w:val="24"/>
        </w:rPr>
        <w:t xml:space="preserve"> farm </w:t>
      </w:r>
      <w:r w:rsidR="00A42434" w:rsidRPr="00C01B3D">
        <w:rPr>
          <w:sz w:val="24"/>
          <w:szCs w:val="24"/>
        </w:rPr>
        <w:t>and the D</w:t>
      </w:r>
      <w:r w:rsidR="001F073A" w:rsidRPr="00C01B3D">
        <w:rPr>
          <w:sz w:val="24"/>
          <w:szCs w:val="24"/>
        </w:rPr>
        <w:t>efendant was to provide</w:t>
      </w:r>
      <w:r w:rsidR="00546A40" w:rsidRPr="00C01B3D">
        <w:rPr>
          <w:sz w:val="24"/>
          <w:szCs w:val="24"/>
        </w:rPr>
        <w:t xml:space="preserve"> </w:t>
      </w:r>
      <w:r w:rsidR="00A42434" w:rsidRPr="00C01B3D">
        <w:rPr>
          <w:sz w:val="24"/>
          <w:szCs w:val="24"/>
        </w:rPr>
        <w:t xml:space="preserve">to the plaintiff a maximum amount of US $ 30,000 largely </w:t>
      </w:r>
      <w:r w:rsidR="00546A40" w:rsidRPr="00C01B3D">
        <w:rPr>
          <w:sz w:val="24"/>
          <w:szCs w:val="24"/>
        </w:rPr>
        <w:t xml:space="preserve">in kind and </w:t>
      </w:r>
      <w:r w:rsidR="00A42434" w:rsidRPr="00C01B3D">
        <w:rPr>
          <w:sz w:val="24"/>
          <w:szCs w:val="24"/>
        </w:rPr>
        <w:t xml:space="preserve">could also include </w:t>
      </w:r>
      <w:r w:rsidR="00546A40" w:rsidRPr="00C01B3D">
        <w:rPr>
          <w:sz w:val="24"/>
          <w:szCs w:val="24"/>
        </w:rPr>
        <w:t xml:space="preserve">cash </w:t>
      </w:r>
      <w:r w:rsidR="00A42434" w:rsidRPr="00C01B3D">
        <w:rPr>
          <w:sz w:val="24"/>
          <w:szCs w:val="24"/>
        </w:rPr>
        <w:t xml:space="preserve">as </w:t>
      </w:r>
      <w:r w:rsidR="00546A40" w:rsidRPr="00C01B3D">
        <w:rPr>
          <w:sz w:val="24"/>
          <w:szCs w:val="24"/>
        </w:rPr>
        <w:t xml:space="preserve">contributions </w:t>
      </w:r>
      <w:r w:rsidR="00A42434" w:rsidRPr="00C01B3D">
        <w:rPr>
          <w:sz w:val="24"/>
          <w:szCs w:val="24"/>
        </w:rPr>
        <w:t>for the services</w:t>
      </w:r>
      <w:r w:rsidR="00743186" w:rsidRPr="00C01B3D">
        <w:rPr>
          <w:sz w:val="24"/>
          <w:szCs w:val="24"/>
        </w:rPr>
        <w:t>. It is the Plaintiff’s case that whereas it housed, fed and employed the defendant’s clients</w:t>
      </w:r>
      <w:r w:rsidR="00CC6639" w:rsidRPr="00C01B3D">
        <w:rPr>
          <w:sz w:val="24"/>
          <w:szCs w:val="24"/>
        </w:rPr>
        <w:t xml:space="preserve"> thereby incurring costs which it hoped to recover from the projected cash flows based on the farm input to be provided by the defendant</w:t>
      </w:r>
      <w:r w:rsidR="00743186" w:rsidRPr="00C01B3D">
        <w:rPr>
          <w:sz w:val="24"/>
          <w:szCs w:val="24"/>
        </w:rPr>
        <w:t xml:space="preserve">, the defendant reneged on its obligations </w:t>
      </w:r>
      <w:r w:rsidR="00CC6639" w:rsidRPr="00C01B3D">
        <w:rPr>
          <w:sz w:val="24"/>
          <w:szCs w:val="24"/>
        </w:rPr>
        <w:t>by providing deplorable and dilapidated machines not fit for the intended purpose. The plaintiff claimed for special damages, projected lost profits, general damages, interest and costs of the suit.</w:t>
      </w:r>
    </w:p>
    <w:p w:rsidR="00950992" w:rsidRPr="00C01B3D" w:rsidRDefault="00950992" w:rsidP="00C01B3D">
      <w:pPr>
        <w:spacing w:line="360" w:lineRule="auto"/>
        <w:ind w:right="-425"/>
        <w:jc w:val="both"/>
        <w:rPr>
          <w:sz w:val="24"/>
          <w:szCs w:val="24"/>
        </w:rPr>
      </w:pPr>
    </w:p>
    <w:p w:rsidR="00C06D84" w:rsidRPr="00C01B3D" w:rsidRDefault="00CC6639" w:rsidP="00C01B3D">
      <w:pPr>
        <w:spacing w:line="360" w:lineRule="auto"/>
        <w:ind w:right="-425"/>
        <w:jc w:val="both"/>
        <w:rPr>
          <w:sz w:val="24"/>
          <w:szCs w:val="24"/>
        </w:rPr>
      </w:pPr>
      <w:r w:rsidRPr="00C01B3D">
        <w:rPr>
          <w:sz w:val="24"/>
          <w:szCs w:val="24"/>
        </w:rPr>
        <w:t xml:space="preserve">Summons to file a </w:t>
      </w:r>
      <w:proofErr w:type="spellStart"/>
      <w:r w:rsidRPr="00C01B3D">
        <w:rPr>
          <w:sz w:val="24"/>
          <w:szCs w:val="24"/>
        </w:rPr>
        <w:t>defence</w:t>
      </w:r>
      <w:proofErr w:type="spellEnd"/>
      <w:r w:rsidRPr="00C01B3D">
        <w:rPr>
          <w:sz w:val="24"/>
          <w:szCs w:val="24"/>
        </w:rPr>
        <w:t xml:space="preserve"> was issued on 25</w:t>
      </w:r>
      <w:r w:rsidRPr="00C01B3D">
        <w:rPr>
          <w:sz w:val="24"/>
          <w:szCs w:val="24"/>
          <w:vertAlign w:val="superscript"/>
        </w:rPr>
        <w:t>th</w:t>
      </w:r>
      <w:r w:rsidRPr="00C01B3D">
        <w:rPr>
          <w:sz w:val="24"/>
          <w:szCs w:val="24"/>
        </w:rPr>
        <w:t xml:space="preserve"> January 2012 for service on the defendant </w:t>
      </w:r>
      <w:r w:rsidR="00A75178" w:rsidRPr="00C01B3D">
        <w:rPr>
          <w:sz w:val="24"/>
          <w:szCs w:val="24"/>
        </w:rPr>
        <w:t xml:space="preserve">but no </w:t>
      </w:r>
      <w:proofErr w:type="spellStart"/>
      <w:r w:rsidR="00A75178" w:rsidRPr="00C01B3D">
        <w:rPr>
          <w:sz w:val="24"/>
          <w:szCs w:val="24"/>
        </w:rPr>
        <w:t>defence</w:t>
      </w:r>
      <w:proofErr w:type="spellEnd"/>
      <w:r w:rsidR="00A75178" w:rsidRPr="00C01B3D">
        <w:rPr>
          <w:sz w:val="24"/>
          <w:szCs w:val="24"/>
        </w:rPr>
        <w:t xml:space="preserve"> was filed by 9</w:t>
      </w:r>
      <w:r w:rsidR="00A75178" w:rsidRPr="00C01B3D">
        <w:rPr>
          <w:sz w:val="24"/>
          <w:szCs w:val="24"/>
          <w:vertAlign w:val="superscript"/>
        </w:rPr>
        <w:t>th</w:t>
      </w:r>
      <w:r w:rsidR="00A75178" w:rsidRPr="00C01B3D">
        <w:rPr>
          <w:sz w:val="24"/>
          <w:szCs w:val="24"/>
        </w:rPr>
        <w:t xml:space="preserve"> May 2012 and there was no affidavit of proof of service on court record. Consequently, o</w:t>
      </w:r>
      <w:r w:rsidR="00C06D84" w:rsidRPr="00C01B3D">
        <w:rPr>
          <w:sz w:val="24"/>
          <w:szCs w:val="24"/>
        </w:rPr>
        <w:t xml:space="preserve">n 9th May 2012, the suit was dismissed for failure to serve summons on </w:t>
      </w:r>
      <w:r w:rsidR="00681ECA" w:rsidRPr="00C01B3D">
        <w:rPr>
          <w:sz w:val="24"/>
          <w:szCs w:val="24"/>
        </w:rPr>
        <w:t xml:space="preserve">the </w:t>
      </w:r>
      <w:r w:rsidR="00C06D84" w:rsidRPr="00C01B3D">
        <w:rPr>
          <w:sz w:val="24"/>
          <w:szCs w:val="24"/>
        </w:rPr>
        <w:t>Defendant</w:t>
      </w:r>
      <w:r w:rsidR="007267B4" w:rsidRPr="00C01B3D">
        <w:rPr>
          <w:sz w:val="24"/>
          <w:szCs w:val="24"/>
        </w:rPr>
        <w:t xml:space="preserve"> under Order 5 Rule 1(3)</w:t>
      </w:r>
      <w:r w:rsidR="00681ECA" w:rsidRPr="00C01B3D">
        <w:rPr>
          <w:sz w:val="24"/>
          <w:szCs w:val="24"/>
        </w:rPr>
        <w:t xml:space="preserve"> </w:t>
      </w:r>
      <w:r w:rsidR="007267B4" w:rsidRPr="00C01B3D">
        <w:rPr>
          <w:sz w:val="24"/>
          <w:szCs w:val="24"/>
        </w:rPr>
        <w:t>(c) of the CPR</w:t>
      </w:r>
      <w:r w:rsidR="00C06D84" w:rsidRPr="00C01B3D">
        <w:rPr>
          <w:sz w:val="24"/>
          <w:szCs w:val="24"/>
        </w:rPr>
        <w:t xml:space="preserve">. </w:t>
      </w:r>
      <w:r w:rsidR="00A75178" w:rsidRPr="00C01B3D">
        <w:rPr>
          <w:sz w:val="24"/>
          <w:szCs w:val="24"/>
        </w:rPr>
        <w:t xml:space="preserve">The </w:t>
      </w:r>
      <w:r w:rsidR="00C06D84" w:rsidRPr="00C01B3D">
        <w:rPr>
          <w:sz w:val="24"/>
          <w:szCs w:val="24"/>
        </w:rPr>
        <w:t xml:space="preserve">Plaintiff </w:t>
      </w:r>
      <w:r w:rsidR="00A75178" w:rsidRPr="00C01B3D">
        <w:rPr>
          <w:sz w:val="24"/>
          <w:szCs w:val="24"/>
        </w:rPr>
        <w:t xml:space="preserve">applied for </w:t>
      </w:r>
      <w:r w:rsidR="00A75178" w:rsidRPr="00C01B3D">
        <w:rPr>
          <w:sz w:val="24"/>
          <w:szCs w:val="24"/>
        </w:rPr>
        <w:lastRenderedPageBreak/>
        <w:t xml:space="preserve">reinstatement of the suit on the ground </w:t>
      </w:r>
      <w:r w:rsidR="002132C3" w:rsidRPr="00C01B3D">
        <w:rPr>
          <w:sz w:val="24"/>
          <w:szCs w:val="24"/>
        </w:rPr>
        <w:t xml:space="preserve">that </w:t>
      </w:r>
      <w:r w:rsidR="00A75178" w:rsidRPr="00C01B3D">
        <w:rPr>
          <w:sz w:val="24"/>
          <w:szCs w:val="24"/>
        </w:rPr>
        <w:t xml:space="preserve">the service was </w:t>
      </w:r>
      <w:proofErr w:type="gramStart"/>
      <w:r w:rsidR="00A75178" w:rsidRPr="00C01B3D">
        <w:rPr>
          <w:sz w:val="24"/>
          <w:szCs w:val="24"/>
        </w:rPr>
        <w:t>effected</w:t>
      </w:r>
      <w:proofErr w:type="gramEnd"/>
      <w:r w:rsidR="00A75178" w:rsidRPr="00C01B3D">
        <w:rPr>
          <w:sz w:val="24"/>
          <w:szCs w:val="24"/>
        </w:rPr>
        <w:t xml:space="preserve"> but the clerk delayed to file the affidavit of service, and the advocate was out of the office due to surgery. </w:t>
      </w:r>
      <w:r w:rsidR="00C06D84" w:rsidRPr="00C01B3D">
        <w:rPr>
          <w:sz w:val="24"/>
          <w:szCs w:val="24"/>
        </w:rPr>
        <w:t>The</w:t>
      </w:r>
      <w:r w:rsidR="00FE2A85" w:rsidRPr="00C01B3D">
        <w:rPr>
          <w:sz w:val="24"/>
          <w:szCs w:val="24"/>
        </w:rPr>
        <w:t xml:space="preserve"> application was </w:t>
      </w:r>
      <w:r w:rsidR="002132C3" w:rsidRPr="00C01B3D">
        <w:rPr>
          <w:sz w:val="24"/>
          <w:szCs w:val="24"/>
        </w:rPr>
        <w:t>served on the defendant on 26</w:t>
      </w:r>
      <w:r w:rsidR="002132C3" w:rsidRPr="00C01B3D">
        <w:rPr>
          <w:sz w:val="24"/>
          <w:szCs w:val="24"/>
          <w:vertAlign w:val="superscript"/>
        </w:rPr>
        <w:t>th</w:t>
      </w:r>
      <w:r w:rsidR="002132C3" w:rsidRPr="00C01B3D">
        <w:rPr>
          <w:sz w:val="24"/>
          <w:szCs w:val="24"/>
        </w:rPr>
        <w:t xml:space="preserve"> </w:t>
      </w:r>
      <w:r w:rsidR="00FE2A85" w:rsidRPr="00C01B3D">
        <w:rPr>
          <w:sz w:val="24"/>
          <w:szCs w:val="24"/>
        </w:rPr>
        <w:t>June, 2012 but no affidavit in reply was filed. Court then granted</w:t>
      </w:r>
      <w:r w:rsidR="005F7280" w:rsidRPr="00C01B3D">
        <w:rPr>
          <w:sz w:val="24"/>
          <w:szCs w:val="24"/>
        </w:rPr>
        <w:t xml:space="preserve"> </w:t>
      </w:r>
      <w:r w:rsidR="00FE2A85" w:rsidRPr="00C01B3D">
        <w:rPr>
          <w:sz w:val="24"/>
          <w:szCs w:val="24"/>
        </w:rPr>
        <w:t xml:space="preserve">it since it was not opposed thereby </w:t>
      </w:r>
      <w:r w:rsidR="00C06D84" w:rsidRPr="00C01B3D">
        <w:rPr>
          <w:sz w:val="24"/>
          <w:szCs w:val="24"/>
        </w:rPr>
        <w:t>reinstat</w:t>
      </w:r>
      <w:r w:rsidR="00FE2A85" w:rsidRPr="00C01B3D">
        <w:rPr>
          <w:sz w:val="24"/>
          <w:szCs w:val="24"/>
        </w:rPr>
        <w:t>ing the suit o</w:t>
      </w:r>
      <w:r w:rsidR="00C06D84" w:rsidRPr="00C01B3D">
        <w:rPr>
          <w:sz w:val="24"/>
          <w:szCs w:val="24"/>
        </w:rPr>
        <w:t xml:space="preserve">n </w:t>
      </w:r>
      <w:r w:rsidR="002132C3" w:rsidRPr="00C01B3D">
        <w:rPr>
          <w:sz w:val="24"/>
          <w:szCs w:val="24"/>
        </w:rPr>
        <w:t>2</w:t>
      </w:r>
      <w:r w:rsidR="002132C3" w:rsidRPr="00C01B3D">
        <w:rPr>
          <w:sz w:val="24"/>
          <w:szCs w:val="24"/>
          <w:vertAlign w:val="superscript"/>
        </w:rPr>
        <w:t>nd</w:t>
      </w:r>
      <w:r w:rsidR="002132C3" w:rsidRPr="00C01B3D">
        <w:rPr>
          <w:sz w:val="24"/>
          <w:szCs w:val="24"/>
        </w:rPr>
        <w:t xml:space="preserve"> </w:t>
      </w:r>
      <w:r w:rsidR="007267B4" w:rsidRPr="00C01B3D">
        <w:rPr>
          <w:sz w:val="24"/>
          <w:szCs w:val="24"/>
        </w:rPr>
        <w:t xml:space="preserve">July 2012. A default judgment was entered </w:t>
      </w:r>
      <w:r w:rsidR="00FE2A85" w:rsidRPr="00C01B3D">
        <w:rPr>
          <w:sz w:val="24"/>
          <w:szCs w:val="24"/>
        </w:rPr>
        <w:t>on 19</w:t>
      </w:r>
      <w:r w:rsidR="00FE2A85" w:rsidRPr="00C01B3D">
        <w:rPr>
          <w:sz w:val="24"/>
          <w:szCs w:val="24"/>
          <w:vertAlign w:val="superscript"/>
        </w:rPr>
        <w:t>th</w:t>
      </w:r>
      <w:r w:rsidR="00FE2A85" w:rsidRPr="00C01B3D">
        <w:rPr>
          <w:sz w:val="24"/>
          <w:szCs w:val="24"/>
        </w:rPr>
        <w:t xml:space="preserve"> July 2012 </w:t>
      </w:r>
      <w:r w:rsidR="005F7280" w:rsidRPr="00C01B3D">
        <w:rPr>
          <w:sz w:val="24"/>
          <w:szCs w:val="24"/>
        </w:rPr>
        <w:t xml:space="preserve">because no </w:t>
      </w:r>
      <w:proofErr w:type="spellStart"/>
      <w:r w:rsidR="005F7280" w:rsidRPr="00C01B3D">
        <w:rPr>
          <w:sz w:val="24"/>
          <w:szCs w:val="24"/>
        </w:rPr>
        <w:t>defence</w:t>
      </w:r>
      <w:proofErr w:type="spellEnd"/>
      <w:r w:rsidR="005F7280" w:rsidRPr="00C01B3D">
        <w:rPr>
          <w:sz w:val="24"/>
          <w:szCs w:val="24"/>
        </w:rPr>
        <w:t xml:space="preserve"> was filed </w:t>
      </w:r>
      <w:r w:rsidR="00FE2A85" w:rsidRPr="00C01B3D">
        <w:rPr>
          <w:sz w:val="24"/>
          <w:szCs w:val="24"/>
        </w:rPr>
        <w:t>and the matter was set down for formal proof</w:t>
      </w:r>
      <w:r w:rsidR="001A6B1F" w:rsidRPr="00C01B3D">
        <w:rPr>
          <w:sz w:val="24"/>
          <w:szCs w:val="24"/>
        </w:rPr>
        <w:t xml:space="preserve"> which was done, hence this judgment</w:t>
      </w:r>
      <w:r w:rsidR="007267B4" w:rsidRPr="00C01B3D">
        <w:rPr>
          <w:sz w:val="24"/>
          <w:szCs w:val="24"/>
        </w:rPr>
        <w:t>.</w:t>
      </w:r>
    </w:p>
    <w:p w:rsidR="0059355B" w:rsidRPr="00C01B3D" w:rsidRDefault="0059355B" w:rsidP="00C01B3D">
      <w:pPr>
        <w:spacing w:line="360" w:lineRule="auto"/>
        <w:ind w:right="-425"/>
        <w:jc w:val="both"/>
        <w:rPr>
          <w:sz w:val="24"/>
          <w:szCs w:val="24"/>
        </w:rPr>
      </w:pPr>
    </w:p>
    <w:p w:rsidR="0059355B" w:rsidRPr="00C01B3D" w:rsidRDefault="0059355B" w:rsidP="00C01B3D">
      <w:pPr>
        <w:spacing w:line="360" w:lineRule="auto"/>
        <w:ind w:right="-425"/>
        <w:jc w:val="both"/>
        <w:rPr>
          <w:sz w:val="24"/>
          <w:szCs w:val="24"/>
        </w:rPr>
      </w:pPr>
      <w:r w:rsidRPr="00C01B3D">
        <w:rPr>
          <w:sz w:val="24"/>
          <w:szCs w:val="24"/>
        </w:rPr>
        <w:t xml:space="preserve">I must point out from the onset that upon looking at all the documents on the file this court is not satisfied that an effective service was done on the Defendant much as the affidavit of service has a copy of the summons that bear what appears to be the Defendant;’ s stamp. I have come to the above conclusion upon looking at a letter at page 45 of the Trial Bundle by which the Defendant’s lawyers M/S </w:t>
      </w:r>
      <w:proofErr w:type="spellStart"/>
      <w:r w:rsidRPr="00C01B3D">
        <w:rPr>
          <w:sz w:val="24"/>
          <w:szCs w:val="24"/>
        </w:rPr>
        <w:t>Lex</w:t>
      </w:r>
      <w:proofErr w:type="spellEnd"/>
      <w:r w:rsidRPr="00C01B3D">
        <w:rPr>
          <w:sz w:val="24"/>
          <w:szCs w:val="24"/>
        </w:rPr>
        <w:t xml:space="preserve"> Uganda Advocates &amp; Solicitors </w:t>
      </w:r>
      <w:r w:rsidR="00AB6E34" w:rsidRPr="00C01B3D">
        <w:rPr>
          <w:sz w:val="24"/>
          <w:szCs w:val="24"/>
        </w:rPr>
        <w:t>advised the Plaintiff’s lawyers that all correspondences in the matter should be directed to them. I then wondered why service of summons in the same matter could not be directed to the said lawyers. Be that as it may, since I have already heard this case d</w:t>
      </w:r>
      <w:r w:rsidR="002132C3" w:rsidRPr="00C01B3D">
        <w:rPr>
          <w:sz w:val="24"/>
          <w:szCs w:val="24"/>
        </w:rPr>
        <w:t>espite the above anomaly which sh</w:t>
      </w:r>
      <w:r w:rsidR="00AB6E34" w:rsidRPr="00C01B3D">
        <w:rPr>
          <w:sz w:val="24"/>
          <w:szCs w:val="24"/>
        </w:rPr>
        <w:t>ould have necessitated ordering for service on those lawyers or substituted service before entering a default judgment, I will proceed with the judgment but evaluate the evidence more critically since the suit was not defended.</w:t>
      </w:r>
    </w:p>
    <w:p w:rsidR="007267B4" w:rsidRPr="00C01B3D" w:rsidRDefault="007267B4" w:rsidP="00C01B3D">
      <w:pPr>
        <w:spacing w:line="360" w:lineRule="auto"/>
        <w:ind w:right="-425"/>
        <w:jc w:val="both"/>
        <w:rPr>
          <w:sz w:val="24"/>
          <w:szCs w:val="24"/>
        </w:rPr>
      </w:pPr>
    </w:p>
    <w:p w:rsidR="00F402AC" w:rsidRPr="00C01B3D" w:rsidRDefault="001A6B1F" w:rsidP="00C01B3D">
      <w:pPr>
        <w:spacing w:line="360" w:lineRule="auto"/>
        <w:ind w:right="-425"/>
        <w:jc w:val="both"/>
        <w:rPr>
          <w:sz w:val="24"/>
          <w:szCs w:val="24"/>
        </w:rPr>
      </w:pPr>
      <w:r w:rsidRPr="00C01B3D">
        <w:rPr>
          <w:sz w:val="24"/>
          <w:szCs w:val="24"/>
        </w:rPr>
        <w:t xml:space="preserve">At the scheduling conference two issues were canvassed for determination by this court. I </w:t>
      </w:r>
      <w:r w:rsidR="005F7280" w:rsidRPr="00C01B3D">
        <w:rPr>
          <w:sz w:val="24"/>
          <w:szCs w:val="24"/>
        </w:rPr>
        <w:t>now turn to address th</w:t>
      </w:r>
      <w:r w:rsidRPr="00C01B3D">
        <w:rPr>
          <w:sz w:val="24"/>
          <w:szCs w:val="24"/>
        </w:rPr>
        <w:t>o</w:t>
      </w:r>
      <w:r w:rsidR="005F7280" w:rsidRPr="00C01B3D">
        <w:rPr>
          <w:sz w:val="24"/>
          <w:szCs w:val="24"/>
        </w:rPr>
        <w:t xml:space="preserve">se two issues. </w:t>
      </w:r>
    </w:p>
    <w:p w:rsidR="005F7280" w:rsidRPr="00C01B3D" w:rsidRDefault="005F7280" w:rsidP="00C01B3D">
      <w:pPr>
        <w:spacing w:line="360" w:lineRule="auto"/>
        <w:ind w:right="-425"/>
        <w:jc w:val="both"/>
        <w:rPr>
          <w:sz w:val="24"/>
          <w:szCs w:val="24"/>
        </w:rPr>
      </w:pPr>
    </w:p>
    <w:p w:rsidR="00950992" w:rsidRPr="00C01B3D" w:rsidRDefault="00950992" w:rsidP="00C01B3D">
      <w:pPr>
        <w:spacing w:line="360" w:lineRule="auto"/>
        <w:ind w:right="-425"/>
        <w:jc w:val="both"/>
        <w:rPr>
          <w:b/>
          <w:sz w:val="24"/>
          <w:szCs w:val="24"/>
          <w:u w:val="single"/>
        </w:rPr>
      </w:pPr>
      <w:r w:rsidRPr="00C01B3D">
        <w:rPr>
          <w:b/>
          <w:sz w:val="24"/>
          <w:szCs w:val="24"/>
          <w:u w:val="single"/>
        </w:rPr>
        <w:t>Issue 1: Did the Def</w:t>
      </w:r>
      <w:r w:rsidR="002132C3" w:rsidRPr="00C01B3D">
        <w:rPr>
          <w:b/>
          <w:sz w:val="24"/>
          <w:szCs w:val="24"/>
          <w:u w:val="single"/>
        </w:rPr>
        <w:t>endant breach the terms of the S</w:t>
      </w:r>
      <w:r w:rsidRPr="00C01B3D">
        <w:rPr>
          <w:b/>
          <w:sz w:val="24"/>
          <w:szCs w:val="24"/>
          <w:u w:val="single"/>
        </w:rPr>
        <w:t>ervice</w:t>
      </w:r>
      <w:r w:rsidR="002132C3" w:rsidRPr="00C01B3D">
        <w:rPr>
          <w:b/>
          <w:sz w:val="24"/>
          <w:szCs w:val="24"/>
          <w:u w:val="single"/>
        </w:rPr>
        <w:t>s A</w:t>
      </w:r>
      <w:r w:rsidRPr="00C01B3D">
        <w:rPr>
          <w:b/>
          <w:sz w:val="24"/>
          <w:szCs w:val="24"/>
          <w:u w:val="single"/>
        </w:rPr>
        <w:t>greement?</w:t>
      </w:r>
    </w:p>
    <w:p w:rsidR="00815D14" w:rsidRPr="00C01B3D" w:rsidRDefault="005F7280" w:rsidP="00C01B3D">
      <w:pPr>
        <w:spacing w:line="360" w:lineRule="auto"/>
        <w:ind w:right="-425"/>
        <w:jc w:val="both"/>
        <w:rPr>
          <w:sz w:val="24"/>
          <w:szCs w:val="24"/>
        </w:rPr>
      </w:pPr>
      <w:r w:rsidRPr="00C01B3D">
        <w:rPr>
          <w:sz w:val="24"/>
          <w:szCs w:val="24"/>
        </w:rPr>
        <w:t xml:space="preserve">Before </w:t>
      </w:r>
      <w:r w:rsidR="002132C3" w:rsidRPr="00C01B3D">
        <w:rPr>
          <w:sz w:val="24"/>
          <w:szCs w:val="24"/>
        </w:rPr>
        <w:t>considering</w:t>
      </w:r>
      <w:r w:rsidRPr="00C01B3D">
        <w:rPr>
          <w:sz w:val="24"/>
          <w:szCs w:val="24"/>
        </w:rPr>
        <w:t xml:space="preserve"> the issue of breach, </w:t>
      </w:r>
      <w:r w:rsidR="0083431E" w:rsidRPr="00C01B3D">
        <w:rPr>
          <w:sz w:val="24"/>
          <w:szCs w:val="24"/>
        </w:rPr>
        <w:t xml:space="preserve">I </w:t>
      </w:r>
      <w:r w:rsidRPr="00C01B3D">
        <w:rPr>
          <w:sz w:val="24"/>
          <w:szCs w:val="24"/>
        </w:rPr>
        <w:t xml:space="preserve">will first address the nature of the contract created between </w:t>
      </w:r>
      <w:r w:rsidR="001A6B1F" w:rsidRPr="00C01B3D">
        <w:rPr>
          <w:sz w:val="24"/>
          <w:szCs w:val="24"/>
        </w:rPr>
        <w:t xml:space="preserve">the </w:t>
      </w:r>
      <w:r w:rsidRPr="00C01B3D">
        <w:rPr>
          <w:sz w:val="24"/>
          <w:szCs w:val="24"/>
        </w:rPr>
        <w:t xml:space="preserve">Plaintiff and </w:t>
      </w:r>
      <w:r w:rsidR="001A6B1F" w:rsidRPr="00C01B3D">
        <w:rPr>
          <w:sz w:val="24"/>
          <w:szCs w:val="24"/>
        </w:rPr>
        <w:t xml:space="preserve">the </w:t>
      </w:r>
      <w:r w:rsidRPr="00C01B3D">
        <w:rPr>
          <w:sz w:val="24"/>
          <w:szCs w:val="24"/>
        </w:rPr>
        <w:t>Defendant</w:t>
      </w:r>
      <w:r w:rsidR="0083431E" w:rsidRPr="00C01B3D">
        <w:rPr>
          <w:sz w:val="24"/>
          <w:szCs w:val="24"/>
        </w:rPr>
        <w:t xml:space="preserve"> which I hope will show the</w:t>
      </w:r>
      <w:r w:rsidRPr="00C01B3D">
        <w:rPr>
          <w:sz w:val="24"/>
          <w:szCs w:val="24"/>
        </w:rPr>
        <w:t xml:space="preserve"> nature of the relationship created by the Service</w:t>
      </w:r>
      <w:r w:rsidR="002132C3" w:rsidRPr="00C01B3D">
        <w:rPr>
          <w:sz w:val="24"/>
          <w:szCs w:val="24"/>
        </w:rPr>
        <w:t>s</w:t>
      </w:r>
      <w:r w:rsidRPr="00C01B3D">
        <w:rPr>
          <w:sz w:val="24"/>
          <w:szCs w:val="24"/>
        </w:rPr>
        <w:t xml:space="preserve"> Agreement</w:t>
      </w:r>
      <w:r w:rsidR="00815D14" w:rsidRPr="00C01B3D">
        <w:rPr>
          <w:sz w:val="24"/>
          <w:szCs w:val="24"/>
        </w:rPr>
        <w:t xml:space="preserve"> and the terms to which the parties agreed. </w:t>
      </w:r>
    </w:p>
    <w:p w:rsidR="00815D14" w:rsidRPr="00C01B3D" w:rsidRDefault="00815D14" w:rsidP="00C01B3D">
      <w:pPr>
        <w:spacing w:line="360" w:lineRule="auto"/>
        <w:ind w:right="-425"/>
        <w:jc w:val="both"/>
        <w:rPr>
          <w:sz w:val="24"/>
          <w:szCs w:val="24"/>
        </w:rPr>
      </w:pPr>
    </w:p>
    <w:p w:rsidR="001A6B1F" w:rsidRPr="00C01B3D" w:rsidRDefault="00034E47" w:rsidP="00C01B3D">
      <w:pPr>
        <w:spacing w:line="360" w:lineRule="auto"/>
        <w:ind w:right="-425"/>
        <w:jc w:val="both"/>
        <w:rPr>
          <w:sz w:val="24"/>
          <w:szCs w:val="24"/>
        </w:rPr>
      </w:pPr>
      <w:r w:rsidRPr="00C01B3D">
        <w:rPr>
          <w:sz w:val="24"/>
          <w:szCs w:val="24"/>
        </w:rPr>
        <w:t xml:space="preserve">As stated above, </w:t>
      </w:r>
      <w:r w:rsidR="001A6B1F" w:rsidRPr="00C01B3D">
        <w:rPr>
          <w:sz w:val="24"/>
          <w:szCs w:val="24"/>
        </w:rPr>
        <w:t xml:space="preserve">the </w:t>
      </w:r>
      <w:r w:rsidRPr="00C01B3D">
        <w:rPr>
          <w:sz w:val="24"/>
          <w:szCs w:val="24"/>
        </w:rPr>
        <w:t>Defendant I</w:t>
      </w:r>
      <w:r w:rsidR="005F7280" w:rsidRPr="00C01B3D">
        <w:rPr>
          <w:sz w:val="24"/>
          <w:szCs w:val="24"/>
        </w:rPr>
        <w:t>OM is an international</w:t>
      </w:r>
      <w:r w:rsidR="001A6B1F" w:rsidRPr="00C01B3D">
        <w:rPr>
          <w:sz w:val="24"/>
          <w:szCs w:val="24"/>
        </w:rPr>
        <w:t xml:space="preserve"> </w:t>
      </w:r>
      <w:r w:rsidR="00DF1980" w:rsidRPr="00C01B3D">
        <w:rPr>
          <w:sz w:val="24"/>
          <w:szCs w:val="24"/>
        </w:rPr>
        <w:t>inter</w:t>
      </w:r>
      <w:r w:rsidRPr="00C01B3D">
        <w:rPr>
          <w:sz w:val="24"/>
          <w:szCs w:val="24"/>
        </w:rPr>
        <w:t>governmental organization involved in rehabilitation of youth in Northern Uganda, many of whom were</w:t>
      </w:r>
      <w:r w:rsidR="009F2AA8" w:rsidRPr="00C01B3D">
        <w:rPr>
          <w:sz w:val="24"/>
          <w:szCs w:val="24"/>
        </w:rPr>
        <w:t xml:space="preserve"> former</w:t>
      </w:r>
      <w:r w:rsidRPr="00C01B3D">
        <w:rPr>
          <w:sz w:val="24"/>
          <w:szCs w:val="24"/>
        </w:rPr>
        <w:t xml:space="preserve"> child soldiers in the Lord’s Resistance Army (LRA). </w:t>
      </w:r>
      <w:r w:rsidR="001A6B1F" w:rsidRPr="00C01B3D">
        <w:rPr>
          <w:sz w:val="24"/>
          <w:szCs w:val="24"/>
        </w:rPr>
        <w:t xml:space="preserve">The </w:t>
      </w:r>
      <w:r w:rsidRPr="00C01B3D">
        <w:rPr>
          <w:sz w:val="24"/>
          <w:szCs w:val="24"/>
        </w:rPr>
        <w:t xml:space="preserve">Defendant and </w:t>
      </w:r>
      <w:r w:rsidR="001A6B1F" w:rsidRPr="00C01B3D">
        <w:rPr>
          <w:sz w:val="24"/>
          <w:szCs w:val="24"/>
        </w:rPr>
        <w:t xml:space="preserve">the </w:t>
      </w:r>
      <w:r w:rsidR="0083431E" w:rsidRPr="00C01B3D">
        <w:rPr>
          <w:sz w:val="24"/>
          <w:szCs w:val="24"/>
        </w:rPr>
        <w:t>Plaintiff entered</w:t>
      </w:r>
      <w:r w:rsidRPr="00C01B3D">
        <w:rPr>
          <w:sz w:val="24"/>
          <w:szCs w:val="24"/>
        </w:rPr>
        <w:t xml:space="preserve"> </w:t>
      </w:r>
      <w:r w:rsidR="0083431E" w:rsidRPr="00C01B3D">
        <w:rPr>
          <w:sz w:val="24"/>
          <w:szCs w:val="24"/>
        </w:rPr>
        <w:t>into a Service</w:t>
      </w:r>
      <w:r w:rsidR="002132C3" w:rsidRPr="00C01B3D">
        <w:rPr>
          <w:sz w:val="24"/>
          <w:szCs w:val="24"/>
        </w:rPr>
        <w:t>s</w:t>
      </w:r>
      <w:r w:rsidR="0083431E" w:rsidRPr="00C01B3D">
        <w:rPr>
          <w:sz w:val="24"/>
          <w:szCs w:val="24"/>
        </w:rPr>
        <w:t xml:space="preserve"> Agreement on 22</w:t>
      </w:r>
      <w:r w:rsidR="0083431E" w:rsidRPr="00C01B3D">
        <w:rPr>
          <w:sz w:val="24"/>
          <w:szCs w:val="24"/>
          <w:vertAlign w:val="superscript"/>
        </w:rPr>
        <w:t>nd</w:t>
      </w:r>
      <w:r w:rsidR="0083431E" w:rsidRPr="00C01B3D">
        <w:rPr>
          <w:sz w:val="24"/>
          <w:szCs w:val="24"/>
        </w:rPr>
        <w:t xml:space="preserve"> </w:t>
      </w:r>
      <w:r w:rsidRPr="00C01B3D">
        <w:rPr>
          <w:sz w:val="24"/>
          <w:szCs w:val="24"/>
        </w:rPr>
        <w:t>September 2009, wherei</w:t>
      </w:r>
      <w:r w:rsidR="009F2AA8" w:rsidRPr="00C01B3D">
        <w:rPr>
          <w:sz w:val="24"/>
          <w:szCs w:val="24"/>
        </w:rPr>
        <w:t xml:space="preserve">n </w:t>
      </w:r>
      <w:r w:rsidR="001A6B1F" w:rsidRPr="00C01B3D">
        <w:rPr>
          <w:sz w:val="24"/>
          <w:szCs w:val="24"/>
        </w:rPr>
        <w:t>the preamble stated thus:</w:t>
      </w:r>
    </w:p>
    <w:p w:rsidR="0083431E" w:rsidRPr="00C01B3D" w:rsidRDefault="0083431E" w:rsidP="00C01B3D">
      <w:pPr>
        <w:spacing w:line="360" w:lineRule="auto"/>
        <w:ind w:right="-425"/>
        <w:jc w:val="both"/>
        <w:rPr>
          <w:sz w:val="24"/>
          <w:szCs w:val="24"/>
        </w:rPr>
      </w:pPr>
    </w:p>
    <w:p w:rsidR="001340E3" w:rsidRPr="00C01B3D" w:rsidRDefault="00D75777" w:rsidP="00C01B3D">
      <w:pPr>
        <w:spacing w:line="360" w:lineRule="auto"/>
        <w:ind w:left="720" w:right="843"/>
        <w:jc w:val="both"/>
        <w:rPr>
          <w:i/>
          <w:sz w:val="24"/>
          <w:szCs w:val="24"/>
        </w:rPr>
      </w:pPr>
      <w:r w:rsidRPr="00C01B3D">
        <w:rPr>
          <w:i/>
          <w:sz w:val="24"/>
          <w:szCs w:val="24"/>
        </w:rPr>
        <w:t xml:space="preserve">“This agreement </w:t>
      </w:r>
      <w:r w:rsidR="00A50169" w:rsidRPr="00C01B3D">
        <w:rPr>
          <w:i/>
          <w:sz w:val="24"/>
          <w:szCs w:val="24"/>
        </w:rPr>
        <w:t xml:space="preserve">described the purpose, terms and conditions in respect of the Service Provider, a leading </w:t>
      </w:r>
      <w:r w:rsidR="00034E47" w:rsidRPr="00C01B3D">
        <w:rPr>
          <w:i/>
          <w:sz w:val="24"/>
          <w:szCs w:val="24"/>
        </w:rPr>
        <w:t xml:space="preserve"> bakery an</w:t>
      </w:r>
      <w:r w:rsidR="00A50169" w:rsidRPr="00C01B3D">
        <w:rPr>
          <w:i/>
          <w:sz w:val="24"/>
          <w:szCs w:val="24"/>
        </w:rPr>
        <w:t>d commercial farming enterprise</w:t>
      </w:r>
      <w:r w:rsidR="0083431E" w:rsidRPr="00C01B3D">
        <w:rPr>
          <w:i/>
          <w:sz w:val="24"/>
          <w:szCs w:val="24"/>
        </w:rPr>
        <w:t xml:space="preserve"> </w:t>
      </w:r>
      <w:r w:rsidR="00A50169" w:rsidRPr="00C01B3D">
        <w:rPr>
          <w:i/>
          <w:sz w:val="24"/>
          <w:szCs w:val="24"/>
        </w:rPr>
        <w:t xml:space="preserve">based in the </w:t>
      </w:r>
      <w:proofErr w:type="spellStart"/>
      <w:r w:rsidR="00A50169" w:rsidRPr="00C01B3D">
        <w:rPr>
          <w:i/>
          <w:sz w:val="24"/>
          <w:szCs w:val="24"/>
        </w:rPr>
        <w:t>Acholi</w:t>
      </w:r>
      <w:proofErr w:type="spellEnd"/>
      <w:r w:rsidR="00A50169" w:rsidRPr="00C01B3D">
        <w:rPr>
          <w:i/>
          <w:sz w:val="24"/>
          <w:szCs w:val="24"/>
        </w:rPr>
        <w:t xml:space="preserve"> sub-region in Northern Uganda to take </w:t>
      </w:r>
      <w:r w:rsidR="00034E47" w:rsidRPr="00C01B3D">
        <w:rPr>
          <w:i/>
          <w:sz w:val="24"/>
          <w:szCs w:val="24"/>
        </w:rPr>
        <w:t xml:space="preserve">fifty (50) vulnerable youth on referral from the International </w:t>
      </w:r>
      <w:proofErr w:type="spellStart"/>
      <w:r w:rsidR="00034E47" w:rsidRPr="00C01B3D">
        <w:rPr>
          <w:i/>
          <w:sz w:val="24"/>
          <w:szCs w:val="24"/>
        </w:rPr>
        <w:t>Organisation</w:t>
      </w:r>
      <w:proofErr w:type="spellEnd"/>
      <w:r w:rsidR="00034E47" w:rsidRPr="00C01B3D">
        <w:rPr>
          <w:i/>
          <w:sz w:val="24"/>
          <w:szCs w:val="24"/>
        </w:rPr>
        <w:t xml:space="preserve"> for Migration initially for six (6) months and a further one hundred (100) vulnerable youth in the long term. This partnership will provide skills and jobs to vulnerable youth that may otherwise be inclined to violence, conflict, and criminality in part caused by a lack of other appealing socio-economic opportunities.”</w:t>
      </w:r>
    </w:p>
    <w:p w:rsidR="00AB6E34" w:rsidRPr="00C01B3D" w:rsidRDefault="00AB6E34" w:rsidP="00C01B3D">
      <w:pPr>
        <w:spacing w:line="360" w:lineRule="auto"/>
        <w:ind w:left="720" w:right="843"/>
        <w:jc w:val="both"/>
        <w:rPr>
          <w:i/>
          <w:sz w:val="24"/>
          <w:szCs w:val="24"/>
        </w:rPr>
      </w:pPr>
    </w:p>
    <w:p w:rsidR="009062E9" w:rsidRPr="00C01B3D" w:rsidRDefault="0083431E" w:rsidP="00C01B3D">
      <w:pPr>
        <w:spacing w:line="360" w:lineRule="auto"/>
        <w:ind w:right="-425"/>
        <w:jc w:val="both"/>
        <w:rPr>
          <w:sz w:val="24"/>
          <w:szCs w:val="24"/>
        </w:rPr>
      </w:pPr>
      <w:r w:rsidRPr="00C01B3D">
        <w:rPr>
          <w:sz w:val="24"/>
          <w:szCs w:val="24"/>
        </w:rPr>
        <w:t>In a nutshell, t</w:t>
      </w:r>
      <w:r w:rsidR="00034E47" w:rsidRPr="00C01B3D">
        <w:rPr>
          <w:sz w:val="24"/>
          <w:szCs w:val="24"/>
        </w:rPr>
        <w:t>he Plaintiff agreed to provide accommodation, feeding, hand tools, a ten (10) ton truck for market produce distribution, and salaried employment</w:t>
      </w:r>
      <w:r w:rsidR="00A42434" w:rsidRPr="00C01B3D">
        <w:rPr>
          <w:sz w:val="24"/>
          <w:szCs w:val="24"/>
        </w:rPr>
        <w:t xml:space="preserve"> for </w:t>
      </w:r>
      <w:r w:rsidR="00034E47" w:rsidRPr="00C01B3D">
        <w:rPr>
          <w:sz w:val="24"/>
          <w:szCs w:val="24"/>
        </w:rPr>
        <w:t xml:space="preserve">the fifty </w:t>
      </w:r>
      <w:r w:rsidRPr="00C01B3D">
        <w:rPr>
          <w:sz w:val="24"/>
          <w:szCs w:val="24"/>
        </w:rPr>
        <w:t>clients of the Defendant</w:t>
      </w:r>
      <w:r w:rsidR="00034E47" w:rsidRPr="00C01B3D">
        <w:rPr>
          <w:sz w:val="24"/>
          <w:szCs w:val="24"/>
        </w:rPr>
        <w:t xml:space="preserve"> for the first six months, with possibility for long-term employment and ad</w:t>
      </w:r>
      <w:r w:rsidR="00BE3CC2" w:rsidRPr="00C01B3D">
        <w:rPr>
          <w:sz w:val="24"/>
          <w:szCs w:val="24"/>
        </w:rPr>
        <w:t xml:space="preserve">ditional recruitment of </w:t>
      </w:r>
      <w:r w:rsidRPr="00C01B3D">
        <w:rPr>
          <w:sz w:val="24"/>
          <w:szCs w:val="24"/>
        </w:rPr>
        <w:t xml:space="preserve">a hundred </w:t>
      </w:r>
      <w:r w:rsidR="00BE3CC2" w:rsidRPr="00C01B3D">
        <w:rPr>
          <w:sz w:val="24"/>
          <w:szCs w:val="24"/>
        </w:rPr>
        <w:t>more vulnerable youth</w:t>
      </w:r>
      <w:r w:rsidR="00034E47" w:rsidRPr="00C01B3D">
        <w:rPr>
          <w:sz w:val="24"/>
          <w:szCs w:val="24"/>
        </w:rPr>
        <w:t>.</w:t>
      </w:r>
      <w:r w:rsidR="009F2AA8" w:rsidRPr="00C01B3D">
        <w:rPr>
          <w:sz w:val="24"/>
          <w:szCs w:val="24"/>
        </w:rPr>
        <w:t xml:space="preserve"> </w:t>
      </w:r>
      <w:r w:rsidR="00FB1614" w:rsidRPr="00C01B3D">
        <w:rPr>
          <w:sz w:val="24"/>
          <w:szCs w:val="24"/>
        </w:rPr>
        <w:t>Under Annex I being the scope of work, t</w:t>
      </w:r>
      <w:r w:rsidR="00A42434" w:rsidRPr="00C01B3D">
        <w:rPr>
          <w:sz w:val="24"/>
          <w:szCs w:val="24"/>
        </w:rPr>
        <w:t xml:space="preserve">he </w:t>
      </w:r>
      <w:r w:rsidR="009F2AA8" w:rsidRPr="00C01B3D">
        <w:rPr>
          <w:sz w:val="24"/>
          <w:szCs w:val="24"/>
        </w:rPr>
        <w:t xml:space="preserve">Plaintiff </w:t>
      </w:r>
      <w:r w:rsidR="00A42434" w:rsidRPr="00C01B3D">
        <w:rPr>
          <w:sz w:val="24"/>
          <w:szCs w:val="24"/>
        </w:rPr>
        <w:t xml:space="preserve">also </w:t>
      </w:r>
      <w:r w:rsidR="009F2AA8" w:rsidRPr="00C01B3D">
        <w:rPr>
          <w:sz w:val="24"/>
          <w:szCs w:val="24"/>
        </w:rPr>
        <w:t xml:space="preserve">agreed </w:t>
      </w:r>
      <w:r w:rsidR="00FB1614" w:rsidRPr="00C01B3D">
        <w:rPr>
          <w:sz w:val="24"/>
          <w:szCs w:val="24"/>
        </w:rPr>
        <w:t xml:space="preserve">to contribute to the partnership the following; </w:t>
      </w:r>
      <w:r w:rsidR="00BE3CC2" w:rsidRPr="00C01B3D">
        <w:rPr>
          <w:sz w:val="24"/>
          <w:szCs w:val="24"/>
        </w:rPr>
        <w:t>700 acres of agricultural land</w:t>
      </w:r>
      <w:r w:rsidR="009F2AA8" w:rsidRPr="00C01B3D">
        <w:rPr>
          <w:sz w:val="24"/>
          <w:szCs w:val="24"/>
        </w:rPr>
        <w:t xml:space="preserve"> and farming equipment to employ </w:t>
      </w:r>
      <w:r w:rsidR="00BE3CC2" w:rsidRPr="00C01B3D">
        <w:rPr>
          <w:sz w:val="24"/>
          <w:szCs w:val="24"/>
        </w:rPr>
        <w:t xml:space="preserve">40 </w:t>
      </w:r>
      <w:r w:rsidR="00FB1614" w:rsidRPr="00C01B3D">
        <w:rPr>
          <w:sz w:val="24"/>
          <w:szCs w:val="24"/>
        </w:rPr>
        <w:t>ex-combatants</w:t>
      </w:r>
      <w:r w:rsidR="009F2AA8" w:rsidRPr="00C01B3D">
        <w:rPr>
          <w:sz w:val="24"/>
          <w:szCs w:val="24"/>
        </w:rPr>
        <w:t xml:space="preserve">; a fully fledged operational and established bakery with state of the art equipment to employ 10 reporters; </w:t>
      </w:r>
      <w:r w:rsidR="000A71AE" w:rsidRPr="00C01B3D">
        <w:rPr>
          <w:sz w:val="24"/>
          <w:szCs w:val="24"/>
        </w:rPr>
        <w:t xml:space="preserve">and </w:t>
      </w:r>
      <w:r w:rsidR="009F2AA8" w:rsidRPr="00C01B3D">
        <w:rPr>
          <w:sz w:val="24"/>
          <w:szCs w:val="24"/>
        </w:rPr>
        <w:t xml:space="preserve">USD $3,400 </w:t>
      </w:r>
      <w:r w:rsidR="00FB1614" w:rsidRPr="00C01B3D">
        <w:rPr>
          <w:sz w:val="24"/>
          <w:szCs w:val="24"/>
        </w:rPr>
        <w:t xml:space="preserve">or approximately UGX 7,004,000/= </w:t>
      </w:r>
      <w:r w:rsidR="009F2AA8" w:rsidRPr="00C01B3D">
        <w:rPr>
          <w:sz w:val="24"/>
          <w:szCs w:val="24"/>
        </w:rPr>
        <w:t>co</w:t>
      </w:r>
      <w:r w:rsidR="00BE3CC2" w:rsidRPr="00C01B3D">
        <w:rPr>
          <w:sz w:val="24"/>
          <w:szCs w:val="24"/>
        </w:rPr>
        <w:t xml:space="preserve">ntribution to procurement of a </w:t>
      </w:r>
      <w:r w:rsidR="002132C3" w:rsidRPr="00C01B3D">
        <w:rPr>
          <w:sz w:val="24"/>
          <w:szCs w:val="24"/>
        </w:rPr>
        <w:t>delivery truck</w:t>
      </w:r>
      <w:r w:rsidR="009F2AA8" w:rsidRPr="00C01B3D">
        <w:rPr>
          <w:sz w:val="24"/>
          <w:szCs w:val="24"/>
        </w:rPr>
        <w:t>.</w:t>
      </w:r>
    </w:p>
    <w:p w:rsidR="009062E9" w:rsidRPr="00C01B3D" w:rsidRDefault="009062E9" w:rsidP="00C01B3D">
      <w:pPr>
        <w:spacing w:line="360" w:lineRule="auto"/>
        <w:ind w:right="-425"/>
        <w:jc w:val="both"/>
        <w:rPr>
          <w:sz w:val="24"/>
          <w:szCs w:val="24"/>
        </w:rPr>
      </w:pPr>
    </w:p>
    <w:p w:rsidR="00FB1614" w:rsidRPr="00C01B3D" w:rsidRDefault="009F2AA8" w:rsidP="00C01B3D">
      <w:pPr>
        <w:spacing w:line="360" w:lineRule="auto"/>
        <w:ind w:right="-425"/>
        <w:jc w:val="both"/>
        <w:rPr>
          <w:sz w:val="24"/>
          <w:szCs w:val="24"/>
        </w:rPr>
      </w:pPr>
      <w:r w:rsidRPr="00C01B3D">
        <w:rPr>
          <w:sz w:val="24"/>
          <w:szCs w:val="24"/>
        </w:rPr>
        <w:t>In exchange for the housing</w:t>
      </w:r>
      <w:r w:rsidR="008C0E4D" w:rsidRPr="00C01B3D">
        <w:rPr>
          <w:sz w:val="24"/>
          <w:szCs w:val="24"/>
        </w:rPr>
        <w:t xml:space="preserve">, </w:t>
      </w:r>
      <w:r w:rsidR="0083431E" w:rsidRPr="00C01B3D">
        <w:rPr>
          <w:sz w:val="24"/>
          <w:szCs w:val="24"/>
        </w:rPr>
        <w:t xml:space="preserve">feeding, </w:t>
      </w:r>
      <w:r w:rsidR="000A71AE" w:rsidRPr="00C01B3D">
        <w:rPr>
          <w:sz w:val="24"/>
          <w:szCs w:val="24"/>
        </w:rPr>
        <w:t xml:space="preserve">job </w:t>
      </w:r>
      <w:r w:rsidR="008C0E4D" w:rsidRPr="00C01B3D">
        <w:rPr>
          <w:sz w:val="24"/>
          <w:szCs w:val="24"/>
        </w:rPr>
        <w:t>training, and</w:t>
      </w:r>
      <w:r w:rsidRPr="00C01B3D">
        <w:rPr>
          <w:sz w:val="24"/>
          <w:szCs w:val="24"/>
        </w:rPr>
        <w:t xml:space="preserve"> employment of the youth, </w:t>
      </w:r>
      <w:r w:rsidR="00FB1614" w:rsidRPr="00C01B3D">
        <w:rPr>
          <w:sz w:val="24"/>
          <w:szCs w:val="24"/>
        </w:rPr>
        <w:t xml:space="preserve">the </w:t>
      </w:r>
      <w:r w:rsidRPr="00C01B3D">
        <w:rPr>
          <w:sz w:val="24"/>
          <w:szCs w:val="24"/>
        </w:rPr>
        <w:t xml:space="preserve">Defendant agreed to provide up to but not exceeding $30,000 USD in-kind contributions or cash contributions on a needs basis, subject to the service provider’s progress in implementation. </w:t>
      </w:r>
      <w:r w:rsidR="005622BE" w:rsidRPr="00C01B3D">
        <w:rPr>
          <w:sz w:val="24"/>
          <w:szCs w:val="24"/>
        </w:rPr>
        <w:t>The in-kind contribution is detailed in “Annex II: Budget” of the Service Agreement. The Defendant purchased four items totaling $30,000, with the provision that the Plaintiff paid the remaining b</w:t>
      </w:r>
      <w:r w:rsidR="002132C3" w:rsidRPr="00C01B3D">
        <w:rPr>
          <w:sz w:val="24"/>
          <w:szCs w:val="24"/>
        </w:rPr>
        <w:t>alance of $3,400 on the Canter Two</w:t>
      </w:r>
      <w:r w:rsidR="005622BE" w:rsidRPr="00C01B3D">
        <w:rPr>
          <w:sz w:val="24"/>
          <w:szCs w:val="24"/>
        </w:rPr>
        <w:t xml:space="preserve"> </w:t>
      </w:r>
      <w:proofErr w:type="spellStart"/>
      <w:r w:rsidR="005622BE" w:rsidRPr="00C01B3D">
        <w:rPr>
          <w:sz w:val="24"/>
          <w:szCs w:val="24"/>
        </w:rPr>
        <w:t>Tonne</w:t>
      </w:r>
      <w:proofErr w:type="spellEnd"/>
      <w:r w:rsidR="005622BE" w:rsidRPr="00C01B3D">
        <w:rPr>
          <w:sz w:val="24"/>
          <w:szCs w:val="24"/>
        </w:rPr>
        <w:t xml:space="preserve"> Truck. The total cost of the four items was therefore $33,400. The three items lis</w:t>
      </w:r>
      <w:r w:rsidR="009062E9" w:rsidRPr="00C01B3D">
        <w:rPr>
          <w:sz w:val="24"/>
          <w:szCs w:val="24"/>
        </w:rPr>
        <w:t>ted as “Farm Equipment” were a</w:t>
      </w:r>
      <w:r w:rsidR="005622BE" w:rsidRPr="00C01B3D">
        <w:rPr>
          <w:sz w:val="24"/>
          <w:szCs w:val="24"/>
        </w:rPr>
        <w:t xml:space="preserve"> 6 in 1 Peanut Butter Making Machine, a Vegetable Oil Extractor Machine, and a Peanut Sheller. The</w:t>
      </w:r>
      <w:r w:rsidR="002132C3" w:rsidRPr="00C01B3D">
        <w:rPr>
          <w:sz w:val="24"/>
          <w:szCs w:val="24"/>
        </w:rPr>
        <w:t xml:space="preserve"> Bakery Equipment was a Canter Two</w:t>
      </w:r>
      <w:r w:rsidR="005622BE" w:rsidRPr="00C01B3D">
        <w:rPr>
          <w:sz w:val="24"/>
          <w:szCs w:val="24"/>
        </w:rPr>
        <w:t xml:space="preserve"> </w:t>
      </w:r>
      <w:proofErr w:type="spellStart"/>
      <w:r w:rsidR="005622BE" w:rsidRPr="00C01B3D">
        <w:rPr>
          <w:sz w:val="24"/>
          <w:szCs w:val="24"/>
        </w:rPr>
        <w:t>Tonne</w:t>
      </w:r>
      <w:proofErr w:type="spellEnd"/>
      <w:r w:rsidR="005622BE" w:rsidRPr="00C01B3D">
        <w:rPr>
          <w:sz w:val="24"/>
          <w:szCs w:val="24"/>
        </w:rPr>
        <w:t xml:space="preserve"> Truck 1995 Model</w:t>
      </w:r>
      <w:r w:rsidR="00BE3CC2" w:rsidRPr="00C01B3D">
        <w:rPr>
          <w:sz w:val="24"/>
          <w:szCs w:val="24"/>
        </w:rPr>
        <w:t xml:space="preserve"> to be used for deliveries</w:t>
      </w:r>
      <w:r w:rsidR="005622BE" w:rsidRPr="00C01B3D">
        <w:rPr>
          <w:sz w:val="24"/>
          <w:szCs w:val="24"/>
        </w:rPr>
        <w:t xml:space="preserve">. </w:t>
      </w:r>
    </w:p>
    <w:p w:rsidR="00FB1614" w:rsidRPr="00C01B3D" w:rsidRDefault="00FB1614" w:rsidP="00C01B3D">
      <w:pPr>
        <w:spacing w:line="360" w:lineRule="auto"/>
        <w:ind w:right="-425"/>
        <w:jc w:val="both"/>
        <w:rPr>
          <w:sz w:val="24"/>
          <w:szCs w:val="24"/>
        </w:rPr>
      </w:pPr>
    </w:p>
    <w:p w:rsidR="009541CA" w:rsidRPr="00C01B3D" w:rsidRDefault="009062E9" w:rsidP="00C01B3D">
      <w:pPr>
        <w:spacing w:line="360" w:lineRule="auto"/>
        <w:ind w:right="-425"/>
        <w:jc w:val="both"/>
        <w:rPr>
          <w:sz w:val="24"/>
          <w:szCs w:val="24"/>
        </w:rPr>
      </w:pPr>
      <w:r w:rsidRPr="00C01B3D">
        <w:rPr>
          <w:sz w:val="24"/>
          <w:szCs w:val="24"/>
        </w:rPr>
        <w:lastRenderedPageBreak/>
        <w:t>According to the Service</w:t>
      </w:r>
      <w:r w:rsidR="002132C3" w:rsidRPr="00C01B3D">
        <w:rPr>
          <w:sz w:val="24"/>
          <w:szCs w:val="24"/>
        </w:rPr>
        <w:t>s</w:t>
      </w:r>
      <w:r w:rsidRPr="00C01B3D">
        <w:rPr>
          <w:sz w:val="24"/>
          <w:szCs w:val="24"/>
        </w:rPr>
        <w:t xml:space="preserve"> Agreement, this equipment was subject to be return</w:t>
      </w:r>
      <w:r w:rsidR="000A71AE" w:rsidRPr="00C01B3D">
        <w:rPr>
          <w:sz w:val="24"/>
          <w:szCs w:val="24"/>
        </w:rPr>
        <w:t>ed</w:t>
      </w:r>
      <w:r w:rsidRPr="00C01B3D">
        <w:rPr>
          <w:sz w:val="24"/>
          <w:szCs w:val="24"/>
        </w:rPr>
        <w:t xml:space="preserve"> to IOM at any time. </w:t>
      </w:r>
      <w:r w:rsidR="0083431E" w:rsidRPr="00C01B3D">
        <w:rPr>
          <w:sz w:val="24"/>
          <w:szCs w:val="24"/>
        </w:rPr>
        <w:t>It was provided u</w:t>
      </w:r>
      <w:r w:rsidR="000A71AE" w:rsidRPr="00C01B3D">
        <w:rPr>
          <w:sz w:val="24"/>
          <w:szCs w:val="24"/>
        </w:rPr>
        <w:t xml:space="preserve">nder </w:t>
      </w:r>
      <w:r w:rsidR="00567F3A" w:rsidRPr="00C01B3D">
        <w:rPr>
          <w:sz w:val="24"/>
          <w:szCs w:val="24"/>
        </w:rPr>
        <w:t>article</w:t>
      </w:r>
      <w:r w:rsidR="0083431E" w:rsidRPr="00C01B3D">
        <w:rPr>
          <w:sz w:val="24"/>
          <w:szCs w:val="24"/>
        </w:rPr>
        <w:t xml:space="preserve"> </w:t>
      </w:r>
      <w:r w:rsidRPr="00C01B3D">
        <w:rPr>
          <w:sz w:val="24"/>
          <w:szCs w:val="24"/>
        </w:rPr>
        <w:t>9.1</w:t>
      </w:r>
      <w:r w:rsidR="0083431E" w:rsidRPr="00C01B3D">
        <w:rPr>
          <w:sz w:val="24"/>
          <w:szCs w:val="24"/>
        </w:rPr>
        <w:t>;</w:t>
      </w:r>
      <w:r w:rsidRPr="00C01B3D">
        <w:rPr>
          <w:sz w:val="24"/>
          <w:szCs w:val="24"/>
        </w:rPr>
        <w:t xml:space="preserve"> “IOM may request the return at any time, in whole or in part any funds, equipments, and/or tools that are provided directly by IOM or procured using IOM funds.” The agreement also stated in </w:t>
      </w:r>
      <w:r w:rsidR="00567F3A" w:rsidRPr="00C01B3D">
        <w:rPr>
          <w:sz w:val="24"/>
          <w:szCs w:val="24"/>
        </w:rPr>
        <w:t>article</w:t>
      </w:r>
      <w:r w:rsidR="0083431E" w:rsidRPr="00C01B3D">
        <w:rPr>
          <w:sz w:val="24"/>
          <w:szCs w:val="24"/>
        </w:rPr>
        <w:t xml:space="preserve"> </w:t>
      </w:r>
      <w:r w:rsidRPr="00C01B3D">
        <w:rPr>
          <w:sz w:val="24"/>
          <w:szCs w:val="24"/>
        </w:rPr>
        <w:t>6.2</w:t>
      </w:r>
      <w:r w:rsidR="000A71AE" w:rsidRPr="00C01B3D">
        <w:rPr>
          <w:sz w:val="24"/>
          <w:szCs w:val="24"/>
        </w:rPr>
        <w:t>:</w:t>
      </w:r>
      <w:r w:rsidRPr="00C01B3D">
        <w:rPr>
          <w:sz w:val="24"/>
          <w:szCs w:val="24"/>
        </w:rPr>
        <w:t xml:space="preserve"> “On expiration of the agreement equipment and materials provided by IOM or procured with IOM funding may be transferred to the service provider on IOM’s written agreement, failing which all equipment and materials shall be returned to IOM by the Service Provider.”</w:t>
      </w:r>
      <w:r w:rsidR="00FB1614" w:rsidRPr="00C01B3D">
        <w:rPr>
          <w:sz w:val="24"/>
          <w:szCs w:val="24"/>
        </w:rPr>
        <w:t xml:space="preserve"> </w:t>
      </w:r>
      <w:r w:rsidRPr="00C01B3D">
        <w:rPr>
          <w:sz w:val="24"/>
          <w:szCs w:val="24"/>
        </w:rPr>
        <w:t xml:space="preserve">The agreement </w:t>
      </w:r>
      <w:r w:rsidR="009F2AA8" w:rsidRPr="00C01B3D">
        <w:rPr>
          <w:sz w:val="24"/>
          <w:szCs w:val="24"/>
        </w:rPr>
        <w:t xml:space="preserve">was signed and </w:t>
      </w:r>
      <w:r w:rsidR="00FB1614" w:rsidRPr="00C01B3D">
        <w:rPr>
          <w:sz w:val="24"/>
          <w:szCs w:val="24"/>
        </w:rPr>
        <w:t>commenced on</w:t>
      </w:r>
      <w:r w:rsidRPr="00C01B3D">
        <w:rPr>
          <w:sz w:val="24"/>
          <w:szCs w:val="24"/>
        </w:rPr>
        <w:t xml:space="preserve"> 22 September 2009</w:t>
      </w:r>
      <w:r w:rsidR="009541CA" w:rsidRPr="00C01B3D">
        <w:rPr>
          <w:sz w:val="24"/>
          <w:szCs w:val="24"/>
        </w:rPr>
        <w:t xml:space="preserve">. </w:t>
      </w:r>
    </w:p>
    <w:p w:rsidR="009541CA" w:rsidRPr="00C01B3D" w:rsidRDefault="009541CA" w:rsidP="00C01B3D">
      <w:pPr>
        <w:spacing w:line="360" w:lineRule="auto"/>
        <w:ind w:right="-425"/>
        <w:jc w:val="both"/>
        <w:rPr>
          <w:sz w:val="24"/>
          <w:szCs w:val="24"/>
        </w:rPr>
      </w:pPr>
    </w:p>
    <w:p w:rsidR="009541CA" w:rsidRPr="00C01B3D" w:rsidRDefault="009541CA" w:rsidP="00C01B3D">
      <w:pPr>
        <w:spacing w:line="360" w:lineRule="auto"/>
        <w:ind w:right="-425"/>
        <w:jc w:val="both"/>
        <w:rPr>
          <w:sz w:val="24"/>
          <w:szCs w:val="24"/>
        </w:rPr>
      </w:pPr>
      <w:r w:rsidRPr="00C01B3D">
        <w:rPr>
          <w:sz w:val="24"/>
          <w:szCs w:val="24"/>
        </w:rPr>
        <w:t>There are</w:t>
      </w:r>
      <w:r w:rsidR="000A71AE" w:rsidRPr="00C01B3D">
        <w:rPr>
          <w:sz w:val="24"/>
          <w:szCs w:val="24"/>
        </w:rPr>
        <w:t xml:space="preserve"> two ambiguities raised by the language of the Service</w:t>
      </w:r>
      <w:r w:rsidR="002132C3" w:rsidRPr="00C01B3D">
        <w:rPr>
          <w:sz w:val="24"/>
          <w:szCs w:val="24"/>
        </w:rPr>
        <w:t>s</w:t>
      </w:r>
      <w:r w:rsidR="000A71AE" w:rsidRPr="00C01B3D">
        <w:rPr>
          <w:sz w:val="24"/>
          <w:szCs w:val="24"/>
        </w:rPr>
        <w:t xml:space="preserve"> A</w:t>
      </w:r>
      <w:r w:rsidRPr="00C01B3D">
        <w:rPr>
          <w:sz w:val="24"/>
          <w:szCs w:val="24"/>
        </w:rPr>
        <w:t>greement</w:t>
      </w:r>
      <w:r w:rsidR="000A71AE" w:rsidRPr="00C01B3D">
        <w:rPr>
          <w:sz w:val="24"/>
          <w:szCs w:val="24"/>
        </w:rPr>
        <w:t xml:space="preserve"> and the parties’ actions</w:t>
      </w:r>
      <w:r w:rsidRPr="00C01B3D">
        <w:rPr>
          <w:sz w:val="24"/>
          <w:szCs w:val="24"/>
        </w:rPr>
        <w:t xml:space="preserve">. The first is the nature of the relationship created between </w:t>
      </w:r>
      <w:r w:rsidR="00FB1614" w:rsidRPr="00C01B3D">
        <w:rPr>
          <w:sz w:val="24"/>
          <w:szCs w:val="24"/>
        </w:rPr>
        <w:t xml:space="preserve">the </w:t>
      </w:r>
      <w:r w:rsidRPr="00C01B3D">
        <w:rPr>
          <w:sz w:val="24"/>
          <w:szCs w:val="24"/>
        </w:rPr>
        <w:t xml:space="preserve">Defendant and </w:t>
      </w:r>
      <w:r w:rsidR="00FB1614" w:rsidRPr="00C01B3D">
        <w:rPr>
          <w:sz w:val="24"/>
          <w:szCs w:val="24"/>
        </w:rPr>
        <w:t xml:space="preserve">the </w:t>
      </w:r>
      <w:r w:rsidRPr="00C01B3D">
        <w:rPr>
          <w:sz w:val="24"/>
          <w:szCs w:val="24"/>
        </w:rPr>
        <w:t>Plaintiff. The second is the time period of the agreement</w:t>
      </w:r>
      <w:r w:rsidR="00BE3CC2" w:rsidRPr="00C01B3D">
        <w:rPr>
          <w:sz w:val="24"/>
          <w:szCs w:val="24"/>
        </w:rPr>
        <w:t xml:space="preserve"> consented</w:t>
      </w:r>
      <w:r w:rsidRPr="00C01B3D">
        <w:rPr>
          <w:sz w:val="24"/>
          <w:szCs w:val="24"/>
        </w:rPr>
        <w:t xml:space="preserve"> to by the parties, both initially and as the project progressed. </w:t>
      </w:r>
    </w:p>
    <w:p w:rsidR="009541CA" w:rsidRPr="00C01B3D" w:rsidRDefault="009541CA" w:rsidP="00C01B3D">
      <w:pPr>
        <w:spacing w:line="360" w:lineRule="auto"/>
        <w:ind w:right="-425"/>
        <w:jc w:val="both"/>
        <w:rPr>
          <w:sz w:val="24"/>
          <w:szCs w:val="24"/>
        </w:rPr>
      </w:pPr>
    </w:p>
    <w:p w:rsidR="00FB1614" w:rsidRPr="00C01B3D" w:rsidRDefault="009541CA" w:rsidP="00C01B3D">
      <w:pPr>
        <w:spacing w:line="360" w:lineRule="auto"/>
        <w:ind w:right="-425"/>
        <w:jc w:val="both"/>
        <w:rPr>
          <w:sz w:val="24"/>
          <w:szCs w:val="24"/>
        </w:rPr>
      </w:pPr>
      <w:proofErr w:type="gramStart"/>
      <w:r w:rsidRPr="00C01B3D">
        <w:rPr>
          <w:sz w:val="24"/>
          <w:szCs w:val="24"/>
        </w:rPr>
        <w:t>Regarding the nature of the relationship, while the Service</w:t>
      </w:r>
      <w:r w:rsidR="002132C3" w:rsidRPr="00C01B3D">
        <w:rPr>
          <w:sz w:val="24"/>
          <w:szCs w:val="24"/>
        </w:rPr>
        <w:t>s</w:t>
      </w:r>
      <w:r w:rsidRPr="00C01B3D">
        <w:rPr>
          <w:sz w:val="24"/>
          <w:szCs w:val="24"/>
        </w:rPr>
        <w:t xml:space="preserve"> Agreement repeatedly refers to the relationship between the Plaintiff</w:t>
      </w:r>
      <w:r w:rsidR="002132C3" w:rsidRPr="00C01B3D">
        <w:rPr>
          <w:sz w:val="24"/>
          <w:szCs w:val="24"/>
        </w:rPr>
        <w:t xml:space="preserve"> (</w:t>
      </w:r>
      <w:r w:rsidRPr="00C01B3D">
        <w:rPr>
          <w:sz w:val="24"/>
          <w:szCs w:val="24"/>
        </w:rPr>
        <w:t>Service Provider</w:t>
      </w:r>
      <w:r w:rsidR="002132C3" w:rsidRPr="00C01B3D">
        <w:rPr>
          <w:sz w:val="24"/>
          <w:szCs w:val="24"/>
        </w:rPr>
        <w:t>)</w:t>
      </w:r>
      <w:r w:rsidRPr="00C01B3D">
        <w:rPr>
          <w:sz w:val="24"/>
          <w:szCs w:val="24"/>
        </w:rPr>
        <w:t xml:space="preserve"> and Defendant </w:t>
      </w:r>
      <w:r w:rsidR="002132C3" w:rsidRPr="00C01B3D">
        <w:rPr>
          <w:sz w:val="24"/>
          <w:szCs w:val="24"/>
        </w:rPr>
        <w:t>(</w:t>
      </w:r>
      <w:r w:rsidRPr="00C01B3D">
        <w:rPr>
          <w:sz w:val="24"/>
          <w:szCs w:val="24"/>
        </w:rPr>
        <w:t>IOM</w:t>
      </w:r>
      <w:r w:rsidR="002132C3" w:rsidRPr="00C01B3D">
        <w:rPr>
          <w:sz w:val="24"/>
          <w:szCs w:val="24"/>
        </w:rPr>
        <w:t>)</w:t>
      </w:r>
      <w:r w:rsidRPr="00C01B3D">
        <w:rPr>
          <w:sz w:val="24"/>
          <w:szCs w:val="24"/>
        </w:rPr>
        <w:t xml:space="preserve"> as a “partnership</w:t>
      </w:r>
      <w:r w:rsidR="002132C3" w:rsidRPr="00C01B3D">
        <w:rPr>
          <w:sz w:val="24"/>
          <w:szCs w:val="24"/>
        </w:rPr>
        <w:t>”,</w:t>
      </w:r>
      <w:r w:rsidRPr="00C01B3D">
        <w:rPr>
          <w:sz w:val="24"/>
          <w:szCs w:val="24"/>
        </w:rPr>
        <w:t xml:space="preserve"> in </w:t>
      </w:r>
      <w:r w:rsidR="000A71AE" w:rsidRPr="00C01B3D">
        <w:rPr>
          <w:sz w:val="24"/>
          <w:szCs w:val="24"/>
        </w:rPr>
        <w:t>“</w:t>
      </w:r>
      <w:r w:rsidRPr="00C01B3D">
        <w:rPr>
          <w:i/>
          <w:sz w:val="24"/>
          <w:szCs w:val="24"/>
        </w:rPr>
        <w:t>Arti</w:t>
      </w:r>
      <w:r w:rsidR="00BE3CC2" w:rsidRPr="00C01B3D">
        <w:rPr>
          <w:i/>
          <w:sz w:val="24"/>
          <w:szCs w:val="24"/>
        </w:rPr>
        <w:t>cle 12.</w:t>
      </w:r>
      <w:proofErr w:type="gramEnd"/>
      <w:r w:rsidR="00BE3CC2" w:rsidRPr="00C01B3D">
        <w:rPr>
          <w:i/>
          <w:sz w:val="24"/>
          <w:szCs w:val="24"/>
        </w:rPr>
        <w:t xml:space="preserve"> Independent Contractor</w:t>
      </w:r>
      <w:r w:rsidR="000A71AE" w:rsidRPr="00C01B3D">
        <w:rPr>
          <w:sz w:val="24"/>
          <w:szCs w:val="24"/>
        </w:rPr>
        <w:t>” the Agreement states that</w:t>
      </w:r>
      <w:r w:rsidR="0083431E" w:rsidRPr="00C01B3D">
        <w:rPr>
          <w:sz w:val="24"/>
          <w:szCs w:val="24"/>
        </w:rPr>
        <w:t>,</w:t>
      </w:r>
      <w:r w:rsidR="002132C3" w:rsidRPr="00C01B3D">
        <w:rPr>
          <w:sz w:val="24"/>
          <w:szCs w:val="24"/>
        </w:rPr>
        <w:t xml:space="preserve"> </w:t>
      </w:r>
      <w:r w:rsidRPr="00C01B3D">
        <w:rPr>
          <w:sz w:val="24"/>
          <w:szCs w:val="24"/>
        </w:rPr>
        <w:t xml:space="preserve">“The Service Provider shall perform all Services under this Agreement as an independent contractor and not as an employee, </w:t>
      </w:r>
      <w:r w:rsidRPr="00C01B3D">
        <w:rPr>
          <w:b/>
          <w:i/>
          <w:sz w:val="24"/>
          <w:szCs w:val="24"/>
        </w:rPr>
        <w:t>partner</w:t>
      </w:r>
      <w:r w:rsidRPr="00C01B3D">
        <w:rPr>
          <w:sz w:val="24"/>
          <w:szCs w:val="24"/>
        </w:rPr>
        <w:t xml:space="preserve">, or agent of IOM.” I find that despite </w:t>
      </w:r>
      <w:r w:rsidR="00512C8B" w:rsidRPr="00C01B3D">
        <w:rPr>
          <w:sz w:val="24"/>
          <w:szCs w:val="24"/>
        </w:rPr>
        <w:t xml:space="preserve">several </w:t>
      </w:r>
      <w:r w:rsidRPr="00C01B3D">
        <w:rPr>
          <w:sz w:val="24"/>
          <w:szCs w:val="24"/>
        </w:rPr>
        <w:t>reference</w:t>
      </w:r>
      <w:r w:rsidR="00512C8B" w:rsidRPr="00C01B3D">
        <w:rPr>
          <w:sz w:val="24"/>
          <w:szCs w:val="24"/>
        </w:rPr>
        <w:t>s</w:t>
      </w:r>
      <w:r w:rsidRPr="00C01B3D">
        <w:rPr>
          <w:sz w:val="24"/>
          <w:szCs w:val="24"/>
        </w:rPr>
        <w:t xml:space="preserve"> to the relationship as a partnership, this “partnership” was not one typical to business relationships. As an intergovernmental organization, IOM was not investing equity in </w:t>
      </w:r>
      <w:r w:rsidR="00FB1614" w:rsidRPr="00C01B3D">
        <w:rPr>
          <w:sz w:val="24"/>
          <w:szCs w:val="24"/>
        </w:rPr>
        <w:t xml:space="preserve">the </w:t>
      </w:r>
      <w:r w:rsidRPr="00C01B3D">
        <w:rPr>
          <w:sz w:val="24"/>
          <w:szCs w:val="24"/>
        </w:rPr>
        <w:t xml:space="preserve">Plaintiff </w:t>
      </w:r>
      <w:r w:rsidR="002132C3" w:rsidRPr="00C01B3D">
        <w:rPr>
          <w:sz w:val="24"/>
          <w:szCs w:val="24"/>
        </w:rPr>
        <w:t>Company</w:t>
      </w:r>
      <w:r w:rsidR="00FB1614" w:rsidRPr="00C01B3D">
        <w:rPr>
          <w:sz w:val="24"/>
          <w:szCs w:val="24"/>
        </w:rPr>
        <w:t xml:space="preserve"> </w:t>
      </w:r>
      <w:r w:rsidRPr="00C01B3D">
        <w:rPr>
          <w:sz w:val="24"/>
          <w:szCs w:val="24"/>
        </w:rPr>
        <w:t xml:space="preserve">with expectation of gaining financial profit. As made clear by </w:t>
      </w:r>
      <w:r w:rsidR="00F67DBC" w:rsidRPr="00C01B3D">
        <w:rPr>
          <w:sz w:val="24"/>
          <w:szCs w:val="24"/>
        </w:rPr>
        <w:t>article</w:t>
      </w:r>
      <w:r w:rsidR="0083431E" w:rsidRPr="00C01B3D">
        <w:rPr>
          <w:sz w:val="24"/>
          <w:szCs w:val="24"/>
        </w:rPr>
        <w:t xml:space="preserve"> </w:t>
      </w:r>
      <w:r w:rsidRPr="00C01B3D">
        <w:rPr>
          <w:sz w:val="24"/>
          <w:szCs w:val="24"/>
        </w:rPr>
        <w:t xml:space="preserve">3(b), “No official of IOM or any third party has received or will be offered by the Service Provider any direct or indirect benefit arising from the Agreement or award thereof.” </w:t>
      </w:r>
    </w:p>
    <w:p w:rsidR="00FB1614" w:rsidRPr="00C01B3D" w:rsidRDefault="00FB1614" w:rsidP="00C01B3D">
      <w:pPr>
        <w:spacing w:line="360" w:lineRule="auto"/>
        <w:ind w:right="-425"/>
        <w:jc w:val="both"/>
        <w:rPr>
          <w:sz w:val="24"/>
          <w:szCs w:val="24"/>
        </w:rPr>
      </w:pPr>
    </w:p>
    <w:p w:rsidR="00567F3A" w:rsidRPr="00C01B3D" w:rsidRDefault="009541CA" w:rsidP="00C01B3D">
      <w:pPr>
        <w:spacing w:line="360" w:lineRule="auto"/>
        <w:ind w:right="-425"/>
        <w:jc w:val="both"/>
        <w:rPr>
          <w:sz w:val="24"/>
          <w:szCs w:val="24"/>
        </w:rPr>
      </w:pPr>
      <w:r w:rsidRPr="00C01B3D">
        <w:rPr>
          <w:b/>
          <w:i/>
          <w:sz w:val="24"/>
          <w:szCs w:val="24"/>
        </w:rPr>
        <w:t>Article 20 of the Company Act</w:t>
      </w:r>
      <w:r w:rsidRPr="00C01B3D">
        <w:rPr>
          <w:sz w:val="24"/>
          <w:szCs w:val="24"/>
        </w:rPr>
        <w:t xml:space="preserve"> describes some of the restrictions placed on charitable organizations, including that “by constitution the company is required to apply its profits, if </w:t>
      </w:r>
      <w:proofErr w:type="gramStart"/>
      <w:r w:rsidRPr="00C01B3D">
        <w:rPr>
          <w:sz w:val="24"/>
          <w:szCs w:val="24"/>
        </w:rPr>
        <w:t>any,</w:t>
      </w:r>
      <w:proofErr w:type="gramEnd"/>
      <w:r w:rsidRPr="00C01B3D">
        <w:rPr>
          <w:sz w:val="24"/>
          <w:szCs w:val="24"/>
        </w:rPr>
        <w:t xml:space="preserve"> or other income in promoting its objects and is prohibited from paying any dividends to its members.” The Defendant avoided the issue of profits altogether because no profits were required to be paid to </w:t>
      </w:r>
      <w:r w:rsidR="00FB1614" w:rsidRPr="00C01B3D">
        <w:rPr>
          <w:sz w:val="24"/>
          <w:szCs w:val="24"/>
        </w:rPr>
        <w:t>it by the</w:t>
      </w:r>
      <w:r w:rsidRPr="00C01B3D">
        <w:rPr>
          <w:sz w:val="24"/>
          <w:szCs w:val="24"/>
        </w:rPr>
        <w:t xml:space="preserve"> Plaintiff under the Agreement. Instead, </w:t>
      </w:r>
      <w:r w:rsidR="00FB1614" w:rsidRPr="00C01B3D">
        <w:rPr>
          <w:sz w:val="24"/>
          <w:szCs w:val="24"/>
        </w:rPr>
        <w:t xml:space="preserve">the </w:t>
      </w:r>
      <w:r w:rsidRPr="00C01B3D">
        <w:rPr>
          <w:sz w:val="24"/>
          <w:szCs w:val="24"/>
        </w:rPr>
        <w:t>Defendant’s “return” on</w:t>
      </w:r>
      <w:r w:rsidR="00512C8B" w:rsidRPr="00C01B3D">
        <w:rPr>
          <w:sz w:val="24"/>
          <w:szCs w:val="24"/>
        </w:rPr>
        <w:t xml:space="preserve"> both</w:t>
      </w:r>
      <w:r w:rsidRPr="00C01B3D">
        <w:rPr>
          <w:sz w:val="24"/>
          <w:szCs w:val="24"/>
        </w:rPr>
        <w:t xml:space="preserve"> their in-kind contribution investment and supply to </w:t>
      </w:r>
      <w:r w:rsidR="000A71AE" w:rsidRPr="00C01B3D">
        <w:rPr>
          <w:sz w:val="24"/>
          <w:szCs w:val="24"/>
        </w:rPr>
        <w:t xml:space="preserve">workers to the </w:t>
      </w:r>
      <w:r w:rsidRPr="00C01B3D">
        <w:rPr>
          <w:sz w:val="24"/>
          <w:szCs w:val="24"/>
        </w:rPr>
        <w:t xml:space="preserve">Plaintiff </w:t>
      </w:r>
      <w:r w:rsidR="00512C8B" w:rsidRPr="00C01B3D">
        <w:rPr>
          <w:sz w:val="24"/>
          <w:szCs w:val="24"/>
        </w:rPr>
        <w:lastRenderedPageBreak/>
        <w:t xml:space="preserve">seems to have been limited to the </w:t>
      </w:r>
      <w:r w:rsidRPr="00C01B3D">
        <w:rPr>
          <w:sz w:val="24"/>
          <w:szCs w:val="24"/>
        </w:rPr>
        <w:t>employment</w:t>
      </w:r>
      <w:r w:rsidR="00FB1614" w:rsidRPr="00C01B3D">
        <w:rPr>
          <w:sz w:val="24"/>
          <w:szCs w:val="24"/>
        </w:rPr>
        <w:t>,</w:t>
      </w:r>
      <w:r w:rsidRPr="00C01B3D">
        <w:rPr>
          <w:sz w:val="24"/>
          <w:szCs w:val="24"/>
        </w:rPr>
        <w:t xml:space="preserve"> boarding </w:t>
      </w:r>
      <w:r w:rsidR="00FB1614" w:rsidRPr="00C01B3D">
        <w:rPr>
          <w:sz w:val="24"/>
          <w:szCs w:val="24"/>
        </w:rPr>
        <w:t xml:space="preserve">and feeding </w:t>
      </w:r>
      <w:r w:rsidRPr="00C01B3D">
        <w:rPr>
          <w:sz w:val="24"/>
          <w:szCs w:val="24"/>
        </w:rPr>
        <w:t xml:space="preserve">of </w:t>
      </w:r>
      <w:r w:rsidR="00FB1614" w:rsidRPr="00C01B3D">
        <w:rPr>
          <w:sz w:val="24"/>
          <w:szCs w:val="24"/>
        </w:rPr>
        <w:t>the</w:t>
      </w:r>
      <w:r w:rsidRPr="00C01B3D">
        <w:rPr>
          <w:sz w:val="24"/>
          <w:szCs w:val="24"/>
        </w:rPr>
        <w:t xml:space="preserve"> </w:t>
      </w:r>
      <w:r w:rsidR="00FB1614" w:rsidRPr="00C01B3D">
        <w:rPr>
          <w:sz w:val="24"/>
          <w:szCs w:val="24"/>
        </w:rPr>
        <w:t xml:space="preserve">fifty </w:t>
      </w:r>
      <w:r w:rsidR="000A71AE" w:rsidRPr="00C01B3D">
        <w:rPr>
          <w:sz w:val="24"/>
          <w:szCs w:val="24"/>
        </w:rPr>
        <w:t xml:space="preserve">vulnerable </w:t>
      </w:r>
      <w:r w:rsidRPr="00C01B3D">
        <w:rPr>
          <w:sz w:val="24"/>
          <w:szCs w:val="24"/>
        </w:rPr>
        <w:t>youth, and the hope of increas</w:t>
      </w:r>
      <w:r w:rsidR="00FE7A23" w:rsidRPr="00C01B3D">
        <w:rPr>
          <w:sz w:val="24"/>
          <w:szCs w:val="24"/>
        </w:rPr>
        <w:t>ing the number u</w:t>
      </w:r>
      <w:r w:rsidRPr="00C01B3D">
        <w:rPr>
          <w:sz w:val="24"/>
          <w:szCs w:val="24"/>
        </w:rPr>
        <w:t>p to 100 youth</w:t>
      </w:r>
      <w:r w:rsidR="000A71AE" w:rsidRPr="00C01B3D">
        <w:rPr>
          <w:sz w:val="24"/>
          <w:szCs w:val="24"/>
        </w:rPr>
        <w:t xml:space="preserve"> in the long term</w:t>
      </w:r>
      <w:r w:rsidRPr="00C01B3D">
        <w:rPr>
          <w:sz w:val="24"/>
          <w:szCs w:val="24"/>
        </w:rPr>
        <w:t>.</w:t>
      </w:r>
      <w:r w:rsidR="00512C8B" w:rsidRPr="00C01B3D">
        <w:rPr>
          <w:sz w:val="24"/>
          <w:szCs w:val="24"/>
        </w:rPr>
        <w:t xml:space="preserve"> The Defendant’s purpose was centered on the objects and purpose of the organization rather than a traditional profit motive </w:t>
      </w:r>
      <w:r w:rsidR="000A71AE" w:rsidRPr="00C01B3D">
        <w:rPr>
          <w:sz w:val="24"/>
          <w:szCs w:val="24"/>
        </w:rPr>
        <w:t>that would be indicative of a</w:t>
      </w:r>
      <w:r w:rsidR="00512C8B" w:rsidRPr="00C01B3D">
        <w:rPr>
          <w:sz w:val="24"/>
          <w:szCs w:val="24"/>
        </w:rPr>
        <w:t xml:space="preserve"> traditional partnership or joint venture. Th</w:t>
      </w:r>
      <w:r w:rsidR="002132C3" w:rsidRPr="00C01B3D">
        <w:rPr>
          <w:sz w:val="24"/>
          <w:szCs w:val="24"/>
        </w:rPr>
        <w:t>us, th</w:t>
      </w:r>
      <w:r w:rsidR="00512C8B" w:rsidRPr="00C01B3D">
        <w:rPr>
          <w:sz w:val="24"/>
          <w:szCs w:val="24"/>
        </w:rPr>
        <w:t>e Plaintiff was contracted to</w:t>
      </w:r>
      <w:r w:rsidR="000A71AE" w:rsidRPr="00C01B3D">
        <w:rPr>
          <w:sz w:val="24"/>
          <w:szCs w:val="24"/>
        </w:rPr>
        <w:t xml:space="preserve"> help</w:t>
      </w:r>
      <w:r w:rsidR="00512C8B" w:rsidRPr="00C01B3D">
        <w:rPr>
          <w:sz w:val="24"/>
          <w:szCs w:val="24"/>
        </w:rPr>
        <w:t xml:space="preserve"> carry out the mission of the </w:t>
      </w:r>
      <w:r w:rsidR="000A71AE" w:rsidRPr="00C01B3D">
        <w:rPr>
          <w:sz w:val="24"/>
          <w:szCs w:val="24"/>
        </w:rPr>
        <w:t xml:space="preserve">Defendant’s </w:t>
      </w:r>
      <w:r w:rsidR="00512C8B" w:rsidRPr="00C01B3D">
        <w:rPr>
          <w:sz w:val="24"/>
          <w:szCs w:val="24"/>
        </w:rPr>
        <w:t xml:space="preserve">organization through employment and training of vulnerable youth. </w:t>
      </w:r>
    </w:p>
    <w:p w:rsidR="00567F3A" w:rsidRPr="00C01B3D" w:rsidRDefault="00567F3A" w:rsidP="00C01B3D">
      <w:pPr>
        <w:spacing w:line="360" w:lineRule="auto"/>
        <w:ind w:right="-425"/>
        <w:jc w:val="both"/>
        <w:rPr>
          <w:sz w:val="24"/>
          <w:szCs w:val="24"/>
        </w:rPr>
      </w:pPr>
    </w:p>
    <w:p w:rsidR="009541CA" w:rsidRPr="00C01B3D" w:rsidRDefault="00567F3A" w:rsidP="00C01B3D">
      <w:pPr>
        <w:spacing w:line="360" w:lineRule="auto"/>
        <w:ind w:right="-425"/>
        <w:jc w:val="both"/>
        <w:rPr>
          <w:sz w:val="24"/>
          <w:szCs w:val="24"/>
        </w:rPr>
      </w:pPr>
      <w:r w:rsidRPr="00C01B3D">
        <w:rPr>
          <w:sz w:val="24"/>
          <w:szCs w:val="24"/>
        </w:rPr>
        <w:t>The Plaintiff’s director (PW) indirectly acknowledged this when he said in his evidence tha</w:t>
      </w:r>
      <w:r w:rsidR="002132C3" w:rsidRPr="00C01B3D">
        <w:rPr>
          <w:sz w:val="24"/>
          <w:szCs w:val="24"/>
        </w:rPr>
        <w:t>t IOM approached the Plaintiff C</w:t>
      </w:r>
      <w:r w:rsidRPr="00C01B3D">
        <w:rPr>
          <w:sz w:val="24"/>
          <w:szCs w:val="24"/>
        </w:rPr>
        <w:t>ompany on discovering that in its business it was supporting victims of war by providing them training and employment. It is therefore clear that both parties were well aware of the objective of the partnership before they entered</w:t>
      </w:r>
      <w:r w:rsidR="002132C3" w:rsidRPr="00C01B3D">
        <w:rPr>
          <w:sz w:val="24"/>
          <w:szCs w:val="24"/>
        </w:rPr>
        <w:t xml:space="preserve"> into it</w:t>
      </w:r>
      <w:r w:rsidRPr="00C01B3D">
        <w:rPr>
          <w:sz w:val="24"/>
          <w:szCs w:val="24"/>
        </w:rPr>
        <w:t xml:space="preserve">. </w:t>
      </w:r>
      <w:r w:rsidR="00CE218A" w:rsidRPr="00C01B3D">
        <w:rPr>
          <w:sz w:val="24"/>
          <w:szCs w:val="24"/>
        </w:rPr>
        <w:t>In the circumstances</w:t>
      </w:r>
      <w:r w:rsidR="00512C8B" w:rsidRPr="00C01B3D">
        <w:rPr>
          <w:sz w:val="24"/>
          <w:szCs w:val="24"/>
        </w:rPr>
        <w:t>, th</w:t>
      </w:r>
      <w:r w:rsidRPr="00C01B3D">
        <w:rPr>
          <w:sz w:val="24"/>
          <w:szCs w:val="24"/>
        </w:rPr>
        <w:t>eir</w:t>
      </w:r>
      <w:r w:rsidR="00512C8B" w:rsidRPr="00C01B3D">
        <w:rPr>
          <w:sz w:val="24"/>
          <w:szCs w:val="24"/>
        </w:rPr>
        <w:t xml:space="preserve"> relationship </w:t>
      </w:r>
      <w:r w:rsidR="00BE3CC2" w:rsidRPr="00C01B3D">
        <w:rPr>
          <w:sz w:val="24"/>
          <w:szCs w:val="24"/>
        </w:rPr>
        <w:t xml:space="preserve">was </w:t>
      </w:r>
      <w:r w:rsidR="00512C8B" w:rsidRPr="00C01B3D">
        <w:rPr>
          <w:sz w:val="24"/>
          <w:szCs w:val="24"/>
        </w:rPr>
        <w:t>intended for non-m</w:t>
      </w:r>
      <w:r w:rsidR="00BE3CC2" w:rsidRPr="00C01B3D">
        <w:rPr>
          <w:sz w:val="24"/>
          <w:szCs w:val="24"/>
        </w:rPr>
        <w:t xml:space="preserve">onetary gain by </w:t>
      </w:r>
      <w:r w:rsidR="00FE7A23" w:rsidRPr="00C01B3D">
        <w:rPr>
          <w:sz w:val="24"/>
          <w:szCs w:val="24"/>
        </w:rPr>
        <w:t xml:space="preserve">the </w:t>
      </w:r>
      <w:r w:rsidR="00BE3CC2" w:rsidRPr="00C01B3D">
        <w:rPr>
          <w:sz w:val="24"/>
          <w:szCs w:val="24"/>
        </w:rPr>
        <w:t>Defendant, and was n</w:t>
      </w:r>
      <w:r w:rsidR="00512C8B" w:rsidRPr="00C01B3D">
        <w:rPr>
          <w:sz w:val="24"/>
          <w:szCs w:val="24"/>
        </w:rPr>
        <w:t>ot an equity or venture capital partnership. I will proceed in light of this consideration.</w:t>
      </w:r>
    </w:p>
    <w:p w:rsidR="00512C8B" w:rsidRPr="00C01B3D" w:rsidRDefault="00512C8B" w:rsidP="00C01B3D">
      <w:pPr>
        <w:spacing w:line="360" w:lineRule="auto"/>
        <w:ind w:right="-425"/>
        <w:jc w:val="both"/>
        <w:rPr>
          <w:sz w:val="24"/>
          <w:szCs w:val="24"/>
        </w:rPr>
      </w:pPr>
    </w:p>
    <w:p w:rsidR="00B670BF" w:rsidRPr="00C01B3D" w:rsidRDefault="00753FD3" w:rsidP="00C01B3D">
      <w:pPr>
        <w:spacing w:line="360" w:lineRule="auto"/>
        <w:ind w:right="-425"/>
        <w:jc w:val="both"/>
        <w:rPr>
          <w:sz w:val="24"/>
          <w:szCs w:val="24"/>
        </w:rPr>
      </w:pPr>
      <w:r w:rsidRPr="00C01B3D">
        <w:rPr>
          <w:sz w:val="24"/>
          <w:szCs w:val="24"/>
        </w:rPr>
        <w:t>Regarding time, there are</w:t>
      </w:r>
      <w:r w:rsidR="00512C8B" w:rsidRPr="00C01B3D">
        <w:rPr>
          <w:sz w:val="24"/>
          <w:szCs w:val="24"/>
        </w:rPr>
        <w:t xml:space="preserve"> conflicting observations regarding</w:t>
      </w:r>
      <w:r w:rsidR="000A71AE" w:rsidRPr="00C01B3D">
        <w:rPr>
          <w:sz w:val="24"/>
          <w:szCs w:val="24"/>
        </w:rPr>
        <w:t xml:space="preserve"> both the length of the initial agreement and the possibility that the agreement was extended. </w:t>
      </w:r>
      <w:r w:rsidRPr="00C01B3D">
        <w:rPr>
          <w:sz w:val="24"/>
          <w:szCs w:val="24"/>
        </w:rPr>
        <w:t xml:space="preserve">While </w:t>
      </w:r>
      <w:r w:rsidR="00567F3A" w:rsidRPr="00C01B3D">
        <w:rPr>
          <w:sz w:val="24"/>
          <w:szCs w:val="24"/>
        </w:rPr>
        <w:t>a</w:t>
      </w:r>
      <w:r w:rsidRPr="00C01B3D">
        <w:rPr>
          <w:sz w:val="24"/>
          <w:szCs w:val="24"/>
        </w:rPr>
        <w:t xml:space="preserve">rticle 6 and Annex I of the Service Agreement </w:t>
      </w:r>
      <w:r w:rsidR="000A71AE" w:rsidRPr="00C01B3D">
        <w:rPr>
          <w:sz w:val="24"/>
          <w:szCs w:val="24"/>
        </w:rPr>
        <w:t xml:space="preserve">explicitly </w:t>
      </w:r>
      <w:r w:rsidR="00F67DBC" w:rsidRPr="00C01B3D">
        <w:rPr>
          <w:sz w:val="24"/>
          <w:szCs w:val="24"/>
        </w:rPr>
        <w:t>stated</w:t>
      </w:r>
      <w:r w:rsidRPr="00C01B3D">
        <w:rPr>
          <w:sz w:val="24"/>
          <w:szCs w:val="24"/>
        </w:rPr>
        <w:t xml:space="preserve"> the fi</w:t>
      </w:r>
      <w:r w:rsidR="000A71AE" w:rsidRPr="00C01B3D">
        <w:rPr>
          <w:sz w:val="24"/>
          <w:szCs w:val="24"/>
        </w:rPr>
        <w:t xml:space="preserve">nish date </w:t>
      </w:r>
      <w:r w:rsidR="00FE7A23" w:rsidRPr="00C01B3D">
        <w:rPr>
          <w:sz w:val="24"/>
          <w:szCs w:val="24"/>
        </w:rPr>
        <w:t xml:space="preserve">was </w:t>
      </w:r>
      <w:r w:rsidR="000A71AE" w:rsidRPr="00C01B3D">
        <w:rPr>
          <w:sz w:val="24"/>
          <w:szCs w:val="24"/>
        </w:rPr>
        <w:t xml:space="preserve">after six months, or </w:t>
      </w:r>
      <w:r w:rsidRPr="00C01B3D">
        <w:rPr>
          <w:sz w:val="24"/>
          <w:szCs w:val="24"/>
        </w:rPr>
        <w:t>as 21 March 2010, the preamble (quoted above) states that the agreement was</w:t>
      </w:r>
      <w:r w:rsidR="00CE218A" w:rsidRPr="00C01B3D">
        <w:rPr>
          <w:sz w:val="24"/>
          <w:szCs w:val="24"/>
        </w:rPr>
        <w:t xml:space="preserve"> for employment of fifty ex-combatants</w:t>
      </w:r>
      <w:r w:rsidRPr="00C01B3D">
        <w:rPr>
          <w:sz w:val="24"/>
          <w:szCs w:val="24"/>
        </w:rPr>
        <w:t xml:space="preserve"> “</w:t>
      </w:r>
      <w:r w:rsidRPr="00C01B3D">
        <w:rPr>
          <w:b/>
          <w:i/>
          <w:sz w:val="24"/>
          <w:szCs w:val="24"/>
        </w:rPr>
        <w:t>initially</w:t>
      </w:r>
      <w:r w:rsidRPr="00C01B3D">
        <w:rPr>
          <w:sz w:val="24"/>
          <w:szCs w:val="24"/>
        </w:rPr>
        <w:t xml:space="preserve"> for six (6) months </w:t>
      </w:r>
      <w:r w:rsidRPr="00C01B3D">
        <w:rPr>
          <w:b/>
          <w:i/>
          <w:sz w:val="24"/>
          <w:szCs w:val="24"/>
        </w:rPr>
        <w:t>and</w:t>
      </w:r>
      <w:r w:rsidRPr="00C01B3D">
        <w:rPr>
          <w:sz w:val="24"/>
          <w:szCs w:val="24"/>
        </w:rPr>
        <w:t xml:space="preserve"> a further one hundred (100) youth in the </w:t>
      </w:r>
      <w:r w:rsidRPr="00C01B3D">
        <w:rPr>
          <w:b/>
          <w:i/>
          <w:sz w:val="24"/>
          <w:szCs w:val="24"/>
        </w:rPr>
        <w:t>long term</w:t>
      </w:r>
      <w:r w:rsidR="000A71AE" w:rsidRPr="00C01B3D">
        <w:rPr>
          <w:sz w:val="24"/>
          <w:szCs w:val="24"/>
        </w:rPr>
        <w:t>.” The question raised by the</w:t>
      </w:r>
      <w:r w:rsidRPr="00C01B3D">
        <w:rPr>
          <w:sz w:val="24"/>
          <w:szCs w:val="24"/>
        </w:rPr>
        <w:t xml:space="preserve"> term </w:t>
      </w:r>
      <w:r w:rsidR="000A71AE" w:rsidRPr="00C01B3D">
        <w:rPr>
          <w:sz w:val="24"/>
          <w:szCs w:val="24"/>
        </w:rPr>
        <w:t>of time is whether or not t</w:t>
      </w:r>
      <w:r w:rsidRPr="00C01B3D">
        <w:rPr>
          <w:sz w:val="24"/>
          <w:szCs w:val="24"/>
        </w:rPr>
        <w:t xml:space="preserve">he parties agreed to six months or a longer period when they signed the agreement. At minimum, the parties at least hoped that the agreement would create a lasting relationship after the initial six months.  </w:t>
      </w:r>
    </w:p>
    <w:p w:rsidR="00B670BF" w:rsidRPr="00C01B3D" w:rsidRDefault="00B670BF" w:rsidP="00C01B3D">
      <w:pPr>
        <w:spacing w:line="360" w:lineRule="auto"/>
        <w:ind w:right="-425"/>
        <w:jc w:val="both"/>
        <w:rPr>
          <w:sz w:val="24"/>
          <w:szCs w:val="24"/>
        </w:rPr>
      </w:pPr>
    </w:p>
    <w:p w:rsidR="00F67DBC" w:rsidRPr="00C01B3D" w:rsidRDefault="00CE218A" w:rsidP="00C01B3D">
      <w:pPr>
        <w:spacing w:line="360" w:lineRule="auto"/>
        <w:ind w:right="-425"/>
        <w:jc w:val="both"/>
        <w:rPr>
          <w:sz w:val="24"/>
          <w:szCs w:val="24"/>
        </w:rPr>
      </w:pPr>
      <w:r w:rsidRPr="00C01B3D">
        <w:rPr>
          <w:sz w:val="24"/>
          <w:szCs w:val="24"/>
        </w:rPr>
        <w:t>To m</w:t>
      </w:r>
      <w:r w:rsidR="00F67DBC" w:rsidRPr="00C01B3D">
        <w:rPr>
          <w:sz w:val="24"/>
          <w:szCs w:val="24"/>
        </w:rPr>
        <w:t xml:space="preserve">y understanding </w:t>
      </w:r>
      <w:r w:rsidRPr="00C01B3D">
        <w:rPr>
          <w:sz w:val="24"/>
          <w:szCs w:val="24"/>
        </w:rPr>
        <w:t xml:space="preserve">right from the preamble </w:t>
      </w:r>
      <w:r w:rsidR="00C17A21" w:rsidRPr="00C01B3D">
        <w:rPr>
          <w:sz w:val="24"/>
          <w:szCs w:val="24"/>
        </w:rPr>
        <w:t xml:space="preserve">and gathering from article 1.1 (c) as well as article 6.1 &amp; 6.2 of the agreement, </w:t>
      </w:r>
      <w:r w:rsidRPr="00C01B3D">
        <w:rPr>
          <w:sz w:val="24"/>
          <w:szCs w:val="24"/>
        </w:rPr>
        <w:t xml:space="preserve">the agreed period of six months was for the employment of the fifty vulnerable youth with the support provided by IOM. Beyond that period more one hundred youth could still be employed by the plaintiff although the partnership of providing support would have ended </w:t>
      </w:r>
      <w:r w:rsidR="00C17A21" w:rsidRPr="00C01B3D">
        <w:rPr>
          <w:sz w:val="24"/>
          <w:szCs w:val="24"/>
        </w:rPr>
        <w:t>within the six months with an option of transferring the equipment and materials provided by IOM to the plaintiff</w:t>
      </w:r>
      <w:r w:rsidRPr="00C01B3D">
        <w:rPr>
          <w:sz w:val="24"/>
          <w:szCs w:val="24"/>
        </w:rPr>
        <w:t xml:space="preserve">. </w:t>
      </w:r>
      <w:r w:rsidR="00C17A21" w:rsidRPr="00C01B3D">
        <w:rPr>
          <w:sz w:val="24"/>
          <w:szCs w:val="24"/>
        </w:rPr>
        <w:t xml:space="preserve">In other words, </w:t>
      </w:r>
      <w:r w:rsidR="00753FD3" w:rsidRPr="00C01B3D">
        <w:rPr>
          <w:sz w:val="24"/>
          <w:szCs w:val="24"/>
        </w:rPr>
        <w:t xml:space="preserve">the </w:t>
      </w:r>
      <w:r w:rsidR="00F67DBC" w:rsidRPr="00C01B3D">
        <w:rPr>
          <w:sz w:val="24"/>
          <w:szCs w:val="24"/>
        </w:rPr>
        <w:t xml:space="preserve">agreed period of </w:t>
      </w:r>
      <w:r w:rsidR="00815D14" w:rsidRPr="00C01B3D">
        <w:rPr>
          <w:sz w:val="24"/>
          <w:szCs w:val="24"/>
        </w:rPr>
        <w:t xml:space="preserve">six months </w:t>
      </w:r>
      <w:r w:rsidR="00C17A21" w:rsidRPr="00C01B3D">
        <w:rPr>
          <w:sz w:val="24"/>
          <w:szCs w:val="24"/>
        </w:rPr>
        <w:t xml:space="preserve">was for the relationship between the parties as it relates to providing the necessary support to facilitate the on the job training, employment, feeding, and accommodation of the </w:t>
      </w:r>
      <w:r w:rsidR="00C17A21" w:rsidRPr="00C01B3D">
        <w:rPr>
          <w:sz w:val="24"/>
          <w:szCs w:val="24"/>
        </w:rPr>
        <w:lastRenderedPageBreak/>
        <w:t>initial fifty youth with a possibility of bringing on board additional one hundred youth</w:t>
      </w:r>
      <w:r w:rsidR="00B670BF" w:rsidRPr="00C01B3D">
        <w:rPr>
          <w:sz w:val="24"/>
          <w:szCs w:val="24"/>
        </w:rPr>
        <w:t xml:space="preserve"> and also maintaining </w:t>
      </w:r>
      <w:r w:rsidR="00F67DBC" w:rsidRPr="00C01B3D">
        <w:rPr>
          <w:sz w:val="24"/>
          <w:szCs w:val="24"/>
        </w:rPr>
        <w:t xml:space="preserve">the employer-employee </w:t>
      </w:r>
      <w:r w:rsidR="00B670BF" w:rsidRPr="00C01B3D">
        <w:rPr>
          <w:sz w:val="24"/>
          <w:szCs w:val="24"/>
        </w:rPr>
        <w:t xml:space="preserve">relationship </w:t>
      </w:r>
      <w:r w:rsidR="005921DC" w:rsidRPr="00C01B3D">
        <w:rPr>
          <w:sz w:val="24"/>
          <w:szCs w:val="24"/>
        </w:rPr>
        <w:t>between the P</w:t>
      </w:r>
      <w:r w:rsidR="00F67DBC" w:rsidRPr="00C01B3D">
        <w:rPr>
          <w:sz w:val="24"/>
          <w:szCs w:val="24"/>
        </w:rPr>
        <w:t xml:space="preserve">laintiff and the </w:t>
      </w:r>
      <w:r w:rsidR="00B670BF" w:rsidRPr="00C01B3D">
        <w:rPr>
          <w:sz w:val="24"/>
          <w:szCs w:val="24"/>
        </w:rPr>
        <w:t xml:space="preserve">initial fifty </w:t>
      </w:r>
      <w:r w:rsidR="00F67DBC" w:rsidRPr="00C01B3D">
        <w:rPr>
          <w:sz w:val="24"/>
          <w:szCs w:val="24"/>
        </w:rPr>
        <w:t xml:space="preserve">youth beyond the period of six months. </w:t>
      </w:r>
    </w:p>
    <w:p w:rsidR="00F67DBC" w:rsidRPr="00C01B3D" w:rsidRDefault="00F67DBC" w:rsidP="00C01B3D">
      <w:pPr>
        <w:spacing w:line="360" w:lineRule="auto"/>
        <w:ind w:right="-425"/>
        <w:jc w:val="both"/>
        <w:rPr>
          <w:sz w:val="24"/>
          <w:szCs w:val="24"/>
        </w:rPr>
      </w:pPr>
    </w:p>
    <w:p w:rsidR="00726FA6" w:rsidRPr="00C01B3D" w:rsidRDefault="00753FD3" w:rsidP="00C01B3D">
      <w:pPr>
        <w:spacing w:line="360" w:lineRule="auto"/>
        <w:ind w:right="-425"/>
        <w:jc w:val="both"/>
        <w:rPr>
          <w:sz w:val="24"/>
          <w:szCs w:val="24"/>
        </w:rPr>
      </w:pPr>
      <w:r w:rsidRPr="00C01B3D">
        <w:rPr>
          <w:sz w:val="24"/>
          <w:szCs w:val="24"/>
        </w:rPr>
        <w:t xml:space="preserve">Secondly, </w:t>
      </w:r>
      <w:r w:rsidR="00FE7A23" w:rsidRPr="00C01B3D">
        <w:rPr>
          <w:sz w:val="24"/>
          <w:szCs w:val="24"/>
        </w:rPr>
        <w:t xml:space="preserve">the </w:t>
      </w:r>
      <w:r w:rsidRPr="00C01B3D">
        <w:rPr>
          <w:sz w:val="24"/>
          <w:szCs w:val="24"/>
        </w:rPr>
        <w:t>Plaint</w:t>
      </w:r>
      <w:r w:rsidR="00FE7A23" w:rsidRPr="00C01B3D">
        <w:rPr>
          <w:sz w:val="24"/>
          <w:szCs w:val="24"/>
        </w:rPr>
        <w:t>iff testified</w:t>
      </w:r>
      <w:r w:rsidR="009F2AA8" w:rsidRPr="00C01B3D">
        <w:rPr>
          <w:sz w:val="24"/>
          <w:szCs w:val="24"/>
        </w:rPr>
        <w:t xml:space="preserve"> that the agreement ended on 21</w:t>
      </w:r>
      <w:r w:rsidR="00512C8B" w:rsidRPr="00C01B3D">
        <w:rPr>
          <w:sz w:val="24"/>
          <w:szCs w:val="24"/>
        </w:rPr>
        <w:t xml:space="preserve"> March 2010 as indicated in the initial agreement</w:t>
      </w:r>
      <w:r w:rsidR="00815D14" w:rsidRPr="00C01B3D">
        <w:rPr>
          <w:sz w:val="24"/>
          <w:szCs w:val="24"/>
        </w:rPr>
        <w:t>. However</w:t>
      </w:r>
      <w:r w:rsidR="00A22608" w:rsidRPr="00C01B3D">
        <w:rPr>
          <w:sz w:val="24"/>
          <w:szCs w:val="24"/>
        </w:rPr>
        <w:t>, two</w:t>
      </w:r>
      <w:r w:rsidR="000A71AE" w:rsidRPr="00C01B3D">
        <w:rPr>
          <w:sz w:val="24"/>
          <w:szCs w:val="24"/>
        </w:rPr>
        <w:t xml:space="preserve"> </w:t>
      </w:r>
      <w:r w:rsidR="00815D14" w:rsidRPr="00C01B3D">
        <w:rPr>
          <w:sz w:val="24"/>
          <w:szCs w:val="24"/>
        </w:rPr>
        <w:t>letters from IOM on p</w:t>
      </w:r>
      <w:r w:rsidR="00A22608" w:rsidRPr="00C01B3D">
        <w:rPr>
          <w:sz w:val="24"/>
          <w:szCs w:val="24"/>
        </w:rPr>
        <w:t>ages</w:t>
      </w:r>
      <w:r w:rsidR="00815D14" w:rsidRPr="00C01B3D">
        <w:rPr>
          <w:sz w:val="24"/>
          <w:szCs w:val="24"/>
        </w:rPr>
        <w:t xml:space="preserve"> 36 and 38 </w:t>
      </w:r>
      <w:r w:rsidR="000A71AE" w:rsidRPr="00C01B3D">
        <w:rPr>
          <w:sz w:val="24"/>
          <w:szCs w:val="24"/>
        </w:rPr>
        <w:t>o</w:t>
      </w:r>
      <w:r w:rsidR="00F402AC" w:rsidRPr="00C01B3D">
        <w:rPr>
          <w:sz w:val="24"/>
          <w:szCs w:val="24"/>
        </w:rPr>
        <w:t>f the Trial Bundle</w:t>
      </w:r>
      <w:r w:rsidR="00815D14" w:rsidRPr="00C01B3D">
        <w:rPr>
          <w:sz w:val="24"/>
          <w:szCs w:val="24"/>
        </w:rPr>
        <w:t xml:space="preserve">, in addition to the </w:t>
      </w:r>
      <w:r w:rsidR="00CD63D7" w:rsidRPr="00C01B3D">
        <w:rPr>
          <w:sz w:val="24"/>
          <w:szCs w:val="24"/>
        </w:rPr>
        <w:t xml:space="preserve">email correspondence </w:t>
      </w:r>
      <w:r w:rsidR="008C0E4D" w:rsidRPr="00C01B3D">
        <w:rPr>
          <w:sz w:val="24"/>
          <w:szCs w:val="24"/>
        </w:rPr>
        <w:t xml:space="preserve">between the parties </w:t>
      </w:r>
      <w:r w:rsidR="000A71AE" w:rsidRPr="00C01B3D">
        <w:rPr>
          <w:sz w:val="24"/>
          <w:szCs w:val="24"/>
        </w:rPr>
        <w:t xml:space="preserve">indicating an ongoing (albeit strained) relationship </w:t>
      </w:r>
      <w:r w:rsidR="008C0E4D" w:rsidRPr="00C01B3D">
        <w:rPr>
          <w:sz w:val="24"/>
          <w:szCs w:val="24"/>
        </w:rPr>
        <w:t>in July</w:t>
      </w:r>
      <w:r w:rsidR="00815D14" w:rsidRPr="00C01B3D">
        <w:rPr>
          <w:sz w:val="24"/>
          <w:szCs w:val="24"/>
        </w:rPr>
        <w:t>,</w:t>
      </w:r>
      <w:r w:rsidR="00A22608" w:rsidRPr="00C01B3D">
        <w:rPr>
          <w:sz w:val="24"/>
          <w:szCs w:val="24"/>
        </w:rPr>
        <w:t xml:space="preserve"> </w:t>
      </w:r>
      <w:r w:rsidR="00CD63D7" w:rsidRPr="00C01B3D">
        <w:rPr>
          <w:sz w:val="24"/>
          <w:szCs w:val="24"/>
        </w:rPr>
        <w:t>suggest</w:t>
      </w:r>
      <w:r w:rsidR="00F402AC" w:rsidRPr="00C01B3D">
        <w:rPr>
          <w:sz w:val="24"/>
          <w:szCs w:val="24"/>
        </w:rPr>
        <w:t xml:space="preserve"> that the parties </w:t>
      </w:r>
      <w:r w:rsidR="000A71AE" w:rsidRPr="00C01B3D">
        <w:rPr>
          <w:sz w:val="24"/>
          <w:szCs w:val="24"/>
        </w:rPr>
        <w:t xml:space="preserve">probably </w:t>
      </w:r>
      <w:r w:rsidR="00F402AC" w:rsidRPr="00C01B3D">
        <w:rPr>
          <w:sz w:val="24"/>
          <w:szCs w:val="24"/>
        </w:rPr>
        <w:t>extended the agreement to 20</w:t>
      </w:r>
      <w:r w:rsidR="00A22608" w:rsidRPr="00C01B3D">
        <w:rPr>
          <w:sz w:val="24"/>
          <w:szCs w:val="24"/>
          <w:vertAlign w:val="superscript"/>
        </w:rPr>
        <w:t>th</w:t>
      </w:r>
      <w:r w:rsidR="00A22608" w:rsidRPr="00C01B3D">
        <w:rPr>
          <w:sz w:val="24"/>
          <w:szCs w:val="24"/>
        </w:rPr>
        <w:t xml:space="preserve"> </w:t>
      </w:r>
      <w:r w:rsidR="00F402AC" w:rsidRPr="00C01B3D">
        <w:rPr>
          <w:sz w:val="24"/>
          <w:szCs w:val="24"/>
        </w:rPr>
        <w:t xml:space="preserve">July 2010 by </w:t>
      </w:r>
      <w:r w:rsidR="00B670BF" w:rsidRPr="00C01B3D">
        <w:rPr>
          <w:sz w:val="24"/>
          <w:szCs w:val="24"/>
        </w:rPr>
        <w:t xml:space="preserve">an </w:t>
      </w:r>
      <w:r w:rsidR="00F402AC" w:rsidRPr="00C01B3D">
        <w:rPr>
          <w:sz w:val="24"/>
          <w:szCs w:val="24"/>
        </w:rPr>
        <w:t xml:space="preserve">amendment </w:t>
      </w:r>
      <w:r w:rsidR="00B670BF" w:rsidRPr="00C01B3D">
        <w:rPr>
          <w:sz w:val="24"/>
          <w:szCs w:val="24"/>
        </w:rPr>
        <w:t>dated</w:t>
      </w:r>
      <w:r w:rsidR="00F402AC" w:rsidRPr="00C01B3D">
        <w:rPr>
          <w:sz w:val="24"/>
          <w:szCs w:val="24"/>
        </w:rPr>
        <w:t xml:space="preserve"> 15 April 2010</w:t>
      </w:r>
      <w:r w:rsidR="00B670BF" w:rsidRPr="00C01B3D">
        <w:rPr>
          <w:sz w:val="24"/>
          <w:szCs w:val="24"/>
        </w:rPr>
        <w:t xml:space="preserve"> which this court did not have opportunity to look at because the Plaintiff chose not to adduce it in court for its own convenience</w:t>
      </w:r>
      <w:r w:rsidR="00F402AC" w:rsidRPr="00C01B3D">
        <w:rPr>
          <w:sz w:val="24"/>
          <w:szCs w:val="24"/>
        </w:rPr>
        <w:t xml:space="preserve">. </w:t>
      </w:r>
      <w:r w:rsidR="00C26C00" w:rsidRPr="00C01B3D">
        <w:rPr>
          <w:sz w:val="24"/>
          <w:szCs w:val="24"/>
        </w:rPr>
        <w:t>I must point out that since this matter proceeded ex-parte for formal proof all the documents on record were selectively adduced by the Plaintiff to support its case. The letter at page 36 of the Trial Bundle dated 28</w:t>
      </w:r>
      <w:r w:rsidR="00C26C00" w:rsidRPr="00C01B3D">
        <w:rPr>
          <w:sz w:val="24"/>
          <w:szCs w:val="24"/>
          <w:vertAlign w:val="superscript"/>
        </w:rPr>
        <w:t>th</w:t>
      </w:r>
      <w:r w:rsidR="00C26C00" w:rsidRPr="00C01B3D">
        <w:rPr>
          <w:sz w:val="24"/>
          <w:szCs w:val="24"/>
        </w:rPr>
        <w:t xml:space="preserve"> October 2010 was written to Tom &amp; Rose </w:t>
      </w:r>
      <w:proofErr w:type="spellStart"/>
      <w:r w:rsidR="00C26C00" w:rsidRPr="00C01B3D">
        <w:rPr>
          <w:sz w:val="24"/>
          <w:szCs w:val="24"/>
        </w:rPr>
        <w:t>O’Lalobo</w:t>
      </w:r>
      <w:proofErr w:type="spellEnd"/>
      <w:r w:rsidR="00C26C00" w:rsidRPr="00C01B3D">
        <w:rPr>
          <w:sz w:val="24"/>
          <w:szCs w:val="24"/>
        </w:rPr>
        <w:t xml:space="preserve"> of </w:t>
      </w:r>
      <w:proofErr w:type="spellStart"/>
      <w:r w:rsidR="00C26C00" w:rsidRPr="00C01B3D">
        <w:rPr>
          <w:sz w:val="24"/>
          <w:szCs w:val="24"/>
        </w:rPr>
        <w:t>Teng</w:t>
      </w:r>
      <w:proofErr w:type="spellEnd"/>
      <w:r w:rsidR="00C26C00" w:rsidRPr="00C01B3D">
        <w:rPr>
          <w:sz w:val="24"/>
          <w:szCs w:val="24"/>
        </w:rPr>
        <w:t xml:space="preserve"> </w:t>
      </w:r>
      <w:proofErr w:type="spellStart"/>
      <w:r w:rsidR="00C26C00" w:rsidRPr="00C01B3D">
        <w:rPr>
          <w:sz w:val="24"/>
          <w:szCs w:val="24"/>
        </w:rPr>
        <w:t>Piny</w:t>
      </w:r>
      <w:proofErr w:type="spellEnd"/>
      <w:r w:rsidR="00C26C00" w:rsidRPr="00C01B3D">
        <w:rPr>
          <w:sz w:val="24"/>
          <w:szCs w:val="24"/>
        </w:rPr>
        <w:t xml:space="preserve"> Farming Enterprises but they are also directors of the Plaintiff </w:t>
      </w:r>
      <w:r w:rsidR="00726FA6" w:rsidRPr="00C01B3D">
        <w:rPr>
          <w:sz w:val="24"/>
          <w:szCs w:val="24"/>
        </w:rPr>
        <w:t>Company</w:t>
      </w:r>
      <w:r w:rsidR="00C26C00" w:rsidRPr="00C01B3D">
        <w:rPr>
          <w:sz w:val="24"/>
          <w:szCs w:val="24"/>
        </w:rPr>
        <w:t xml:space="preserve">. In that letter, the Defendant’s </w:t>
      </w:r>
      <w:proofErr w:type="spellStart"/>
      <w:r w:rsidR="00C26C00" w:rsidRPr="00C01B3D">
        <w:rPr>
          <w:sz w:val="24"/>
          <w:szCs w:val="24"/>
        </w:rPr>
        <w:t>Programme</w:t>
      </w:r>
      <w:proofErr w:type="spellEnd"/>
      <w:r w:rsidR="00C26C00" w:rsidRPr="00C01B3D">
        <w:rPr>
          <w:sz w:val="24"/>
          <w:szCs w:val="24"/>
        </w:rPr>
        <w:t xml:space="preserve"> Coordinator stated that the Services Agreement dated 21</w:t>
      </w:r>
      <w:r w:rsidR="00C26C00" w:rsidRPr="00C01B3D">
        <w:rPr>
          <w:sz w:val="24"/>
          <w:szCs w:val="24"/>
          <w:vertAlign w:val="superscript"/>
        </w:rPr>
        <w:t>st</w:t>
      </w:r>
      <w:r w:rsidR="00C26C00" w:rsidRPr="00C01B3D">
        <w:rPr>
          <w:sz w:val="24"/>
          <w:szCs w:val="24"/>
        </w:rPr>
        <w:t xml:space="preserve"> September 2009 ended on or about 20</w:t>
      </w:r>
      <w:r w:rsidR="00C26C00" w:rsidRPr="00C01B3D">
        <w:rPr>
          <w:sz w:val="24"/>
          <w:szCs w:val="24"/>
          <w:vertAlign w:val="superscript"/>
        </w:rPr>
        <w:t>th</w:t>
      </w:r>
      <w:r w:rsidR="00C26C00" w:rsidRPr="00C01B3D">
        <w:rPr>
          <w:sz w:val="24"/>
          <w:szCs w:val="24"/>
        </w:rPr>
        <w:t xml:space="preserve"> July 2010 in accordance with the amendment dated on or about 15</w:t>
      </w:r>
      <w:r w:rsidR="00C26C00" w:rsidRPr="00C01B3D">
        <w:rPr>
          <w:sz w:val="24"/>
          <w:szCs w:val="24"/>
          <w:vertAlign w:val="superscript"/>
        </w:rPr>
        <w:t>th</w:t>
      </w:r>
      <w:r w:rsidR="00C26C00" w:rsidRPr="00C01B3D">
        <w:rPr>
          <w:sz w:val="24"/>
          <w:szCs w:val="24"/>
        </w:rPr>
        <w:t xml:space="preserve"> April 2010. By that letter, the peanut butter-making machine, the peanut </w:t>
      </w:r>
      <w:proofErr w:type="spellStart"/>
      <w:r w:rsidR="00C26C00" w:rsidRPr="00C01B3D">
        <w:rPr>
          <w:sz w:val="24"/>
          <w:szCs w:val="24"/>
        </w:rPr>
        <w:t>sheller</w:t>
      </w:r>
      <w:proofErr w:type="spellEnd"/>
      <w:r w:rsidR="00C26C00" w:rsidRPr="00C01B3D">
        <w:rPr>
          <w:sz w:val="24"/>
          <w:szCs w:val="24"/>
        </w:rPr>
        <w:t xml:space="preserve"> and the Mitsubishi Canter Truck all purchased by the Defendant were disposed of to the Plaintiff. </w:t>
      </w:r>
      <w:r w:rsidR="00BE3CC2" w:rsidRPr="00C01B3D">
        <w:rPr>
          <w:sz w:val="24"/>
          <w:szCs w:val="24"/>
        </w:rPr>
        <w:t>Th</w:t>
      </w:r>
      <w:r w:rsidR="00C26C00" w:rsidRPr="00C01B3D">
        <w:rPr>
          <w:sz w:val="24"/>
          <w:szCs w:val="24"/>
        </w:rPr>
        <w:t xml:space="preserve">e Plaintiff did not tell this court that it protested the content of that letter for being containing untruth. </w:t>
      </w:r>
    </w:p>
    <w:p w:rsidR="00726FA6" w:rsidRPr="00C01B3D" w:rsidRDefault="00726FA6" w:rsidP="00C01B3D">
      <w:pPr>
        <w:spacing w:line="360" w:lineRule="auto"/>
        <w:ind w:right="-425"/>
        <w:jc w:val="both"/>
        <w:rPr>
          <w:sz w:val="24"/>
          <w:szCs w:val="24"/>
        </w:rPr>
      </w:pPr>
    </w:p>
    <w:p w:rsidR="00726FA6" w:rsidRPr="00C01B3D" w:rsidRDefault="00726FA6" w:rsidP="00C01B3D">
      <w:pPr>
        <w:spacing w:line="360" w:lineRule="auto"/>
        <w:ind w:right="-425"/>
        <w:jc w:val="both"/>
        <w:rPr>
          <w:sz w:val="24"/>
          <w:szCs w:val="24"/>
        </w:rPr>
      </w:pPr>
      <w:r w:rsidRPr="00C01B3D">
        <w:rPr>
          <w:sz w:val="24"/>
          <w:szCs w:val="24"/>
        </w:rPr>
        <w:t>Similarly, the letter at page 38 of the Trial Bundle alludes to the date of finishing the Services Agreement as being 20</w:t>
      </w:r>
      <w:r w:rsidRPr="00C01B3D">
        <w:rPr>
          <w:sz w:val="24"/>
          <w:szCs w:val="24"/>
          <w:vertAlign w:val="superscript"/>
        </w:rPr>
        <w:t>th</w:t>
      </w:r>
      <w:r w:rsidRPr="00C01B3D">
        <w:rPr>
          <w:sz w:val="24"/>
          <w:szCs w:val="24"/>
        </w:rPr>
        <w:t xml:space="preserve"> July 2010 and the Plaintiff has not complained about the content of that letter either. This court is therefore inclined to believe that the agreement was extended to 20</w:t>
      </w:r>
      <w:r w:rsidRPr="00C01B3D">
        <w:rPr>
          <w:sz w:val="24"/>
          <w:szCs w:val="24"/>
          <w:vertAlign w:val="superscript"/>
        </w:rPr>
        <w:t>th</w:t>
      </w:r>
      <w:r w:rsidRPr="00C01B3D">
        <w:rPr>
          <w:sz w:val="24"/>
          <w:szCs w:val="24"/>
        </w:rPr>
        <w:t xml:space="preserve"> July 2010 and that is when it ended.</w:t>
      </w:r>
      <w:r w:rsidR="009F2E6B" w:rsidRPr="00C01B3D">
        <w:rPr>
          <w:sz w:val="24"/>
          <w:szCs w:val="24"/>
        </w:rPr>
        <w:t xml:space="preserve"> It is therefore not true that the machines/equipment that arrived in June 2010 were delivered outside the agreed time in breach of the contract.</w:t>
      </w:r>
    </w:p>
    <w:p w:rsidR="00726FA6" w:rsidRPr="00C01B3D" w:rsidRDefault="00726FA6" w:rsidP="00C01B3D">
      <w:pPr>
        <w:spacing w:line="360" w:lineRule="auto"/>
        <w:ind w:right="-425"/>
        <w:jc w:val="both"/>
        <w:rPr>
          <w:sz w:val="24"/>
          <w:szCs w:val="24"/>
        </w:rPr>
      </w:pPr>
    </w:p>
    <w:p w:rsidR="0024130E" w:rsidRPr="00C01B3D" w:rsidRDefault="00362F7D" w:rsidP="00C01B3D">
      <w:pPr>
        <w:spacing w:line="360" w:lineRule="auto"/>
        <w:ind w:right="-425"/>
        <w:jc w:val="both"/>
        <w:rPr>
          <w:sz w:val="24"/>
          <w:szCs w:val="24"/>
        </w:rPr>
      </w:pPr>
      <w:r w:rsidRPr="00C01B3D">
        <w:rPr>
          <w:sz w:val="24"/>
          <w:szCs w:val="24"/>
        </w:rPr>
        <w:t xml:space="preserve">With </w:t>
      </w:r>
      <w:r w:rsidR="00BE3CC2" w:rsidRPr="00C01B3D">
        <w:rPr>
          <w:sz w:val="24"/>
          <w:szCs w:val="24"/>
        </w:rPr>
        <w:t xml:space="preserve">the </w:t>
      </w:r>
      <w:r w:rsidRPr="00C01B3D">
        <w:rPr>
          <w:sz w:val="24"/>
          <w:szCs w:val="24"/>
        </w:rPr>
        <w:t>nature of the relationship</w:t>
      </w:r>
      <w:r w:rsidR="00815D14" w:rsidRPr="00C01B3D">
        <w:rPr>
          <w:sz w:val="24"/>
          <w:szCs w:val="24"/>
        </w:rPr>
        <w:t xml:space="preserve"> and terms</w:t>
      </w:r>
      <w:r w:rsidRPr="00C01B3D">
        <w:rPr>
          <w:sz w:val="24"/>
          <w:szCs w:val="24"/>
        </w:rPr>
        <w:t xml:space="preserve"> created by the Service Agreement in mind, I will now turn to the issue of breach. </w:t>
      </w:r>
      <w:r w:rsidR="00A22608" w:rsidRPr="00C01B3D">
        <w:rPr>
          <w:sz w:val="24"/>
          <w:szCs w:val="24"/>
        </w:rPr>
        <w:t xml:space="preserve">The </w:t>
      </w:r>
      <w:r w:rsidRPr="00C01B3D">
        <w:rPr>
          <w:sz w:val="24"/>
          <w:szCs w:val="24"/>
        </w:rPr>
        <w:t xml:space="preserve">Plaintiff </w:t>
      </w:r>
      <w:r w:rsidR="0003750A" w:rsidRPr="00C01B3D">
        <w:rPr>
          <w:sz w:val="24"/>
          <w:szCs w:val="24"/>
        </w:rPr>
        <w:t xml:space="preserve">initially indicated that it would call two witnesses (directors) to support its case but at the trial the evidence of </w:t>
      </w:r>
      <w:r w:rsidR="005921DC" w:rsidRPr="00C01B3D">
        <w:rPr>
          <w:sz w:val="24"/>
          <w:szCs w:val="24"/>
        </w:rPr>
        <w:t xml:space="preserve">the </w:t>
      </w:r>
      <w:r w:rsidR="0003750A" w:rsidRPr="00C01B3D">
        <w:rPr>
          <w:sz w:val="24"/>
          <w:szCs w:val="24"/>
        </w:rPr>
        <w:t xml:space="preserve">second director was dispensed with on the ground that it would be similar to that of the first director. The Plaintiff </w:t>
      </w:r>
      <w:r w:rsidRPr="00C01B3D">
        <w:rPr>
          <w:sz w:val="24"/>
          <w:szCs w:val="24"/>
        </w:rPr>
        <w:lastRenderedPageBreak/>
        <w:t xml:space="preserve">contends that the equipment provided by </w:t>
      </w:r>
      <w:r w:rsidR="00A22608" w:rsidRPr="00C01B3D">
        <w:rPr>
          <w:sz w:val="24"/>
          <w:szCs w:val="24"/>
        </w:rPr>
        <w:t xml:space="preserve">the </w:t>
      </w:r>
      <w:r w:rsidRPr="00C01B3D">
        <w:rPr>
          <w:sz w:val="24"/>
          <w:szCs w:val="24"/>
        </w:rPr>
        <w:t>D</w:t>
      </w:r>
      <w:r w:rsidR="00A22608" w:rsidRPr="00C01B3D">
        <w:rPr>
          <w:sz w:val="24"/>
          <w:szCs w:val="24"/>
        </w:rPr>
        <w:t xml:space="preserve">efendant, namely; the peanut butter machine, peanut </w:t>
      </w:r>
      <w:proofErr w:type="spellStart"/>
      <w:r w:rsidR="00A22608" w:rsidRPr="00C01B3D">
        <w:rPr>
          <w:sz w:val="24"/>
          <w:szCs w:val="24"/>
        </w:rPr>
        <w:t>sheller</w:t>
      </w:r>
      <w:proofErr w:type="spellEnd"/>
      <w:r w:rsidR="00A22608" w:rsidRPr="00C01B3D">
        <w:rPr>
          <w:sz w:val="24"/>
          <w:szCs w:val="24"/>
        </w:rPr>
        <w:t xml:space="preserve">, and </w:t>
      </w:r>
      <w:r w:rsidR="005921DC" w:rsidRPr="00C01B3D">
        <w:rPr>
          <w:sz w:val="24"/>
          <w:szCs w:val="24"/>
        </w:rPr>
        <w:t xml:space="preserve">3-in-1 </w:t>
      </w:r>
      <w:r w:rsidR="00A22608" w:rsidRPr="00C01B3D">
        <w:rPr>
          <w:sz w:val="24"/>
          <w:szCs w:val="24"/>
        </w:rPr>
        <w:t>oil press were faulty, and</w:t>
      </w:r>
      <w:r w:rsidRPr="00C01B3D">
        <w:rPr>
          <w:sz w:val="24"/>
          <w:szCs w:val="24"/>
        </w:rPr>
        <w:t xml:space="preserve"> therefore </w:t>
      </w:r>
      <w:r w:rsidR="00A22608" w:rsidRPr="00C01B3D">
        <w:rPr>
          <w:sz w:val="24"/>
          <w:szCs w:val="24"/>
        </w:rPr>
        <w:t xml:space="preserve">it </w:t>
      </w:r>
      <w:r w:rsidRPr="00C01B3D">
        <w:rPr>
          <w:sz w:val="24"/>
          <w:szCs w:val="24"/>
        </w:rPr>
        <w:t xml:space="preserve">suffered loss of profit and other damages because </w:t>
      </w:r>
      <w:r w:rsidR="00A22608" w:rsidRPr="00C01B3D">
        <w:rPr>
          <w:sz w:val="24"/>
          <w:szCs w:val="24"/>
        </w:rPr>
        <w:t>it</w:t>
      </w:r>
      <w:r w:rsidRPr="00C01B3D">
        <w:rPr>
          <w:sz w:val="24"/>
          <w:szCs w:val="24"/>
        </w:rPr>
        <w:t xml:space="preserve"> was unable to use the equipment. </w:t>
      </w:r>
      <w:r w:rsidR="00A22608" w:rsidRPr="00C01B3D">
        <w:rPr>
          <w:sz w:val="24"/>
          <w:szCs w:val="24"/>
        </w:rPr>
        <w:t xml:space="preserve">The </w:t>
      </w:r>
      <w:r w:rsidRPr="00C01B3D">
        <w:rPr>
          <w:sz w:val="24"/>
          <w:szCs w:val="24"/>
        </w:rPr>
        <w:t>Plaintiff do</w:t>
      </w:r>
      <w:r w:rsidR="005921DC" w:rsidRPr="00C01B3D">
        <w:rPr>
          <w:sz w:val="24"/>
          <w:szCs w:val="24"/>
        </w:rPr>
        <w:t>es not claim that the Canter Two</w:t>
      </w:r>
      <w:r w:rsidR="00BE3CC2" w:rsidRPr="00C01B3D">
        <w:rPr>
          <w:sz w:val="24"/>
          <w:szCs w:val="24"/>
        </w:rPr>
        <w:t xml:space="preserve"> </w:t>
      </w:r>
      <w:proofErr w:type="spellStart"/>
      <w:r w:rsidR="00BE3CC2" w:rsidRPr="00C01B3D">
        <w:rPr>
          <w:sz w:val="24"/>
          <w:szCs w:val="24"/>
        </w:rPr>
        <w:t>T</w:t>
      </w:r>
      <w:r w:rsidRPr="00C01B3D">
        <w:rPr>
          <w:sz w:val="24"/>
          <w:szCs w:val="24"/>
        </w:rPr>
        <w:t>onne</w:t>
      </w:r>
      <w:proofErr w:type="spellEnd"/>
      <w:r w:rsidR="00815D14" w:rsidRPr="00C01B3D">
        <w:rPr>
          <w:sz w:val="24"/>
          <w:szCs w:val="24"/>
        </w:rPr>
        <w:t xml:space="preserve"> delivery</w:t>
      </w:r>
      <w:r w:rsidRPr="00C01B3D">
        <w:rPr>
          <w:sz w:val="24"/>
          <w:szCs w:val="24"/>
        </w:rPr>
        <w:t xml:space="preserve"> truck used for the bakery </w:t>
      </w:r>
      <w:r w:rsidR="00815D14" w:rsidRPr="00C01B3D">
        <w:rPr>
          <w:sz w:val="24"/>
          <w:szCs w:val="24"/>
        </w:rPr>
        <w:t xml:space="preserve">enterprise </w:t>
      </w:r>
      <w:r w:rsidRPr="00C01B3D">
        <w:rPr>
          <w:sz w:val="24"/>
          <w:szCs w:val="24"/>
        </w:rPr>
        <w:t xml:space="preserve">was faulty. </w:t>
      </w:r>
    </w:p>
    <w:p w:rsidR="00950992" w:rsidRPr="00C01B3D" w:rsidRDefault="00950992" w:rsidP="00C01B3D">
      <w:pPr>
        <w:spacing w:line="360" w:lineRule="auto"/>
        <w:ind w:right="-425"/>
        <w:jc w:val="both"/>
        <w:rPr>
          <w:sz w:val="24"/>
          <w:szCs w:val="24"/>
        </w:rPr>
      </w:pPr>
    </w:p>
    <w:p w:rsidR="00285FD2" w:rsidRPr="00C01B3D" w:rsidRDefault="00C8307C" w:rsidP="00C01B3D">
      <w:pPr>
        <w:spacing w:line="360" w:lineRule="auto"/>
        <w:ind w:right="-425"/>
        <w:jc w:val="both"/>
        <w:rPr>
          <w:sz w:val="24"/>
          <w:szCs w:val="24"/>
        </w:rPr>
      </w:pPr>
      <w:r w:rsidRPr="00C01B3D">
        <w:rPr>
          <w:sz w:val="24"/>
          <w:szCs w:val="24"/>
        </w:rPr>
        <w:t>In</w:t>
      </w:r>
      <w:r w:rsidR="00726FA6" w:rsidRPr="00C01B3D">
        <w:rPr>
          <w:sz w:val="24"/>
          <w:szCs w:val="24"/>
        </w:rPr>
        <w:t>deed the evidence on record</w:t>
      </w:r>
      <w:r w:rsidR="00687CF5" w:rsidRPr="00C01B3D">
        <w:rPr>
          <w:sz w:val="24"/>
          <w:szCs w:val="24"/>
        </w:rPr>
        <w:t>,</w:t>
      </w:r>
      <w:r w:rsidR="00726FA6" w:rsidRPr="00C01B3D">
        <w:rPr>
          <w:sz w:val="24"/>
          <w:szCs w:val="24"/>
        </w:rPr>
        <w:t xml:space="preserve"> both documentary and oral</w:t>
      </w:r>
      <w:r w:rsidR="00687CF5" w:rsidRPr="00C01B3D">
        <w:rPr>
          <w:sz w:val="24"/>
          <w:szCs w:val="24"/>
        </w:rPr>
        <w:t>,</w:t>
      </w:r>
      <w:r w:rsidR="00726FA6" w:rsidRPr="00C01B3D">
        <w:rPr>
          <w:sz w:val="24"/>
          <w:szCs w:val="24"/>
        </w:rPr>
        <w:t xml:space="preserve"> confirms that t</w:t>
      </w:r>
      <w:r w:rsidR="000A71AE" w:rsidRPr="00C01B3D">
        <w:rPr>
          <w:sz w:val="24"/>
          <w:szCs w:val="24"/>
        </w:rPr>
        <w:t>he farm equipment</w:t>
      </w:r>
      <w:r w:rsidRPr="00C01B3D">
        <w:rPr>
          <w:sz w:val="24"/>
          <w:szCs w:val="24"/>
        </w:rPr>
        <w:t xml:space="preserve"> arrived in June</w:t>
      </w:r>
      <w:r w:rsidR="00A22608" w:rsidRPr="00C01B3D">
        <w:rPr>
          <w:sz w:val="24"/>
          <w:szCs w:val="24"/>
        </w:rPr>
        <w:t xml:space="preserve"> </w:t>
      </w:r>
      <w:r w:rsidR="00815D14" w:rsidRPr="00C01B3D">
        <w:rPr>
          <w:sz w:val="24"/>
          <w:szCs w:val="24"/>
        </w:rPr>
        <w:t>2010.</w:t>
      </w:r>
      <w:r w:rsidRPr="00C01B3D">
        <w:rPr>
          <w:sz w:val="24"/>
          <w:szCs w:val="24"/>
        </w:rPr>
        <w:t xml:space="preserve"> The 3-in-1 oil press was in a very poor state upon arrival </w:t>
      </w:r>
      <w:r w:rsidR="005921DC" w:rsidRPr="00C01B3D">
        <w:rPr>
          <w:sz w:val="24"/>
          <w:szCs w:val="24"/>
        </w:rPr>
        <w:t>at</w:t>
      </w:r>
      <w:r w:rsidRPr="00C01B3D">
        <w:rPr>
          <w:sz w:val="24"/>
          <w:szCs w:val="24"/>
        </w:rPr>
        <w:t xml:space="preserve"> </w:t>
      </w:r>
      <w:r w:rsidR="00A22608" w:rsidRPr="00C01B3D">
        <w:rPr>
          <w:sz w:val="24"/>
          <w:szCs w:val="24"/>
        </w:rPr>
        <w:t xml:space="preserve">the </w:t>
      </w:r>
      <w:r w:rsidRPr="00C01B3D">
        <w:rPr>
          <w:sz w:val="24"/>
          <w:szCs w:val="24"/>
        </w:rPr>
        <w:t>Plaintiff’s farm, and the technician who came from South Africa and inspected the machine determined that it needed to be returned to South Africa for repair.</w:t>
      </w:r>
      <w:r w:rsidR="00460824" w:rsidRPr="00C01B3D">
        <w:rPr>
          <w:sz w:val="24"/>
          <w:szCs w:val="24"/>
        </w:rPr>
        <w:t xml:space="preserve"> An email exchange between the Defendant, </w:t>
      </w:r>
      <w:r w:rsidR="00A22608" w:rsidRPr="00C01B3D">
        <w:rPr>
          <w:sz w:val="24"/>
          <w:szCs w:val="24"/>
        </w:rPr>
        <w:t xml:space="preserve">the </w:t>
      </w:r>
      <w:r w:rsidR="00460824" w:rsidRPr="00C01B3D">
        <w:rPr>
          <w:sz w:val="24"/>
          <w:szCs w:val="24"/>
        </w:rPr>
        <w:t xml:space="preserve">Plaintiff, and </w:t>
      </w:r>
      <w:r w:rsidR="00A22608" w:rsidRPr="00C01B3D">
        <w:rPr>
          <w:sz w:val="24"/>
          <w:szCs w:val="24"/>
        </w:rPr>
        <w:t xml:space="preserve">the </w:t>
      </w:r>
      <w:r w:rsidR="00460824" w:rsidRPr="00C01B3D">
        <w:rPr>
          <w:sz w:val="24"/>
          <w:szCs w:val="24"/>
        </w:rPr>
        <w:t>Manufacturer</w:t>
      </w:r>
      <w:r w:rsidR="000A71AE" w:rsidRPr="00C01B3D">
        <w:rPr>
          <w:sz w:val="24"/>
          <w:szCs w:val="24"/>
        </w:rPr>
        <w:t xml:space="preserve"> in South Africa</w:t>
      </w:r>
      <w:r w:rsidR="00460824" w:rsidRPr="00C01B3D">
        <w:rPr>
          <w:sz w:val="24"/>
          <w:szCs w:val="24"/>
        </w:rPr>
        <w:t xml:space="preserve"> describe the </w:t>
      </w:r>
      <w:r w:rsidR="00815D14" w:rsidRPr="00C01B3D">
        <w:rPr>
          <w:sz w:val="24"/>
          <w:szCs w:val="24"/>
        </w:rPr>
        <w:t xml:space="preserve">aftermath, </w:t>
      </w:r>
      <w:r w:rsidR="00460824" w:rsidRPr="00C01B3D">
        <w:rPr>
          <w:sz w:val="24"/>
          <w:szCs w:val="24"/>
        </w:rPr>
        <w:t xml:space="preserve">as the parties struggled to figure out how to resolve the issue. </w:t>
      </w:r>
      <w:r w:rsidR="00726FA6" w:rsidRPr="00C01B3D">
        <w:rPr>
          <w:sz w:val="24"/>
          <w:szCs w:val="24"/>
        </w:rPr>
        <w:t>Therefore there is no doubt that the 3-in-1 oil press was faulty and was unfit for use. Whether or not that amounted to breach of contract will be discussed herein later but i</w:t>
      </w:r>
      <w:r w:rsidR="00BE3CC2" w:rsidRPr="00C01B3D">
        <w:rPr>
          <w:sz w:val="24"/>
          <w:szCs w:val="24"/>
        </w:rPr>
        <w:t>n addition to the oil press, the</w:t>
      </w:r>
      <w:r w:rsidR="00460824" w:rsidRPr="00C01B3D">
        <w:rPr>
          <w:sz w:val="24"/>
          <w:szCs w:val="24"/>
        </w:rPr>
        <w:t xml:space="preserve"> Plaintiff contends that the peanut </w:t>
      </w:r>
      <w:proofErr w:type="spellStart"/>
      <w:r w:rsidR="00460824" w:rsidRPr="00C01B3D">
        <w:rPr>
          <w:sz w:val="24"/>
          <w:szCs w:val="24"/>
        </w:rPr>
        <w:t>shell</w:t>
      </w:r>
      <w:r w:rsidR="00753FD3" w:rsidRPr="00C01B3D">
        <w:rPr>
          <w:sz w:val="24"/>
          <w:szCs w:val="24"/>
        </w:rPr>
        <w:t>er</w:t>
      </w:r>
      <w:proofErr w:type="spellEnd"/>
      <w:r w:rsidR="00753FD3" w:rsidRPr="00C01B3D">
        <w:rPr>
          <w:sz w:val="24"/>
          <w:szCs w:val="24"/>
        </w:rPr>
        <w:t xml:space="preserve"> and peanut butter machine </w:t>
      </w:r>
      <w:r w:rsidR="00BE3CC2" w:rsidRPr="00C01B3D">
        <w:rPr>
          <w:sz w:val="24"/>
          <w:szCs w:val="24"/>
        </w:rPr>
        <w:t xml:space="preserve">also </w:t>
      </w:r>
      <w:r w:rsidR="00753FD3" w:rsidRPr="00C01B3D">
        <w:rPr>
          <w:sz w:val="24"/>
          <w:szCs w:val="24"/>
        </w:rPr>
        <w:t>were</w:t>
      </w:r>
      <w:r w:rsidR="00285FD2" w:rsidRPr="00C01B3D">
        <w:rPr>
          <w:sz w:val="24"/>
          <w:szCs w:val="24"/>
        </w:rPr>
        <w:t xml:space="preserve"> found to be faulty </w:t>
      </w:r>
      <w:r w:rsidR="005921DC" w:rsidRPr="00C01B3D">
        <w:rPr>
          <w:sz w:val="24"/>
          <w:szCs w:val="24"/>
        </w:rPr>
        <w:t>and unfit for use</w:t>
      </w:r>
      <w:r w:rsidR="00285FD2" w:rsidRPr="00C01B3D">
        <w:rPr>
          <w:sz w:val="24"/>
          <w:szCs w:val="24"/>
        </w:rPr>
        <w:t>. However</w:t>
      </w:r>
      <w:r w:rsidR="00460824" w:rsidRPr="00C01B3D">
        <w:rPr>
          <w:sz w:val="24"/>
          <w:szCs w:val="24"/>
        </w:rPr>
        <w:t xml:space="preserve">, the email </w:t>
      </w:r>
      <w:r w:rsidR="000A71AE" w:rsidRPr="00C01B3D">
        <w:rPr>
          <w:sz w:val="24"/>
          <w:szCs w:val="24"/>
        </w:rPr>
        <w:t>correspondence</w:t>
      </w:r>
      <w:r w:rsidR="00687CF5" w:rsidRPr="00C01B3D">
        <w:rPr>
          <w:sz w:val="24"/>
          <w:szCs w:val="24"/>
        </w:rPr>
        <w:t>s</w:t>
      </w:r>
      <w:r w:rsidR="000A71AE" w:rsidRPr="00C01B3D">
        <w:rPr>
          <w:sz w:val="24"/>
          <w:szCs w:val="24"/>
        </w:rPr>
        <w:t xml:space="preserve"> and letters </w:t>
      </w:r>
      <w:r w:rsidR="00285FD2" w:rsidRPr="00C01B3D">
        <w:rPr>
          <w:sz w:val="24"/>
          <w:szCs w:val="24"/>
        </w:rPr>
        <w:t xml:space="preserve">submitted by </w:t>
      </w:r>
      <w:r w:rsidR="004E735A" w:rsidRPr="00C01B3D">
        <w:rPr>
          <w:sz w:val="24"/>
          <w:szCs w:val="24"/>
        </w:rPr>
        <w:t xml:space="preserve">the </w:t>
      </w:r>
      <w:r w:rsidR="00285FD2" w:rsidRPr="00C01B3D">
        <w:rPr>
          <w:sz w:val="24"/>
          <w:szCs w:val="24"/>
        </w:rPr>
        <w:t>Plaintiff only show clear indication</w:t>
      </w:r>
      <w:r w:rsidR="00460824" w:rsidRPr="00C01B3D">
        <w:rPr>
          <w:sz w:val="24"/>
          <w:szCs w:val="24"/>
        </w:rPr>
        <w:t xml:space="preserve"> that the 3-in-1 oil press was unfit for use.</w:t>
      </w:r>
      <w:r w:rsidR="00CD63D7" w:rsidRPr="00C01B3D">
        <w:rPr>
          <w:sz w:val="24"/>
          <w:szCs w:val="24"/>
        </w:rPr>
        <w:t xml:space="preserve"> The only</w:t>
      </w:r>
      <w:r w:rsidR="005921DC" w:rsidRPr="00C01B3D">
        <w:rPr>
          <w:sz w:val="24"/>
          <w:szCs w:val="24"/>
        </w:rPr>
        <w:t xml:space="preserve"> proof </w:t>
      </w:r>
      <w:r w:rsidR="00CD63D7" w:rsidRPr="00C01B3D">
        <w:rPr>
          <w:sz w:val="24"/>
          <w:szCs w:val="24"/>
        </w:rPr>
        <w:t xml:space="preserve">that the </w:t>
      </w:r>
      <w:r w:rsidR="00460824" w:rsidRPr="00C01B3D">
        <w:rPr>
          <w:sz w:val="24"/>
          <w:szCs w:val="24"/>
        </w:rPr>
        <w:t xml:space="preserve">peanut butter machine and peanut shelter were </w:t>
      </w:r>
      <w:r w:rsidR="00CD63D7" w:rsidRPr="00C01B3D">
        <w:rPr>
          <w:sz w:val="24"/>
          <w:szCs w:val="24"/>
        </w:rPr>
        <w:t xml:space="preserve">also </w:t>
      </w:r>
      <w:r w:rsidR="00460824" w:rsidRPr="00C01B3D">
        <w:rPr>
          <w:sz w:val="24"/>
          <w:szCs w:val="24"/>
        </w:rPr>
        <w:t>faulty i</w:t>
      </w:r>
      <w:r w:rsidR="004F0781" w:rsidRPr="00C01B3D">
        <w:rPr>
          <w:sz w:val="24"/>
          <w:szCs w:val="24"/>
        </w:rPr>
        <w:t>s the testimony of the witness</w:t>
      </w:r>
      <w:r w:rsidR="005921DC" w:rsidRPr="00C01B3D">
        <w:rPr>
          <w:sz w:val="24"/>
          <w:szCs w:val="24"/>
        </w:rPr>
        <w:t>. This is not backed by any other evidence. An</w:t>
      </w:r>
      <w:r w:rsidR="000A71AE" w:rsidRPr="00C01B3D">
        <w:rPr>
          <w:sz w:val="24"/>
          <w:szCs w:val="24"/>
        </w:rPr>
        <w:t xml:space="preserve"> email from </w:t>
      </w:r>
      <w:r w:rsidR="00687CF5" w:rsidRPr="00C01B3D">
        <w:rPr>
          <w:sz w:val="24"/>
          <w:szCs w:val="24"/>
        </w:rPr>
        <w:t xml:space="preserve">Mr. James Bean to the manufacturer </w:t>
      </w:r>
      <w:r w:rsidR="005921DC" w:rsidRPr="00C01B3D">
        <w:rPr>
          <w:sz w:val="24"/>
          <w:szCs w:val="24"/>
        </w:rPr>
        <w:t xml:space="preserve">indicated </w:t>
      </w:r>
      <w:r w:rsidR="00687CF5" w:rsidRPr="00C01B3D">
        <w:rPr>
          <w:sz w:val="24"/>
          <w:szCs w:val="24"/>
        </w:rPr>
        <w:t xml:space="preserve">that the peanut butter machine and the peanut </w:t>
      </w:r>
      <w:proofErr w:type="spellStart"/>
      <w:r w:rsidR="00687CF5" w:rsidRPr="00C01B3D">
        <w:rPr>
          <w:sz w:val="24"/>
          <w:szCs w:val="24"/>
        </w:rPr>
        <w:t>sheller</w:t>
      </w:r>
      <w:proofErr w:type="spellEnd"/>
      <w:r w:rsidR="00687CF5" w:rsidRPr="00C01B3D">
        <w:rPr>
          <w:sz w:val="24"/>
          <w:szCs w:val="24"/>
        </w:rPr>
        <w:t xml:space="preserve"> had not been thoroughly inspected and they had not ascertained their condition. Mr. James Bean’s said e-mail was marked as Exhibit P4</w:t>
      </w:r>
      <w:r w:rsidR="00285FD2" w:rsidRPr="00C01B3D">
        <w:rPr>
          <w:sz w:val="24"/>
          <w:szCs w:val="24"/>
        </w:rPr>
        <w:t>.</w:t>
      </w:r>
      <w:r w:rsidR="00687CF5" w:rsidRPr="00C01B3D">
        <w:rPr>
          <w:sz w:val="24"/>
          <w:szCs w:val="24"/>
        </w:rPr>
        <w:t xml:space="preserve"> It </w:t>
      </w:r>
      <w:r w:rsidR="008F5C31" w:rsidRPr="00C01B3D">
        <w:rPr>
          <w:sz w:val="24"/>
          <w:szCs w:val="24"/>
        </w:rPr>
        <w:t xml:space="preserve">has the manufacturer’s comments against all the issues raised by Mr. Bean and in particular it said Mr. Wright who inspected the machines confirmed that the peanut butter machine and the peanut </w:t>
      </w:r>
      <w:proofErr w:type="spellStart"/>
      <w:r w:rsidR="008F5C31" w:rsidRPr="00C01B3D">
        <w:rPr>
          <w:sz w:val="24"/>
          <w:szCs w:val="24"/>
        </w:rPr>
        <w:t>sheller</w:t>
      </w:r>
      <w:proofErr w:type="spellEnd"/>
      <w:r w:rsidR="008F5C31" w:rsidRPr="00C01B3D">
        <w:rPr>
          <w:sz w:val="24"/>
          <w:szCs w:val="24"/>
        </w:rPr>
        <w:t xml:space="preserve"> are in order.</w:t>
      </w:r>
      <w:r w:rsidR="005921DC" w:rsidRPr="00C01B3D">
        <w:rPr>
          <w:sz w:val="24"/>
          <w:szCs w:val="24"/>
        </w:rPr>
        <w:t xml:space="preserve"> I do not therefore see the basis for the Plaintiff’s claim that those machines were also unfit for use.</w:t>
      </w:r>
    </w:p>
    <w:p w:rsidR="008F5C31" w:rsidRPr="00C01B3D" w:rsidRDefault="008F5C31" w:rsidP="00C01B3D">
      <w:pPr>
        <w:spacing w:line="360" w:lineRule="auto"/>
        <w:ind w:right="-425"/>
        <w:jc w:val="both"/>
        <w:rPr>
          <w:sz w:val="24"/>
          <w:szCs w:val="24"/>
        </w:rPr>
      </w:pPr>
    </w:p>
    <w:p w:rsidR="005921DC" w:rsidRPr="00C01B3D" w:rsidRDefault="008F5C31" w:rsidP="00C01B3D">
      <w:pPr>
        <w:spacing w:line="360" w:lineRule="auto"/>
        <w:ind w:right="-425"/>
        <w:jc w:val="both"/>
        <w:rPr>
          <w:sz w:val="24"/>
          <w:szCs w:val="24"/>
        </w:rPr>
      </w:pPr>
      <w:r w:rsidRPr="00C01B3D">
        <w:rPr>
          <w:sz w:val="24"/>
          <w:szCs w:val="24"/>
        </w:rPr>
        <w:t xml:space="preserve">It is </w:t>
      </w:r>
      <w:r w:rsidR="005921DC" w:rsidRPr="00C01B3D">
        <w:rPr>
          <w:sz w:val="24"/>
          <w:szCs w:val="24"/>
        </w:rPr>
        <w:t xml:space="preserve">also </w:t>
      </w:r>
      <w:r w:rsidRPr="00C01B3D">
        <w:rPr>
          <w:sz w:val="24"/>
          <w:szCs w:val="24"/>
        </w:rPr>
        <w:t>curious to note that by a letter to the Plaintiff dated 23</w:t>
      </w:r>
      <w:r w:rsidRPr="00C01B3D">
        <w:rPr>
          <w:sz w:val="24"/>
          <w:szCs w:val="24"/>
          <w:vertAlign w:val="superscript"/>
        </w:rPr>
        <w:t>rd</w:t>
      </w:r>
      <w:r w:rsidRPr="00C01B3D">
        <w:rPr>
          <w:sz w:val="24"/>
          <w:szCs w:val="24"/>
        </w:rPr>
        <w:t xml:space="preserve"> August 2010 (at page 38 of the Trial Bundle) Mr. Jeremy R.A. </w:t>
      </w:r>
      <w:proofErr w:type="spellStart"/>
      <w:r w:rsidRPr="00C01B3D">
        <w:rPr>
          <w:sz w:val="24"/>
          <w:szCs w:val="24"/>
        </w:rPr>
        <w:t>Haslam</w:t>
      </w:r>
      <w:proofErr w:type="spellEnd"/>
      <w:r w:rsidRPr="00C01B3D">
        <w:rPr>
          <w:sz w:val="24"/>
          <w:szCs w:val="24"/>
        </w:rPr>
        <w:t xml:space="preserve">, the Defendant’s Chief of Mission wrote to the Plaintiff </w:t>
      </w:r>
      <w:r w:rsidR="00602EAF" w:rsidRPr="00C01B3D">
        <w:rPr>
          <w:sz w:val="24"/>
          <w:szCs w:val="24"/>
        </w:rPr>
        <w:t xml:space="preserve"> and proposed two options of resolving their impasse, namely;</w:t>
      </w:r>
    </w:p>
    <w:p w:rsidR="00602EAF" w:rsidRPr="00C01B3D" w:rsidRDefault="00602EAF" w:rsidP="00C01B3D">
      <w:pPr>
        <w:spacing w:line="360" w:lineRule="auto"/>
        <w:ind w:right="-425"/>
        <w:jc w:val="both"/>
        <w:rPr>
          <w:sz w:val="24"/>
          <w:szCs w:val="24"/>
        </w:rPr>
      </w:pPr>
      <w:r w:rsidRPr="00C01B3D">
        <w:rPr>
          <w:sz w:val="24"/>
          <w:szCs w:val="24"/>
        </w:rPr>
        <w:t xml:space="preserve"> </w:t>
      </w:r>
    </w:p>
    <w:p w:rsidR="00602EAF" w:rsidRPr="00C01B3D" w:rsidRDefault="00602EAF" w:rsidP="00C01B3D">
      <w:pPr>
        <w:pStyle w:val="ListParagraph"/>
        <w:numPr>
          <w:ilvl w:val="0"/>
          <w:numId w:val="4"/>
        </w:numPr>
        <w:spacing w:line="360" w:lineRule="auto"/>
        <w:ind w:right="-425"/>
        <w:jc w:val="both"/>
        <w:rPr>
          <w:sz w:val="24"/>
          <w:szCs w:val="24"/>
        </w:rPr>
      </w:pPr>
      <w:r w:rsidRPr="00C01B3D">
        <w:rPr>
          <w:sz w:val="24"/>
          <w:szCs w:val="24"/>
        </w:rPr>
        <w:t xml:space="preserve">Allowing the agreement to finish as had been agreed and assigning to the Plaintiff the peanut butter machine, the peanut </w:t>
      </w:r>
      <w:proofErr w:type="spellStart"/>
      <w:r w:rsidRPr="00C01B3D">
        <w:rPr>
          <w:sz w:val="24"/>
          <w:szCs w:val="24"/>
        </w:rPr>
        <w:t>sheller</w:t>
      </w:r>
      <w:proofErr w:type="spellEnd"/>
      <w:r w:rsidRPr="00C01B3D">
        <w:rPr>
          <w:sz w:val="24"/>
          <w:szCs w:val="24"/>
        </w:rPr>
        <w:t xml:space="preserve"> and the canter two-</w:t>
      </w:r>
      <w:proofErr w:type="spellStart"/>
      <w:r w:rsidRPr="00C01B3D">
        <w:rPr>
          <w:sz w:val="24"/>
          <w:szCs w:val="24"/>
        </w:rPr>
        <w:t>tonne</w:t>
      </w:r>
      <w:proofErr w:type="spellEnd"/>
      <w:r w:rsidRPr="00C01B3D">
        <w:rPr>
          <w:sz w:val="24"/>
          <w:szCs w:val="24"/>
        </w:rPr>
        <w:t xml:space="preserve"> truck </w:t>
      </w:r>
      <w:r w:rsidRPr="00C01B3D">
        <w:rPr>
          <w:sz w:val="24"/>
          <w:szCs w:val="24"/>
        </w:rPr>
        <w:lastRenderedPageBreak/>
        <w:t>already provided on condition that the 34 clients then employed by the Plaintiff would remain in gainful employment within the Plaintiff’s means to do so and the 3-in-1 oil press machine would not be available to the Plaintiff.</w:t>
      </w:r>
    </w:p>
    <w:p w:rsidR="008F5C31" w:rsidRPr="00C01B3D" w:rsidRDefault="00602EAF" w:rsidP="00C01B3D">
      <w:pPr>
        <w:pStyle w:val="ListParagraph"/>
        <w:numPr>
          <w:ilvl w:val="0"/>
          <w:numId w:val="4"/>
        </w:numPr>
        <w:spacing w:line="360" w:lineRule="auto"/>
        <w:ind w:right="-425"/>
        <w:jc w:val="both"/>
        <w:rPr>
          <w:sz w:val="24"/>
          <w:szCs w:val="24"/>
        </w:rPr>
      </w:pPr>
      <w:r w:rsidRPr="00C01B3D">
        <w:rPr>
          <w:sz w:val="24"/>
          <w:szCs w:val="24"/>
        </w:rPr>
        <w:t xml:space="preserve"> Extending the then Services Agreement until 31</w:t>
      </w:r>
      <w:r w:rsidRPr="00C01B3D">
        <w:rPr>
          <w:sz w:val="24"/>
          <w:szCs w:val="24"/>
          <w:vertAlign w:val="superscript"/>
        </w:rPr>
        <w:t>st</w:t>
      </w:r>
      <w:r w:rsidRPr="00C01B3D">
        <w:rPr>
          <w:sz w:val="24"/>
          <w:szCs w:val="24"/>
        </w:rPr>
        <w:t xml:space="preserve"> December 2010 and once the 3-in-1 oil press machine is </w:t>
      </w:r>
      <w:r w:rsidR="00317AB8" w:rsidRPr="00C01B3D">
        <w:rPr>
          <w:sz w:val="24"/>
          <w:szCs w:val="24"/>
        </w:rPr>
        <w:t>delivered to IOM it would make it available to the Plaintiff and all the other obligations that bind it in relation to referral of the Plaintiff’s clients, their employment conditions and other terms of the conditions of the Agreement would remain in force.</w:t>
      </w:r>
    </w:p>
    <w:p w:rsidR="005921DC" w:rsidRPr="00C01B3D" w:rsidRDefault="005921DC" w:rsidP="00C01B3D">
      <w:pPr>
        <w:pStyle w:val="ListParagraph"/>
        <w:spacing w:line="360" w:lineRule="auto"/>
        <w:ind w:left="1080" w:right="-425"/>
        <w:jc w:val="both"/>
        <w:rPr>
          <w:sz w:val="24"/>
          <w:szCs w:val="24"/>
        </w:rPr>
      </w:pPr>
    </w:p>
    <w:p w:rsidR="00285FD2" w:rsidRPr="00C01B3D" w:rsidRDefault="00317AB8" w:rsidP="00C01B3D">
      <w:pPr>
        <w:spacing w:line="360" w:lineRule="auto"/>
        <w:ind w:right="-425"/>
        <w:jc w:val="both"/>
        <w:rPr>
          <w:sz w:val="24"/>
          <w:szCs w:val="24"/>
        </w:rPr>
      </w:pPr>
      <w:r w:rsidRPr="00C01B3D">
        <w:rPr>
          <w:sz w:val="24"/>
          <w:szCs w:val="24"/>
        </w:rPr>
        <w:t xml:space="preserve">The Plaintiff has not shown to this court that it protested the proposal to assign to it the peanut butter machine and the peanut </w:t>
      </w:r>
      <w:proofErr w:type="spellStart"/>
      <w:r w:rsidRPr="00C01B3D">
        <w:rPr>
          <w:sz w:val="24"/>
          <w:szCs w:val="24"/>
        </w:rPr>
        <w:t>sheller</w:t>
      </w:r>
      <w:proofErr w:type="spellEnd"/>
      <w:r w:rsidRPr="00C01B3D">
        <w:rPr>
          <w:sz w:val="24"/>
          <w:szCs w:val="24"/>
        </w:rPr>
        <w:t xml:space="preserve"> because they were faulty. I would have expected that protest if indeed those machines were defective. On the contrary, there is a letter on record at page 36 of the Trial Bundle which I have already alluded to herein above, which shows that those machines were actually disposed of to the Plaintiff which received them without any protest</w:t>
      </w:r>
      <w:r w:rsidR="009F2E6B" w:rsidRPr="00C01B3D">
        <w:rPr>
          <w:sz w:val="24"/>
          <w:szCs w:val="24"/>
        </w:rPr>
        <w:t>.</w:t>
      </w:r>
    </w:p>
    <w:p w:rsidR="009F2E6B" w:rsidRPr="00C01B3D" w:rsidRDefault="009F2E6B" w:rsidP="00C01B3D">
      <w:pPr>
        <w:spacing w:line="360" w:lineRule="auto"/>
        <w:ind w:right="-425"/>
        <w:jc w:val="both"/>
        <w:rPr>
          <w:sz w:val="24"/>
          <w:szCs w:val="24"/>
        </w:rPr>
      </w:pPr>
    </w:p>
    <w:p w:rsidR="009F2E6B" w:rsidRPr="00C01B3D" w:rsidRDefault="009F2E6B" w:rsidP="00C01B3D">
      <w:pPr>
        <w:spacing w:line="360" w:lineRule="auto"/>
        <w:ind w:right="-425"/>
        <w:jc w:val="both"/>
        <w:rPr>
          <w:sz w:val="24"/>
          <w:szCs w:val="24"/>
        </w:rPr>
      </w:pPr>
      <w:r w:rsidRPr="00C01B3D">
        <w:rPr>
          <w:sz w:val="24"/>
          <w:szCs w:val="24"/>
        </w:rPr>
        <w:t xml:space="preserve">This court is therefore not convinced that those machines were so faulty and unfit for use because the Plaintiff would not have received them if it were so. It is possible that some parts had minor defects which must have been fixed as at the time they were assigned to the Plaintiff. I therefore find that the peanut butter machine and the peanut </w:t>
      </w:r>
      <w:proofErr w:type="spellStart"/>
      <w:r w:rsidRPr="00C01B3D">
        <w:rPr>
          <w:sz w:val="24"/>
          <w:szCs w:val="24"/>
        </w:rPr>
        <w:t>sheller</w:t>
      </w:r>
      <w:proofErr w:type="spellEnd"/>
      <w:r w:rsidRPr="00C01B3D">
        <w:rPr>
          <w:sz w:val="24"/>
          <w:szCs w:val="24"/>
        </w:rPr>
        <w:t xml:space="preserve"> were provided to the Plaintiff as agreed. With that resolved, I now turn to discuss whether the Defendant breached the contract by providing a defective 3-in-1 oil press machine.</w:t>
      </w:r>
    </w:p>
    <w:p w:rsidR="009F2E6B" w:rsidRPr="00C01B3D" w:rsidRDefault="009F2E6B" w:rsidP="00C01B3D">
      <w:pPr>
        <w:spacing w:line="360" w:lineRule="auto"/>
        <w:ind w:right="-425"/>
        <w:jc w:val="both"/>
        <w:rPr>
          <w:sz w:val="24"/>
          <w:szCs w:val="24"/>
        </w:rPr>
      </w:pPr>
    </w:p>
    <w:p w:rsidR="00860E62" w:rsidRPr="00C01B3D" w:rsidRDefault="009F2E6B" w:rsidP="00C01B3D">
      <w:pPr>
        <w:spacing w:line="360" w:lineRule="auto"/>
        <w:ind w:right="-425"/>
        <w:jc w:val="both"/>
        <w:rPr>
          <w:sz w:val="24"/>
          <w:szCs w:val="24"/>
        </w:rPr>
      </w:pPr>
      <w:r w:rsidRPr="00C01B3D">
        <w:rPr>
          <w:sz w:val="24"/>
          <w:szCs w:val="24"/>
        </w:rPr>
        <w:t xml:space="preserve">As I deal with this issue, I must again emphasize that the agreement between the parties was </w:t>
      </w:r>
      <w:r w:rsidR="00BB4F19" w:rsidRPr="00C01B3D">
        <w:rPr>
          <w:sz w:val="24"/>
          <w:szCs w:val="24"/>
        </w:rPr>
        <w:t>to support the Plaintiff Company so that it could initially employ, train, feed, and accommodate fifty vulnerable youth who were victims of the insurgency in Northern Uganda and possibly employ one hundred more after the six months. In exchange for that service, the Defendant was to provide in-kind and perhaps some cash contributions not exceeding US $ 30,000. To that end, the Defendant provided Canter two-</w:t>
      </w:r>
      <w:proofErr w:type="spellStart"/>
      <w:r w:rsidR="00BB4F19" w:rsidRPr="00C01B3D">
        <w:rPr>
          <w:sz w:val="24"/>
          <w:szCs w:val="24"/>
        </w:rPr>
        <w:t>tonne</w:t>
      </w:r>
      <w:proofErr w:type="spellEnd"/>
      <w:r w:rsidR="00BB4F19" w:rsidRPr="00C01B3D">
        <w:rPr>
          <w:sz w:val="24"/>
          <w:szCs w:val="24"/>
        </w:rPr>
        <w:t xml:space="preserve"> truck, peanut butter machine, peanut </w:t>
      </w:r>
      <w:proofErr w:type="spellStart"/>
      <w:r w:rsidR="00BB4F19" w:rsidRPr="00C01B3D">
        <w:rPr>
          <w:sz w:val="24"/>
          <w:szCs w:val="24"/>
        </w:rPr>
        <w:t>sheller</w:t>
      </w:r>
      <w:proofErr w:type="spellEnd"/>
      <w:r w:rsidR="00BB4F19" w:rsidRPr="00C01B3D">
        <w:rPr>
          <w:sz w:val="24"/>
          <w:szCs w:val="24"/>
        </w:rPr>
        <w:t xml:space="preserve"> and the 3-in-1 oil press machine now in issue. It however turned out that the 3-in-1 oil press was unfit for use. This fact was acknowledged by the Defendant whose Mr. </w:t>
      </w:r>
      <w:r w:rsidR="00BB4F19" w:rsidRPr="00C01B3D">
        <w:rPr>
          <w:sz w:val="24"/>
          <w:szCs w:val="24"/>
        </w:rPr>
        <w:lastRenderedPageBreak/>
        <w:t>James Bean witnessed the opening and testing of the machine and by an e-mail dated 9</w:t>
      </w:r>
      <w:r w:rsidR="00BB4F19" w:rsidRPr="00C01B3D">
        <w:rPr>
          <w:sz w:val="24"/>
          <w:szCs w:val="24"/>
          <w:vertAlign w:val="superscript"/>
        </w:rPr>
        <w:t>th</w:t>
      </w:r>
      <w:r w:rsidR="00BB4F19" w:rsidRPr="00C01B3D">
        <w:rPr>
          <w:sz w:val="24"/>
          <w:szCs w:val="24"/>
        </w:rPr>
        <w:t xml:space="preserve"> </w:t>
      </w:r>
      <w:r w:rsidR="00860E62" w:rsidRPr="00C01B3D">
        <w:rPr>
          <w:sz w:val="24"/>
          <w:szCs w:val="24"/>
        </w:rPr>
        <w:t xml:space="preserve">July 2010, </w:t>
      </w:r>
      <w:r w:rsidR="00BB4F19" w:rsidRPr="00C01B3D">
        <w:rPr>
          <w:sz w:val="24"/>
          <w:szCs w:val="24"/>
        </w:rPr>
        <w:t>deeply expressed his disappointment to the manufacturer and requested them to either replace the machine or re</w:t>
      </w:r>
      <w:r w:rsidR="00860E62" w:rsidRPr="00C01B3D">
        <w:rPr>
          <w:sz w:val="24"/>
          <w:szCs w:val="24"/>
        </w:rPr>
        <w:t>fund</w:t>
      </w:r>
      <w:r w:rsidR="00BB4F19" w:rsidRPr="00C01B3D">
        <w:rPr>
          <w:sz w:val="24"/>
          <w:szCs w:val="24"/>
        </w:rPr>
        <w:t xml:space="preserve"> their money. The Plaintiff’s director was copied in the mail</w:t>
      </w:r>
      <w:r w:rsidR="00860E62" w:rsidRPr="00C01B3D">
        <w:rPr>
          <w:sz w:val="24"/>
          <w:szCs w:val="24"/>
        </w:rPr>
        <w:t xml:space="preserve"> and therefore was aware that the defect in the machine was no fault of the Defendant who was equally disappointed.</w:t>
      </w:r>
      <w:r w:rsidR="00BB4F19" w:rsidRPr="00C01B3D">
        <w:rPr>
          <w:sz w:val="24"/>
          <w:szCs w:val="24"/>
        </w:rPr>
        <w:t xml:space="preserve"> </w:t>
      </w:r>
      <w:r w:rsidR="00860E62" w:rsidRPr="00C01B3D">
        <w:rPr>
          <w:sz w:val="24"/>
          <w:szCs w:val="24"/>
        </w:rPr>
        <w:t>In the circumstances of this case</w:t>
      </w:r>
      <w:r w:rsidR="005921DC" w:rsidRPr="00C01B3D">
        <w:rPr>
          <w:sz w:val="24"/>
          <w:szCs w:val="24"/>
        </w:rPr>
        <w:t>,</w:t>
      </w:r>
      <w:r w:rsidR="00860E62" w:rsidRPr="00C01B3D">
        <w:rPr>
          <w:sz w:val="24"/>
          <w:szCs w:val="24"/>
        </w:rPr>
        <w:t xml:space="preserve"> I would be uncomfortable to find that the defendant breached the contract for the reasons I will state </w:t>
      </w:r>
      <w:proofErr w:type="spellStart"/>
      <w:r w:rsidR="00860E62" w:rsidRPr="00C01B3D">
        <w:rPr>
          <w:sz w:val="24"/>
          <w:szCs w:val="24"/>
        </w:rPr>
        <w:t>herebelow</w:t>
      </w:r>
      <w:proofErr w:type="spellEnd"/>
      <w:r w:rsidR="00860E62" w:rsidRPr="00C01B3D">
        <w:rPr>
          <w:sz w:val="24"/>
          <w:szCs w:val="24"/>
        </w:rPr>
        <w:t>.</w:t>
      </w:r>
    </w:p>
    <w:p w:rsidR="00860E62" w:rsidRPr="00C01B3D" w:rsidRDefault="00860E62" w:rsidP="00C01B3D">
      <w:pPr>
        <w:spacing w:line="360" w:lineRule="auto"/>
        <w:ind w:right="-425"/>
        <w:jc w:val="both"/>
        <w:rPr>
          <w:sz w:val="24"/>
          <w:szCs w:val="24"/>
        </w:rPr>
      </w:pPr>
    </w:p>
    <w:p w:rsidR="005F6F06" w:rsidRPr="00C01B3D" w:rsidRDefault="00860E62" w:rsidP="00C01B3D">
      <w:pPr>
        <w:spacing w:line="360" w:lineRule="auto"/>
        <w:ind w:right="-425"/>
        <w:jc w:val="both"/>
        <w:rPr>
          <w:sz w:val="24"/>
          <w:szCs w:val="24"/>
        </w:rPr>
      </w:pPr>
      <w:r w:rsidRPr="00C01B3D">
        <w:rPr>
          <w:sz w:val="24"/>
          <w:szCs w:val="24"/>
        </w:rPr>
        <w:t>First</w:t>
      </w:r>
      <w:r w:rsidR="009F2E6B" w:rsidRPr="00C01B3D">
        <w:rPr>
          <w:sz w:val="24"/>
          <w:szCs w:val="24"/>
        </w:rPr>
        <w:t xml:space="preserve"> of all</w:t>
      </w:r>
      <w:r w:rsidRPr="00C01B3D">
        <w:rPr>
          <w:sz w:val="24"/>
          <w:szCs w:val="24"/>
        </w:rPr>
        <w:t>, it is the understanding of th</w:t>
      </w:r>
      <w:r w:rsidR="00430DD6" w:rsidRPr="00C01B3D">
        <w:rPr>
          <w:sz w:val="24"/>
          <w:szCs w:val="24"/>
        </w:rPr>
        <w:t xml:space="preserve">is court based on articles 2.2 and what is stated at page 8 of Annex I to the Agreement that </w:t>
      </w:r>
      <w:r w:rsidRPr="00C01B3D">
        <w:rPr>
          <w:sz w:val="24"/>
          <w:szCs w:val="24"/>
        </w:rPr>
        <w:t xml:space="preserve">the obligation </w:t>
      </w:r>
      <w:r w:rsidR="00430DD6" w:rsidRPr="00C01B3D">
        <w:rPr>
          <w:sz w:val="24"/>
          <w:szCs w:val="24"/>
        </w:rPr>
        <w:t>to provide the in-kind or cash contribution to the tune of US$ 30,000</w:t>
      </w:r>
      <w:r w:rsidR="009F2E6B" w:rsidRPr="00C01B3D">
        <w:rPr>
          <w:sz w:val="24"/>
          <w:szCs w:val="24"/>
        </w:rPr>
        <w:t xml:space="preserve"> </w:t>
      </w:r>
      <w:r w:rsidR="00430DD6" w:rsidRPr="00C01B3D">
        <w:rPr>
          <w:sz w:val="24"/>
          <w:szCs w:val="24"/>
        </w:rPr>
        <w:t xml:space="preserve">was only indicative and on a needs basis, as determined by IOM and in line with the tasks and activities described in the Agreement. </w:t>
      </w:r>
      <w:r w:rsidR="002E2222" w:rsidRPr="00C01B3D">
        <w:rPr>
          <w:sz w:val="24"/>
          <w:szCs w:val="24"/>
        </w:rPr>
        <w:t>Secondly, and m</w:t>
      </w:r>
      <w:r w:rsidR="00430DD6" w:rsidRPr="00C01B3D">
        <w:rPr>
          <w:sz w:val="24"/>
          <w:szCs w:val="24"/>
        </w:rPr>
        <w:t xml:space="preserve">ost importantly, clause 6 of the agreement also provided that the equipment would be returned to IOM after the expiration of the agreement, unless there was written consent for the Service Provider to keep the contributions. </w:t>
      </w:r>
      <w:r w:rsidR="002E2222" w:rsidRPr="00C01B3D">
        <w:rPr>
          <w:sz w:val="24"/>
          <w:szCs w:val="24"/>
        </w:rPr>
        <w:t xml:space="preserve">It was not being purchased as property of the Plaintiff. Thirdly, the Agreement was for the </w:t>
      </w:r>
      <w:r w:rsidR="005921DC" w:rsidRPr="00C01B3D">
        <w:rPr>
          <w:sz w:val="24"/>
          <w:szCs w:val="24"/>
        </w:rPr>
        <w:t xml:space="preserve">initial </w:t>
      </w:r>
      <w:r w:rsidR="002E2222" w:rsidRPr="00C01B3D">
        <w:rPr>
          <w:sz w:val="24"/>
          <w:szCs w:val="24"/>
        </w:rPr>
        <w:t xml:space="preserve">employment of fifty youth but from the evidence not all the fifty youth were employed. </w:t>
      </w:r>
      <w:r w:rsidR="00430DD6" w:rsidRPr="00C01B3D">
        <w:rPr>
          <w:sz w:val="24"/>
          <w:szCs w:val="24"/>
        </w:rPr>
        <w:t>T</w:t>
      </w:r>
      <w:r w:rsidR="002E2222" w:rsidRPr="00C01B3D">
        <w:rPr>
          <w:sz w:val="24"/>
          <w:szCs w:val="24"/>
        </w:rPr>
        <w:t>hese</w:t>
      </w:r>
      <w:r w:rsidR="00430DD6" w:rsidRPr="00C01B3D">
        <w:rPr>
          <w:sz w:val="24"/>
          <w:szCs w:val="24"/>
        </w:rPr>
        <w:t xml:space="preserve"> factors</w:t>
      </w:r>
      <w:r w:rsidR="002E2222" w:rsidRPr="00C01B3D">
        <w:rPr>
          <w:sz w:val="24"/>
          <w:szCs w:val="24"/>
        </w:rPr>
        <w:t xml:space="preserve"> and the nature of the agreement the parties entered into</w:t>
      </w:r>
      <w:r w:rsidR="00430DD6" w:rsidRPr="00C01B3D">
        <w:rPr>
          <w:sz w:val="24"/>
          <w:szCs w:val="24"/>
        </w:rPr>
        <w:t>, in my firm view</w:t>
      </w:r>
      <w:r w:rsidR="002E2222" w:rsidRPr="00C01B3D">
        <w:rPr>
          <w:sz w:val="24"/>
          <w:szCs w:val="24"/>
        </w:rPr>
        <w:t>, watered</w:t>
      </w:r>
      <w:r w:rsidR="00430DD6" w:rsidRPr="00C01B3D">
        <w:rPr>
          <w:sz w:val="24"/>
          <w:szCs w:val="24"/>
        </w:rPr>
        <w:t xml:space="preserve"> down the obligation of the Defendant to fully contribute the US$ 30,000 and therefore its failure to provide the total amount of contribution would not amount to a breach of contract as defined in </w:t>
      </w:r>
      <w:r w:rsidR="005F6F06" w:rsidRPr="00C01B3D">
        <w:rPr>
          <w:b/>
          <w:i/>
          <w:sz w:val="24"/>
          <w:szCs w:val="24"/>
        </w:rPr>
        <w:t xml:space="preserve">Ronald </w:t>
      </w:r>
      <w:proofErr w:type="spellStart"/>
      <w:r w:rsidR="005F6F06" w:rsidRPr="00C01B3D">
        <w:rPr>
          <w:b/>
          <w:i/>
          <w:sz w:val="24"/>
          <w:szCs w:val="24"/>
        </w:rPr>
        <w:t>Kasibante</w:t>
      </w:r>
      <w:proofErr w:type="spellEnd"/>
      <w:r w:rsidR="005F6F06" w:rsidRPr="00C01B3D">
        <w:rPr>
          <w:b/>
          <w:i/>
          <w:sz w:val="24"/>
          <w:szCs w:val="24"/>
        </w:rPr>
        <w:t xml:space="preserve"> v. Shell (U) Ltd. No. 546/2006 HCB 162 </w:t>
      </w:r>
      <w:proofErr w:type="spellStart"/>
      <w:r w:rsidR="005F6F06" w:rsidRPr="00C01B3D">
        <w:rPr>
          <w:b/>
          <w:i/>
          <w:sz w:val="24"/>
          <w:szCs w:val="24"/>
        </w:rPr>
        <w:t>ar</w:t>
      </w:r>
      <w:proofErr w:type="spellEnd"/>
      <w:r w:rsidR="005F6F06" w:rsidRPr="00C01B3D">
        <w:rPr>
          <w:b/>
          <w:i/>
          <w:sz w:val="24"/>
          <w:szCs w:val="24"/>
        </w:rPr>
        <w:t xml:space="preserve"> 163 </w:t>
      </w:r>
      <w:proofErr w:type="spellStart"/>
      <w:r w:rsidR="005F6F06" w:rsidRPr="00C01B3D">
        <w:rPr>
          <w:b/>
          <w:i/>
          <w:sz w:val="24"/>
          <w:szCs w:val="24"/>
        </w:rPr>
        <w:t>Bamwine</w:t>
      </w:r>
      <w:proofErr w:type="spellEnd"/>
      <w:r w:rsidR="005F6F06" w:rsidRPr="00C01B3D">
        <w:rPr>
          <w:b/>
          <w:i/>
          <w:sz w:val="24"/>
          <w:szCs w:val="24"/>
        </w:rPr>
        <w:t xml:space="preserve"> J,</w:t>
      </w:r>
      <w:r w:rsidR="005F6F06" w:rsidRPr="00C01B3D">
        <w:rPr>
          <w:sz w:val="24"/>
          <w:szCs w:val="24"/>
        </w:rPr>
        <w:t xml:space="preserve"> </w:t>
      </w:r>
      <w:r w:rsidR="002E2222" w:rsidRPr="00C01B3D">
        <w:rPr>
          <w:sz w:val="24"/>
          <w:szCs w:val="24"/>
        </w:rPr>
        <w:t xml:space="preserve">that </w:t>
      </w:r>
      <w:r w:rsidR="005F6F06" w:rsidRPr="00C01B3D">
        <w:rPr>
          <w:i/>
          <w:sz w:val="24"/>
          <w:szCs w:val="24"/>
        </w:rPr>
        <w:t>“breach of contract is the breaking of the obligation which a contract imposes which confers a right of action for damages on the injured party...”</w:t>
      </w:r>
      <w:r w:rsidR="005F6F06" w:rsidRPr="00C01B3D">
        <w:rPr>
          <w:sz w:val="24"/>
          <w:szCs w:val="24"/>
        </w:rPr>
        <w:t xml:space="preserve"> </w:t>
      </w:r>
      <w:r w:rsidR="002E2222" w:rsidRPr="00C01B3D">
        <w:rPr>
          <w:sz w:val="24"/>
          <w:szCs w:val="24"/>
        </w:rPr>
        <w:t xml:space="preserve">and </w:t>
      </w:r>
      <w:r w:rsidR="005F6F06" w:rsidRPr="00C01B3D">
        <w:rPr>
          <w:sz w:val="24"/>
          <w:szCs w:val="24"/>
        </w:rPr>
        <w:t xml:space="preserve">in </w:t>
      </w:r>
      <w:r w:rsidR="005F6F06" w:rsidRPr="00C01B3D">
        <w:rPr>
          <w:b/>
          <w:i/>
          <w:sz w:val="24"/>
          <w:szCs w:val="24"/>
        </w:rPr>
        <w:t>Black’s Law Dictionary 8th Edition at page 200</w:t>
      </w:r>
      <w:r w:rsidR="005F6F06" w:rsidRPr="00C01B3D">
        <w:rPr>
          <w:sz w:val="24"/>
          <w:szCs w:val="24"/>
        </w:rPr>
        <w:t xml:space="preserve">, as a </w:t>
      </w:r>
      <w:r w:rsidR="005F6F06" w:rsidRPr="00C01B3D">
        <w:rPr>
          <w:i/>
          <w:sz w:val="24"/>
          <w:szCs w:val="24"/>
        </w:rPr>
        <w:t>“violation of contractual obligation by failing to perform one’s own promise, by repudiating it or by interfering with another party’s performance.”</w:t>
      </w:r>
      <w:r w:rsidR="005F6F06" w:rsidRPr="00C01B3D">
        <w:rPr>
          <w:sz w:val="24"/>
          <w:szCs w:val="24"/>
        </w:rPr>
        <w:t xml:space="preserve">  </w:t>
      </w:r>
    </w:p>
    <w:p w:rsidR="005F6F06" w:rsidRPr="00C01B3D" w:rsidRDefault="005F6F06" w:rsidP="00C01B3D">
      <w:pPr>
        <w:spacing w:line="360" w:lineRule="auto"/>
        <w:ind w:right="-425"/>
        <w:jc w:val="both"/>
        <w:rPr>
          <w:sz w:val="24"/>
          <w:szCs w:val="24"/>
        </w:rPr>
      </w:pPr>
    </w:p>
    <w:p w:rsidR="00E24FA4" w:rsidRPr="00C01B3D" w:rsidRDefault="002E2222" w:rsidP="00C01B3D">
      <w:pPr>
        <w:spacing w:line="360" w:lineRule="auto"/>
        <w:ind w:right="-425"/>
        <w:jc w:val="both"/>
        <w:rPr>
          <w:sz w:val="24"/>
          <w:szCs w:val="24"/>
        </w:rPr>
      </w:pPr>
      <w:r w:rsidRPr="00C01B3D">
        <w:rPr>
          <w:sz w:val="24"/>
          <w:szCs w:val="24"/>
        </w:rPr>
        <w:t xml:space="preserve">On the contrary, I find that the Defendant endeavored to fully perform its obligations but it was let down by the manufacturer that supplied a faulty 3-in-1 oil press machine. It must also be noted that </w:t>
      </w:r>
      <w:r w:rsidR="00207C5D" w:rsidRPr="00C01B3D">
        <w:rPr>
          <w:sz w:val="24"/>
          <w:szCs w:val="24"/>
        </w:rPr>
        <w:t>according to the Budget (Annex II to the Agreement) the value of the other items provided, that is, Canter two-</w:t>
      </w:r>
      <w:proofErr w:type="spellStart"/>
      <w:r w:rsidR="00207C5D" w:rsidRPr="00C01B3D">
        <w:rPr>
          <w:sz w:val="24"/>
          <w:szCs w:val="24"/>
        </w:rPr>
        <w:t>tonne</w:t>
      </w:r>
      <w:proofErr w:type="spellEnd"/>
      <w:r w:rsidR="00207C5D" w:rsidRPr="00C01B3D">
        <w:rPr>
          <w:sz w:val="24"/>
          <w:szCs w:val="24"/>
        </w:rPr>
        <w:t xml:space="preserve"> truck, peanut butter machine and peanut </w:t>
      </w:r>
      <w:proofErr w:type="spellStart"/>
      <w:r w:rsidR="00207C5D" w:rsidRPr="00C01B3D">
        <w:rPr>
          <w:sz w:val="24"/>
          <w:szCs w:val="24"/>
        </w:rPr>
        <w:t>sheller</w:t>
      </w:r>
      <w:proofErr w:type="spellEnd"/>
      <w:r w:rsidR="00207C5D" w:rsidRPr="00C01B3D">
        <w:rPr>
          <w:sz w:val="24"/>
          <w:szCs w:val="24"/>
        </w:rPr>
        <w:t xml:space="preserve"> was US</w:t>
      </w:r>
      <w:r w:rsidR="005921DC" w:rsidRPr="00C01B3D">
        <w:rPr>
          <w:sz w:val="24"/>
          <w:szCs w:val="24"/>
        </w:rPr>
        <w:t>$</w:t>
      </w:r>
      <w:r w:rsidR="00207C5D" w:rsidRPr="00C01B3D">
        <w:rPr>
          <w:sz w:val="24"/>
          <w:szCs w:val="24"/>
        </w:rPr>
        <w:t xml:space="preserve"> 29,400 out of which the Plaintiff only contributed US$ 3,400 towards purchase of the truck as the parties had agreed. This means that the Defendant spent US $ 26,000 on what was </w:t>
      </w:r>
      <w:r w:rsidR="00207C5D" w:rsidRPr="00C01B3D">
        <w:rPr>
          <w:sz w:val="24"/>
          <w:szCs w:val="24"/>
        </w:rPr>
        <w:lastRenderedPageBreak/>
        <w:t>delivered to the Plaintiff in good working condition and only failed to deliver eq</w:t>
      </w:r>
      <w:r w:rsidR="005921DC" w:rsidRPr="00C01B3D">
        <w:rPr>
          <w:sz w:val="24"/>
          <w:szCs w:val="24"/>
        </w:rPr>
        <w:t>uipment fit for use worth US $ 4</w:t>
      </w:r>
      <w:r w:rsidR="00207C5D" w:rsidRPr="00C01B3D">
        <w:rPr>
          <w:sz w:val="24"/>
          <w:szCs w:val="24"/>
        </w:rPr>
        <w:t xml:space="preserve">,000 out of </w:t>
      </w:r>
      <w:r w:rsidRPr="00C01B3D">
        <w:rPr>
          <w:sz w:val="24"/>
          <w:szCs w:val="24"/>
        </w:rPr>
        <w:t xml:space="preserve">the </w:t>
      </w:r>
      <w:r w:rsidR="00207C5D" w:rsidRPr="00C01B3D">
        <w:rPr>
          <w:sz w:val="24"/>
          <w:szCs w:val="24"/>
        </w:rPr>
        <w:t xml:space="preserve">agreed </w:t>
      </w:r>
      <w:r w:rsidRPr="00C01B3D">
        <w:rPr>
          <w:sz w:val="24"/>
          <w:szCs w:val="24"/>
        </w:rPr>
        <w:t>US$ 30,000</w:t>
      </w:r>
      <w:r w:rsidR="00B43F2F" w:rsidRPr="00C01B3D">
        <w:rPr>
          <w:sz w:val="24"/>
          <w:szCs w:val="24"/>
        </w:rPr>
        <w:t xml:space="preserve"> representing only 13</w:t>
      </w:r>
      <w:r w:rsidR="00E24FA4" w:rsidRPr="00C01B3D">
        <w:rPr>
          <w:sz w:val="24"/>
          <w:szCs w:val="24"/>
        </w:rPr>
        <w:t>%</w:t>
      </w:r>
      <w:r w:rsidR="00207C5D" w:rsidRPr="00C01B3D">
        <w:rPr>
          <w:sz w:val="24"/>
          <w:szCs w:val="24"/>
        </w:rPr>
        <w:t>. That contribution was in exchange for employment of 34 vulner</w:t>
      </w:r>
      <w:r w:rsidR="00B43F2F" w:rsidRPr="00C01B3D">
        <w:rPr>
          <w:sz w:val="24"/>
          <w:szCs w:val="24"/>
        </w:rPr>
        <w:t>able youth in the Plaintiff’s fa</w:t>
      </w:r>
      <w:r w:rsidR="00207C5D" w:rsidRPr="00C01B3D">
        <w:rPr>
          <w:sz w:val="24"/>
          <w:szCs w:val="24"/>
        </w:rPr>
        <w:t xml:space="preserve">rm. If indeed the </w:t>
      </w:r>
      <w:r w:rsidR="00E24FA4" w:rsidRPr="00C01B3D">
        <w:rPr>
          <w:sz w:val="24"/>
          <w:szCs w:val="24"/>
        </w:rPr>
        <w:t>D</w:t>
      </w:r>
      <w:r w:rsidR="00207C5D" w:rsidRPr="00C01B3D">
        <w:rPr>
          <w:sz w:val="24"/>
          <w:szCs w:val="24"/>
        </w:rPr>
        <w:t>efendan</w:t>
      </w:r>
      <w:r w:rsidR="00B43F2F" w:rsidRPr="00C01B3D">
        <w:rPr>
          <w:sz w:val="24"/>
          <w:szCs w:val="24"/>
        </w:rPr>
        <w:t>t had intentions to breach the A</w:t>
      </w:r>
      <w:r w:rsidR="00207C5D" w:rsidRPr="00C01B3D">
        <w:rPr>
          <w:sz w:val="24"/>
          <w:szCs w:val="24"/>
        </w:rPr>
        <w:t xml:space="preserve">greement as the Plaintiff would want this court to believe it would not have </w:t>
      </w:r>
      <w:r w:rsidR="00E24FA4" w:rsidRPr="00C01B3D">
        <w:rPr>
          <w:sz w:val="24"/>
          <w:szCs w:val="24"/>
        </w:rPr>
        <w:t>p</w:t>
      </w:r>
      <w:r w:rsidR="00B43F2F" w:rsidRPr="00C01B3D">
        <w:rPr>
          <w:sz w:val="24"/>
          <w:szCs w:val="24"/>
        </w:rPr>
        <w:t>rovided those equipment worth 87</w:t>
      </w:r>
      <w:r w:rsidR="00E24FA4" w:rsidRPr="00C01B3D">
        <w:rPr>
          <w:sz w:val="24"/>
          <w:szCs w:val="24"/>
        </w:rPr>
        <w:t>% of the agreed maximum limit.</w:t>
      </w:r>
      <w:r w:rsidR="00B43F2F" w:rsidRPr="00C01B3D">
        <w:rPr>
          <w:sz w:val="24"/>
          <w:szCs w:val="24"/>
        </w:rPr>
        <w:t xml:space="preserve"> In fact all the agreed equipment/machines were provided except that one of them turned out to be unfit for use due to the manufacturer’s fault. The Defendant also lost money because it paid for the machine.</w:t>
      </w:r>
    </w:p>
    <w:p w:rsidR="00E24FA4" w:rsidRPr="00C01B3D" w:rsidRDefault="00E24FA4" w:rsidP="00C01B3D">
      <w:pPr>
        <w:spacing w:line="360" w:lineRule="auto"/>
        <w:ind w:right="-425"/>
        <w:jc w:val="both"/>
        <w:rPr>
          <w:sz w:val="24"/>
          <w:szCs w:val="24"/>
        </w:rPr>
      </w:pPr>
    </w:p>
    <w:p w:rsidR="000167B1" w:rsidRPr="00C01B3D" w:rsidRDefault="00E24FA4" w:rsidP="00C01B3D">
      <w:pPr>
        <w:spacing w:line="360" w:lineRule="auto"/>
        <w:ind w:right="-425"/>
        <w:jc w:val="both"/>
        <w:rPr>
          <w:sz w:val="24"/>
          <w:szCs w:val="24"/>
        </w:rPr>
      </w:pPr>
      <w:r w:rsidRPr="00C01B3D">
        <w:rPr>
          <w:sz w:val="24"/>
          <w:szCs w:val="24"/>
        </w:rPr>
        <w:t xml:space="preserve">I must also point out that the Plaintiff based </w:t>
      </w:r>
      <w:r w:rsidR="0038443D" w:rsidRPr="00C01B3D">
        <w:rPr>
          <w:sz w:val="24"/>
          <w:szCs w:val="24"/>
        </w:rPr>
        <w:t xml:space="preserve">its claim </w:t>
      </w:r>
      <w:r w:rsidRPr="00C01B3D">
        <w:rPr>
          <w:sz w:val="24"/>
          <w:szCs w:val="24"/>
        </w:rPr>
        <w:t>on its expected profit as contained in the cash-flow projection</w:t>
      </w:r>
      <w:r w:rsidR="0038443D" w:rsidRPr="00C01B3D">
        <w:rPr>
          <w:sz w:val="24"/>
          <w:szCs w:val="24"/>
        </w:rPr>
        <w:t xml:space="preserve"> on page 29 of the Trial Bundle</w:t>
      </w:r>
      <w:r w:rsidR="005F6F06" w:rsidRPr="00C01B3D">
        <w:rPr>
          <w:sz w:val="24"/>
          <w:szCs w:val="24"/>
        </w:rPr>
        <w:t xml:space="preserve">. </w:t>
      </w:r>
      <w:r w:rsidRPr="00C01B3D">
        <w:rPr>
          <w:sz w:val="24"/>
          <w:szCs w:val="24"/>
        </w:rPr>
        <w:t xml:space="preserve">I have thoroughly perused the Services Agreement and its </w:t>
      </w:r>
      <w:proofErr w:type="spellStart"/>
      <w:r w:rsidRPr="00C01B3D">
        <w:rPr>
          <w:sz w:val="24"/>
          <w:szCs w:val="24"/>
        </w:rPr>
        <w:t>annextures</w:t>
      </w:r>
      <w:proofErr w:type="spellEnd"/>
      <w:r w:rsidRPr="00C01B3D">
        <w:rPr>
          <w:sz w:val="24"/>
          <w:szCs w:val="24"/>
        </w:rPr>
        <w:t xml:space="preserve"> and I have not found any basis for suggesting that the agreement was intended to make the Plaintiff generate the projected income. First of all the cash-flow projection itself is </w:t>
      </w:r>
      <w:r w:rsidR="000167B1" w:rsidRPr="00C01B3D">
        <w:rPr>
          <w:sz w:val="24"/>
          <w:szCs w:val="24"/>
        </w:rPr>
        <w:t>foreign</w:t>
      </w:r>
      <w:r w:rsidRPr="00C01B3D">
        <w:rPr>
          <w:sz w:val="24"/>
          <w:szCs w:val="24"/>
        </w:rPr>
        <w:t xml:space="preserve"> to the Agreement although the Plaintiff contends that it was the one that induced it to enter the Agreement. All the </w:t>
      </w:r>
      <w:proofErr w:type="spellStart"/>
      <w:r w:rsidRPr="00C01B3D">
        <w:rPr>
          <w:sz w:val="24"/>
          <w:szCs w:val="24"/>
        </w:rPr>
        <w:t>annextures</w:t>
      </w:r>
      <w:proofErr w:type="spellEnd"/>
      <w:r w:rsidRPr="00C01B3D">
        <w:rPr>
          <w:sz w:val="24"/>
          <w:szCs w:val="24"/>
        </w:rPr>
        <w:t xml:space="preserve"> to the Agreement that are referred to therein </w:t>
      </w:r>
      <w:proofErr w:type="gramStart"/>
      <w:r w:rsidRPr="00C01B3D">
        <w:rPr>
          <w:sz w:val="24"/>
          <w:szCs w:val="24"/>
        </w:rPr>
        <w:t>are</w:t>
      </w:r>
      <w:proofErr w:type="gramEnd"/>
      <w:r w:rsidRPr="00C01B3D">
        <w:rPr>
          <w:sz w:val="24"/>
          <w:szCs w:val="24"/>
        </w:rPr>
        <w:t xml:space="preserve"> marked as Annex I, Annex II &amp; Annex III but the cash-flow projection does not bear such marking. In any case, why would another organization which is non-profit making in the first place guarantee </w:t>
      </w:r>
      <w:r w:rsidR="000167B1" w:rsidRPr="00C01B3D">
        <w:rPr>
          <w:sz w:val="24"/>
          <w:szCs w:val="24"/>
        </w:rPr>
        <w:t>cash-flow and hence profit in another company in which it has no management control merely because of its in-kind or cash contribution to facilitate employment of the client of that organization. I do not find much logic in it. I find more logical the explanation made by the Defendant’s Chief of Missions in his letter of 23</w:t>
      </w:r>
      <w:r w:rsidR="000167B1" w:rsidRPr="00C01B3D">
        <w:rPr>
          <w:sz w:val="24"/>
          <w:szCs w:val="24"/>
          <w:vertAlign w:val="superscript"/>
        </w:rPr>
        <w:t>rd</w:t>
      </w:r>
      <w:r w:rsidR="000167B1" w:rsidRPr="00C01B3D">
        <w:rPr>
          <w:sz w:val="24"/>
          <w:szCs w:val="24"/>
        </w:rPr>
        <w:t xml:space="preserve"> August 2010 already alluded to herein above that:</w:t>
      </w:r>
    </w:p>
    <w:p w:rsidR="0038443D" w:rsidRPr="00C01B3D" w:rsidRDefault="0038443D" w:rsidP="00C01B3D">
      <w:pPr>
        <w:spacing w:line="360" w:lineRule="auto"/>
        <w:ind w:right="-425"/>
        <w:jc w:val="both"/>
        <w:rPr>
          <w:sz w:val="24"/>
          <w:szCs w:val="24"/>
        </w:rPr>
      </w:pPr>
    </w:p>
    <w:p w:rsidR="000167B1" w:rsidRPr="00C01B3D" w:rsidRDefault="000167B1" w:rsidP="00C01B3D">
      <w:pPr>
        <w:spacing w:line="360" w:lineRule="auto"/>
        <w:ind w:left="720" w:right="702"/>
        <w:jc w:val="both"/>
        <w:rPr>
          <w:i/>
          <w:sz w:val="24"/>
          <w:szCs w:val="24"/>
        </w:rPr>
      </w:pPr>
      <w:r w:rsidRPr="00C01B3D">
        <w:rPr>
          <w:i/>
          <w:sz w:val="24"/>
          <w:szCs w:val="24"/>
        </w:rPr>
        <w:t>“…….We embarked on this partnership with your organization in order to provide jobs to vulnerable youth, not as a form of investment by IOM in your business. The equipment and in-kind support made available by IOM to your businesses was meant to make the employment of these young people more affordable and attract</w:t>
      </w:r>
      <w:r w:rsidR="0038443D" w:rsidRPr="00C01B3D">
        <w:rPr>
          <w:i/>
          <w:sz w:val="24"/>
          <w:szCs w:val="24"/>
        </w:rPr>
        <w:t xml:space="preserve">ive to </w:t>
      </w:r>
      <w:r w:rsidR="00B43F2F" w:rsidRPr="00C01B3D">
        <w:rPr>
          <w:i/>
          <w:sz w:val="24"/>
          <w:szCs w:val="24"/>
        </w:rPr>
        <w:t>y</w:t>
      </w:r>
      <w:r w:rsidR="0038443D" w:rsidRPr="00C01B3D">
        <w:rPr>
          <w:i/>
          <w:sz w:val="24"/>
          <w:szCs w:val="24"/>
        </w:rPr>
        <w:t>ou</w:t>
      </w:r>
      <w:r w:rsidRPr="00C01B3D">
        <w:rPr>
          <w:i/>
          <w:sz w:val="24"/>
          <w:szCs w:val="24"/>
        </w:rPr>
        <w:t>r company. Accordingly, we repudiate any assertion that IOM is responsible for any loss experienced by your organization.</w:t>
      </w:r>
      <w:r w:rsidR="0038443D" w:rsidRPr="00C01B3D">
        <w:rPr>
          <w:i/>
          <w:sz w:val="24"/>
          <w:szCs w:val="24"/>
        </w:rPr>
        <w:t xml:space="preserve"> Moreover, given that IOM took no equity position in </w:t>
      </w:r>
      <w:r w:rsidR="0038443D" w:rsidRPr="00C01B3D">
        <w:rPr>
          <w:i/>
          <w:sz w:val="24"/>
          <w:szCs w:val="24"/>
        </w:rPr>
        <w:lastRenderedPageBreak/>
        <w:t>any of your businesses, and the fact that your businesses solvency is not our responsibility, we cannot accept any liability in this respect….”</w:t>
      </w:r>
    </w:p>
    <w:p w:rsidR="000167B1" w:rsidRPr="00C01B3D" w:rsidRDefault="000167B1" w:rsidP="00C01B3D">
      <w:pPr>
        <w:spacing w:line="360" w:lineRule="auto"/>
        <w:ind w:right="-425"/>
        <w:jc w:val="both"/>
        <w:rPr>
          <w:sz w:val="24"/>
          <w:szCs w:val="24"/>
        </w:rPr>
      </w:pPr>
    </w:p>
    <w:p w:rsidR="0059355B" w:rsidRPr="00C01B3D" w:rsidRDefault="0059355B" w:rsidP="00C01B3D">
      <w:pPr>
        <w:spacing w:line="360" w:lineRule="auto"/>
        <w:ind w:right="-425"/>
        <w:jc w:val="both"/>
        <w:rPr>
          <w:sz w:val="24"/>
          <w:szCs w:val="24"/>
        </w:rPr>
      </w:pPr>
      <w:r w:rsidRPr="00C01B3D">
        <w:rPr>
          <w:sz w:val="24"/>
          <w:szCs w:val="24"/>
        </w:rPr>
        <w:t xml:space="preserve">It is also pertinent to note that the two options given to the Plaintiff in </w:t>
      </w:r>
      <w:r w:rsidR="00B43F2F" w:rsidRPr="00C01B3D">
        <w:rPr>
          <w:sz w:val="24"/>
          <w:szCs w:val="24"/>
        </w:rPr>
        <w:t>that</w:t>
      </w:r>
      <w:r w:rsidRPr="00C01B3D">
        <w:rPr>
          <w:sz w:val="24"/>
          <w:szCs w:val="24"/>
        </w:rPr>
        <w:t xml:space="preserve"> letter clearly indicated that if the plaintiff </w:t>
      </w:r>
      <w:r w:rsidR="00B43F2F" w:rsidRPr="00C01B3D">
        <w:rPr>
          <w:sz w:val="24"/>
          <w:szCs w:val="24"/>
        </w:rPr>
        <w:t xml:space="preserve">was </w:t>
      </w:r>
      <w:r w:rsidRPr="00C01B3D">
        <w:rPr>
          <w:sz w:val="24"/>
          <w:szCs w:val="24"/>
        </w:rPr>
        <w:t>assigned the peanut butter machi</w:t>
      </w:r>
      <w:r w:rsidR="00B43F2F" w:rsidRPr="00C01B3D">
        <w:rPr>
          <w:sz w:val="24"/>
          <w:szCs w:val="24"/>
        </w:rPr>
        <w:t xml:space="preserve">ne, the peanut </w:t>
      </w:r>
      <w:proofErr w:type="spellStart"/>
      <w:r w:rsidR="00B43F2F" w:rsidRPr="00C01B3D">
        <w:rPr>
          <w:sz w:val="24"/>
          <w:szCs w:val="24"/>
        </w:rPr>
        <w:t>sheller</w:t>
      </w:r>
      <w:proofErr w:type="spellEnd"/>
      <w:r w:rsidR="00B43F2F" w:rsidRPr="00C01B3D">
        <w:rPr>
          <w:sz w:val="24"/>
          <w:szCs w:val="24"/>
        </w:rPr>
        <w:t xml:space="preserve"> and the Canter Two-</w:t>
      </w:r>
      <w:proofErr w:type="spellStart"/>
      <w:r w:rsidR="00B43F2F" w:rsidRPr="00C01B3D">
        <w:rPr>
          <w:sz w:val="24"/>
          <w:szCs w:val="24"/>
        </w:rPr>
        <w:t>Tonne</w:t>
      </w:r>
      <w:proofErr w:type="spellEnd"/>
      <w:r w:rsidR="00B43F2F" w:rsidRPr="00C01B3D">
        <w:rPr>
          <w:sz w:val="24"/>
          <w:szCs w:val="24"/>
        </w:rPr>
        <w:t xml:space="preserve"> T</w:t>
      </w:r>
      <w:r w:rsidRPr="00C01B3D">
        <w:rPr>
          <w:sz w:val="24"/>
          <w:szCs w:val="24"/>
        </w:rPr>
        <w:t xml:space="preserve">ruck the 34 clients then employed by the Plaintiff would remain in gainful employment within the Plaintiff’s means to do so and the 3-in-1 oil press machine would not be available to the Plaintiff. The Plaintiff did accept the assignment </w:t>
      </w:r>
      <w:r w:rsidR="00B43F2F" w:rsidRPr="00C01B3D">
        <w:rPr>
          <w:sz w:val="24"/>
          <w:szCs w:val="24"/>
        </w:rPr>
        <w:t xml:space="preserve">of the Truck and machines </w:t>
      </w:r>
      <w:r w:rsidRPr="00C01B3D">
        <w:rPr>
          <w:sz w:val="24"/>
          <w:szCs w:val="24"/>
        </w:rPr>
        <w:t>so it cannot now turn around and sue for breach of contract</w:t>
      </w:r>
      <w:r w:rsidR="00B43F2F" w:rsidRPr="00C01B3D">
        <w:rPr>
          <w:sz w:val="24"/>
          <w:szCs w:val="24"/>
        </w:rPr>
        <w:t xml:space="preserve"> especially when it has not shown this court that it did not accept that proposal</w:t>
      </w:r>
      <w:r w:rsidRPr="00C01B3D">
        <w:rPr>
          <w:sz w:val="24"/>
          <w:szCs w:val="24"/>
        </w:rPr>
        <w:t>. I believe if this suit was defended the Defendant would have raised this issue.</w:t>
      </w:r>
    </w:p>
    <w:p w:rsidR="0059355B" w:rsidRPr="00C01B3D" w:rsidRDefault="0059355B" w:rsidP="00C01B3D">
      <w:pPr>
        <w:spacing w:line="360" w:lineRule="auto"/>
        <w:ind w:right="-425"/>
        <w:jc w:val="both"/>
        <w:rPr>
          <w:sz w:val="24"/>
          <w:szCs w:val="24"/>
        </w:rPr>
      </w:pPr>
    </w:p>
    <w:p w:rsidR="00D13928" w:rsidRPr="00C01B3D" w:rsidRDefault="0038443D" w:rsidP="00C01B3D">
      <w:pPr>
        <w:spacing w:line="360" w:lineRule="auto"/>
        <w:ind w:right="-425"/>
        <w:jc w:val="both"/>
        <w:rPr>
          <w:sz w:val="24"/>
          <w:szCs w:val="24"/>
        </w:rPr>
      </w:pPr>
      <w:r w:rsidRPr="00C01B3D">
        <w:rPr>
          <w:sz w:val="24"/>
          <w:szCs w:val="24"/>
        </w:rPr>
        <w:t xml:space="preserve">All in all, for the above reasons based on the facts and circumstances of this case and the evidence on record, I find no breach of the Agreement. This answers the first issue in the negative and leads me to consider the second and last issue. </w:t>
      </w:r>
    </w:p>
    <w:p w:rsidR="00886949" w:rsidRPr="00C01B3D" w:rsidRDefault="00886949" w:rsidP="00C01B3D">
      <w:pPr>
        <w:spacing w:line="360" w:lineRule="auto"/>
        <w:ind w:right="-425"/>
        <w:jc w:val="both"/>
        <w:rPr>
          <w:sz w:val="24"/>
          <w:szCs w:val="24"/>
        </w:rPr>
      </w:pPr>
    </w:p>
    <w:p w:rsidR="0038443D" w:rsidRPr="00C01B3D" w:rsidRDefault="0038443D" w:rsidP="00C01B3D">
      <w:pPr>
        <w:spacing w:line="360" w:lineRule="auto"/>
        <w:ind w:right="-425"/>
        <w:jc w:val="both"/>
        <w:rPr>
          <w:b/>
          <w:sz w:val="24"/>
          <w:szCs w:val="24"/>
        </w:rPr>
      </w:pPr>
      <w:r w:rsidRPr="00C01B3D">
        <w:rPr>
          <w:b/>
          <w:sz w:val="24"/>
          <w:szCs w:val="24"/>
        </w:rPr>
        <w:t>Issue 2: What remedies are available to the Plaintiff?</w:t>
      </w:r>
    </w:p>
    <w:p w:rsidR="0038443D" w:rsidRPr="00C01B3D" w:rsidRDefault="0038443D" w:rsidP="00C01B3D">
      <w:pPr>
        <w:spacing w:line="360" w:lineRule="auto"/>
        <w:ind w:right="-425"/>
        <w:jc w:val="both"/>
        <w:rPr>
          <w:b/>
          <w:sz w:val="24"/>
          <w:szCs w:val="24"/>
          <w:u w:val="single"/>
        </w:rPr>
      </w:pPr>
    </w:p>
    <w:p w:rsidR="00B54DA5" w:rsidRPr="00C01B3D" w:rsidRDefault="00A93585" w:rsidP="00C01B3D">
      <w:pPr>
        <w:spacing w:line="360" w:lineRule="auto"/>
        <w:ind w:right="-425"/>
        <w:jc w:val="both"/>
        <w:rPr>
          <w:sz w:val="24"/>
          <w:szCs w:val="24"/>
        </w:rPr>
      </w:pPr>
      <w:r w:rsidRPr="00C01B3D">
        <w:rPr>
          <w:sz w:val="24"/>
          <w:szCs w:val="24"/>
        </w:rPr>
        <w:t>In the plaint</w:t>
      </w:r>
      <w:r w:rsidR="00B54DA5" w:rsidRPr="00C01B3D">
        <w:rPr>
          <w:sz w:val="24"/>
          <w:szCs w:val="24"/>
        </w:rPr>
        <w:t xml:space="preserve"> filed in this suit, the Plaintiff prayed for:</w:t>
      </w:r>
    </w:p>
    <w:p w:rsidR="00B54DA5" w:rsidRPr="00C01B3D" w:rsidRDefault="00B54DA5" w:rsidP="00C01B3D">
      <w:pPr>
        <w:pStyle w:val="ListParagraph"/>
        <w:numPr>
          <w:ilvl w:val="0"/>
          <w:numId w:val="5"/>
        </w:numPr>
        <w:spacing w:line="360" w:lineRule="auto"/>
        <w:ind w:right="-425"/>
        <w:jc w:val="both"/>
        <w:rPr>
          <w:sz w:val="24"/>
          <w:szCs w:val="24"/>
        </w:rPr>
      </w:pPr>
      <w:r w:rsidRPr="00C01B3D">
        <w:rPr>
          <w:sz w:val="24"/>
          <w:szCs w:val="24"/>
        </w:rPr>
        <w:t>A declaration that the Defendant breached the service agreement.</w:t>
      </w:r>
    </w:p>
    <w:p w:rsidR="00B54DA5" w:rsidRPr="00C01B3D" w:rsidRDefault="00B54DA5" w:rsidP="00C01B3D">
      <w:pPr>
        <w:pStyle w:val="ListParagraph"/>
        <w:numPr>
          <w:ilvl w:val="0"/>
          <w:numId w:val="5"/>
        </w:numPr>
        <w:spacing w:line="360" w:lineRule="auto"/>
        <w:ind w:right="-425"/>
        <w:jc w:val="both"/>
        <w:rPr>
          <w:sz w:val="24"/>
          <w:szCs w:val="24"/>
        </w:rPr>
      </w:pPr>
      <w:r w:rsidRPr="00C01B3D">
        <w:rPr>
          <w:sz w:val="24"/>
          <w:szCs w:val="24"/>
        </w:rPr>
        <w:t>Recovery of special damages as pleaded.</w:t>
      </w:r>
    </w:p>
    <w:p w:rsidR="00B54DA5" w:rsidRPr="00C01B3D" w:rsidRDefault="00B54DA5" w:rsidP="00C01B3D">
      <w:pPr>
        <w:pStyle w:val="ListParagraph"/>
        <w:numPr>
          <w:ilvl w:val="0"/>
          <w:numId w:val="5"/>
        </w:numPr>
        <w:spacing w:line="360" w:lineRule="auto"/>
        <w:ind w:right="-425"/>
        <w:jc w:val="both"/>
        <w:rPr>
          <w:sz w:val="24"/>
          <w:szCs w:val="24"/>
        </w:rPr>
      </w:pPr>
      <w:r w:rsidRPr="00C01B3D">
        <w:rPr>
          <w:sz w:val="24"/>
          <w:szCs w:val="24"/>
        </w:rPr>
        <w:t>Recover</w:t>
      </w:r>
      <w:r w:rsidR="00A93585" w:rsidRPr="00C01B3D">
        <w:rPr>
          <w:sz w:val="24"/>
          <w:szCs w:val="24"/>
        </w:rPr>
        <w:t>y</w:t>
      </w:r>
      <w:r w:rsidRPr="00C01B3D">
        <w:rPr>
          <w:sz w:val="24"/>
          <w:szCs w:val="24"/>
        </w:rPr>
        <w:t xml:space="preserve"> of business profits lost.</w:t>
      </w:r>
    </w:p>
    <w:p w:rsidR="00B54DA5" w:rsidRPr="00C01B3D" w:rsidRDefault="00B54DA5" w:rsidP="00C01B3D">
      <w:pPr>
        <w:pStyle w:val="ListParagraph"/>
        <w:numPr>
          <w:ilvl w:val="0"/>
          <w:numId w:val="5"/>
        </w:numPr>
        <w:spacing w:line="360" w:lineRule="auto"/>
        <w:ind w:right="-425"/>
        <w:jc w:val="both"/>
        <w:rPr>
          <w:sz w:val="24"/>
          <w:szCs w:val="24"/>
        </w:rPr>
      </w:pPr>
      <w:r w:rsidRPr="00C01B3D">
        <w:rPr>
          <w:sz w:val="24"/>
          <w:szCs w:val="24"/>
        </w:rPr>
        <w:t>General damages.</w:t>
      </w:r>
    </w:p>
    <w:p w:rsidR="00B54DA5" w:rsidRPr="00C01B3D" w:rsidRDefault="00B54DA5" w:rsidP="00C01B3D">
      <w:pPr>
        <w:pStyle w:val="ListParagraph"/>
        <w:numPr>
          <w:ilvl w:val="0"/>
          <w:numId w:val="5"/>
        </w:numPr>
        <w:spacing w:line="360" w:lineRule="auto"/>
        <w:ind w:right="-425"/>
        <w:jc w:val="both"/>
        <w:rPr>
          <w:sz w:val="24"/>
          <w:szCs w:val="24"/>
        </w:rPr>
      </w:pPr>
      <w:r w:rsidRPr="00C01B3D">
        <w:rPr>
          <w:sz w:val="24"/>
          <w:szCs w:val="24"/>
        </w:rPr>
        <w:t>Interest on (b) &amp; (d) above at a court rate from the date of judgment, till payment in full.</w:t>
      </w:r>
    </w:p>
    <w:p w:rsidR="00B54DA5" w:rsidRPr="00C01B3D" w:rsidRDefault="00B54DA5" w:rsidP="00C01B3D">
      <w:pPr>
        <w:pStyle w:val="ListParagraph"/>
        <w:numPr>
          <w:ilvl w:val="0"/>
          <w:numId w:val="5"/>
        </w:numPr>
        <w:spacing w:line="360" w:lineRule="auto"/>
        <w:ind w:right="-425"/>
        <w:jc w:val="both"/>
        <w:rPr>
          <w:sz w:val="24"/>
          <w:szCs w:val="24"/>
        </w:rPr>
      </w:pPr>
      <w:r w:rsidRPr="00C01B3D">
        <w:rPr>
          <w:sz w:val="24"/>
          <w:szCs w:val="24"/>
        </w:rPr>
        <w:t>Costs of the suit.</w:t>
      </w:r>
    </w:p>
    <w:p w:rsidR="0038443D" w:rsidRPr="00C01B3D" w:rsidRDefault="00B54DA5" w:rsidP="00C01B3D">
      <w:pPr>
        <w:spacing w:line="360" w:lineRule="auto"/>
        <w:ind w:right="-425"/>
        <w:jc w:val="both"/>
        <w:rPr>
          <w:sz w:val="24"/>
          <w:szCs w:val="24"/>
        </w:rPr>
      </w:pPr>
      <w:r w:rsidRPr="00C01B3D">
        <w:rPr>
          <w:sz w:val="24"/>
          <w:szCs w:val="24"/>
        </w:rPr>
        <w:t xml:space="preserve">From my finding that there is no breach of contract, it follows that no remedies are available to the Plaintiff. </w:t>
      </w:r>
      <w:r w:rsidR="00B43F2F" w:rsidRPr="00C01B3D">
        <w:rPr>
          <w:sz w:val="24"/>
          <w:szCs w:val="24"/>
        </w:rPr>
        <w:t>However</w:t>
      </w:r>
      <w:r w:rsidRPr="00C01B3D">
        <w:rPr>
          <w:sz w:val="24"/>
          <w:szCs w:val="24"/>
        </w:rPr>
        <w:t xml:space="preserve">, I will still go ahead and </w:t>
      </w:r>
      <w:proofErr w:type="spellStart"/>
      <w:r w:rsidRPr="00C01B3D">
        <w:rPr>
          <w:sz w:val="24"/>
          <w:szCs w:val="24"/>
        </w:rPr>
        <w:t>analyse</w:t>
      </w:r>
      <w:proofErr w:type="spellEnd"/>
      <w:r w:rsidRPr="00C01B3D">
        <w:rPr>
          <w:sz w:val="24"/>
          <w:szCs w:val="24"/>
        </w:rPr>
        <w:t xml:space="preserve"> each of the remedies sought by the plaintiff</w:t>
      </w:r>
      <w:r w:rsidR="0038443D" w:rsidRPr="00C01B3D">
        <w:rPr>
          <w:sz w:val="24"/>
          <w:szCs w:val="24"/>
        </w:rPr>
        <w:t xml:space="preserve">. </w:t>
      </w:r>
    </w:p>
    <w:p w:rsidR="00B54DA5" w:rsidRPr="00C01B3D" w:rsidRDefault="00B54DA5" w:rsidP="00C01B3D">
      <w:pPr>
        <w:pStyle w:val="ListParagraph"/>
        <w:numPr>
          <w:ilvl w:val="0"/>
          <w:numId w:val="7"/>
        </w:numPr>
        <w:spacing w:line="360" w:lineRule="auto"/>
        <w:ind w:right="-425"/>
        <w:jc w:val="both"/>
        <w:rPr>
          <w:b/>
          <w:sz w:val="24"/>
          <w:szCs w:val="24"/>
        </w:rPr>
      </w:pPr>
      <w:r w:rsidRPr="00C01B3D">
        <w:rPr>
          <w:b/>
          <w:sz w:val="24"/>
          <w:szCs w:val="24"/>
        </w:rPr>
        <w:t>A declaration that the Defendant breached the service agreement.</w:t>
      </w:r>
    </w:p>
    <w:p w:rsidR="0038443D" w:rsidRPr="00C01B3D" w:rsidRDefault="00B54DA5" w:rsidP="00C01B3D">
      <w:pPr>
        <w:spacing w:line="360" w:lineRule="auto"/>
        <w:ind w:right="-425"/>
        <w:jc w:val="both"/>
        <w:rPr>
          <w:sz w:val="24"/>
          <w:szCs w:val="24"/>
        </w:rPr>
      </w:pPr>
      <w:r w:rsidRPr="00C01B3D">
        <w:rPr>
          <w:sz w:val="24"/>
          <w:szCs w:val="24"/>
        </w:rPr>
        <w:t>This prayer is automatically denied as no breach was proved.</w:t>
      </w:r>
    </w:p>
    <w:p w:rsidR="00B54DA5" w:rsidRPr="00C01B3D" w:rsidRDefault="00B54DA5" w:rsidP="00C01B3D">
      <w:pPr>
        <w:pStyle w:val="ListParagraph"/>
        <w:numPr>
          <w:ilvl w:val="0"/>
          <w:numId w:val="7"/>
        </w:numPr>
        <w:spacing w:line="360" w:lineRule="auto"/>
        <w:ind w:right="-425"/>
        <w:jc w:val="both"/>
        <w:rPr>
          <w:b/>
          <w:sz w:val="24"/>
          <w:szCs w:val="24"/>
        </w:rPr>
      </w:pPr>
      <w:r w:rsidRPr="00C01B3D">
        <w:rPr>
          <w:b/>
          <w:sz w:val="24"/>
          <w:szCs w:val="24"/>
        </w:rPr>
        <w:lastRenderedPageBreak/>
        <w:t>Recovery of special damages as pleaded</w:t>
      </w:r>
    </w:p>
    <w:p w:rsidR="001817B3" w:rsidRPr="00C01B3D" w:rsidRDefault="001817B3" w:rsidP="00C01B3D">
      <w:pPr>
        <w:spacing w:line="360" w:lineRule="auto"/>
        <w:ind w:right="-425"/>
        <w:jc w:val="both"/>
        <w:rPr>
          <w:sz w:val="24"/>
          <w:szCs w:val="24"/>
        </w:rPr>
      </w:pPr>
      <w:r w:rsidRPr="00C01B3D">
        <w:rPr>
          <w:sz w:val="24"/>
          <w:szCs w:val="24"/>
        </w:rPr>
        <w:t>Under this remedy the plaintiff claimed for:</w:t>
      </w:r>
    </w:p>
    <w:p w:rsidR="00B54DA5" w:rsidRPr="00C01B3D" w:rsidRDefault="001817B3" w:rsidP="00C01B3D">
      <w:pPr>
        <w:pStyle w:val="ListParagraph"/>
        <w:numPr>
          <w:ilvl w:val="0"/>
          <w:numId w:val="8"/>
        </w:numPr>
        <w:spacing w:line="360" w:lineRule="auto"/>
        <w:ind w:right="-425"/>
        <w:jc w:val="both"/>
        <w:rPr>
          <w:sz w:val="24"/>
          <w:szCs w:val="24"/>
        </w:rPr>
      </w:pPr>
      <w:r w:rsidRPr="00C01B3D">
        <w:rPr>
          <w:sz w:val="24"/>
          <w:szCs w:val="24"/>
        </w:rPr>
        <w:t xml:space="preserve"> Loss of US$ 33,400 being the costs of the equipment agreed to be supplied.</w:t>
      </w:r>
    </w:p>
    <w:p w:rsidR="001817B3" w:rsidRPr="00C01B3D" w:rsidRDefault="001817B3" w:rsidP="00C01B3D">
      <w:pPr>
        <w:pStyle w:val="ListParagraph"/>
        <w:numPr>
          <w:ilvl w:val="0"/>
          <w:numId w:val="8"/>
        </w:numPr>
        <w:spacing w:line="360" w:lineRule="auto"/>
        <w:ind w:right="-425"/>
        <w:jc w:val="both"/>
        <w:rPr>
          <w:sz w:val="24"/>
          <w:szCs w:val="24"/>
        </w:rPr>
      </w:pPr>
      <w:r w:rsidRPr="00C01B3D">
        <w:rPr>
          <w:sz w:val="24"/>
          <w:szCs w:val="24"/>
        </w:rPr>
        <w:t xml:space="preserve">Loss of money spent on daily wage and food allowance on 34 clients at </w:t>
      </w:r>
      <w:proofErr w:type="spellStart"/>
      <w:r w:rsidRPr="00C01B3D">
        <w:rPr>
          <w:sz w:val="24"/>
          <w:szCs w:val="24"/>
        </w:rPr>
        <w:t>Shs</w:t>
      </w:r>
      <w:proofErr w:type="spellEnd"/>
      <w:r w:rsidRPr="00C01B3D">
        <w:rPr>
          <w:sz w:val="24"/>
          <w:szCs w:val="24"/>
        </w:rPr>
        <w:t>. 7000/= daily for 210 days that they were in the farm.</w:t>
      </w:r>
    </w:p>
    <w:p w:rsidR="001817B3" w:rsidRPr="00C01B3D" w:rsidRDefault="001817B3" w:rsidP="00C01B3D">
      <w:pPr>
        <w:pStyle w:val="ListParagraph"/>
        <w:numPr>
          <w:ilvl w:val="0"/>
          <w:numId w:val="8"/>
        </w:numPr>
        <w:spacing w:line="360" w:lineRule="auto"/>
        <w:ind w:right="-425"/>
        <w:jc w:val="both"/>
        <w:rPr>
          <w:sz w:val="24"/>
          <w:szCs w:val="24"/>
        </w:rPr>
      </w:pPr>
      <w:r w:rsidRPr="00C01B3D">
        <w:rPr>
          <w:sz w:val="24"/>
          <w:szCs w:val="24"/>
        </w:rPr>
        <w:t>Loss of payment of freight costs on the delivery of the project machines US$ 2115</w:t>
      </w:r>
    </w:p>
    <w:p w:rsidR="001817B3" w:rsidRPr="00C01B3D" w:rsidRDefault="001817B3" w:rsidP="00C01B3D">
      <w:pPr>
        <w:pStyle w:val="ListParagraph"/>
        <w:numPr>
          <w:ilvl w:val="0"/>
          <w:numId w:val="8"/>
        </w:numPr>
        <w:spacing w:line="360" w:lineRule="auto"/>
        <w:ind w:right="-425"/>
        <w:jc w:val="both"/>
        <w:rPr>
          <w:sz w:val="24"/>
          <w:szCs w:val="24"/>
        </w:rPr>
      </w:pPr>
      <w:r w:rsidRPr="00C01B3D">
        <w:rPr>
          <w:sz w:val="24"/>
          <w:szCs w:val="24"/>
        </w:rPr>
        <w:t>Loss on expenses incurred on accommodation and feeding of the Engineer who came to fix and install the farm equipment.</w:t>
      </w:r>
    </w:p>
    <w:p w:rsidR="001817B3" w:rsidRPr="00C01B3D" w:rsidRDefault="00B71DE9" w:rsidP="00C01B3D">
      <w:pPr>
        <w:pStyle w:val="ListParagraph"/>
        <w:numPr>
          <w:ilvl w:val="0"/>
          <w:numId w:val="8"/>
        </w:numPr>
        <w:spacing w:line="360" w:lineRule="auto"/>
        <w:ind w:right="-425"/>
        <w:jc w:val="both"/>
        <w:rPr>
          <w:sz w:val="24"/>
          <w:szCs w:val="24"/>
        </w:rPr>
      </w:pPr>
      <w:r w:rsidRPr="00C01B3D">
        <w:rPr>
          <w:sz w:val="24"/>
          <w:szCs w:val="24"/>
        </w:rPr>
        <w:t xml:space="preserve">Loss of seeds bought for demonstration approximately 2000kgs at a cost of </w:t>
      </w:r>
      <w:proofErr w:type="spellStart"/>
      <w:r w:rsidRPr="00C01B3D">
        <w:rPr>
          <w:sz w:val="24"/>
          <w:szCs w:val="24"/>
        </w:rPr>
        <w:t>Shs</w:t>
      </w:r>
      <w:proofErr w:type="spellEnd"/>
      <w:r w:rsidRPr="00C01B3D">
        <w:rPr>
          <w:sz w:val="24"/>
          <w:szCs w:val="24"/>
        </w:rPr>
        <w:t>. 4,000,000/=</w:t>
      </w:r>
    </w:p>
    <w:p w:rsidR="00B71DE9" w:rsidRPr="00C01B3D" w:rsidRDefault="00B71DE9" w:rsidP="00C01B3D">
      <w:pPr>
        <w:pStyle w:val="ListParagraph"/>
        <w:numPr>
          <w:ilvl w:val="0"/>
          <w:numId w:val="8"/>
        </w:numPr>
        <w:spacing w:line="360" w:lineRule="auto"/>
        <w:ind w:right="-425"/>
        <w:jc w:val="both"/>
        <w:rPr>
          <w:sz w:val="24"/>
          <w:szCs w:val="24"/>
        </w:rPr>
      </w:pPr>
      <w:r w:rsidRPr="00C01B3D">
        <w:rPr>
          <w:sz w:val="24"/>
          <w:szCs w:val="24"/>
        </w:rPr>
        <w:t xml:space="preserve">Loss of business earnings as projected in the </w:t>
      </w:r>
      <w:proofErr w:type="spellStart"/>
      <w:r w:rsidRPr="00C01B3D">
        <w:rPr>
          <w:sz w:val="24"/>
          <w:szCs w:val="24"/>
        </w:rPr>
        <w:t>Teng</w:t>
      </w:r>
      <w:proofErr w:type="spellEnd"/>
      <w:r w:rsidRPr="00C01B3D">
        <w:rPr>
          <w:sz w:val="24"/>
          <w:szCs w:val="24"/>
        </w:rPr>
        <w:t xml:space="preserve"> </w:t>
      </w:r>
      <w:proofErr w:type="spellStart"/>
      <w:r w:rsidRPr="00C01B3D">
        <w:rPr>
          <w:sz w:val="24"/>
          <w:szCs w:val="24"/>
        </w:rPr>
        <w:t>Piny</w:t>
      </w:r>
      <w:proofErr w:type="spellEnd"/>
      <w:r w:rsidRPr="00C01B3D">
        <w:rPr>
          <w:sz w:val="24"/>
          <w:szCs w:val="24"/>
        </w:rPr>
        <w:t xml:space="preserve"> Cash Flow over six months:</w:t>
      </w:r>
    </w:p>
    <w:p w:rsidR="00B71DE9" w:rsidRPr="00C01B3D" w:rsidRDefault="00B71DE9" w:rsidP="00C01B3D">
      <w:pPr>
        <w:pStyle w:val="ListParagraph"/>
        <w:numPr>
          <w:ilvl w:val="0"/>
          <w:numId w:val="9"/>
        </w:numPr>
        <w:spacing w:line="360" w:lineRule="auto"/>
        <w:ind w:right="-425"/>
        <w:jc w:val="both"/>
        <w:rPr>
          <w:sz w:val="24"/>
          <w:szCs w:val="24"/>
        </w:rPr>
      </w:pPr>
      <w:r w:rsidRPr="00C01B3D">
        <w:rPr>
          <w:sz w:val="24"/>
          <w:szCs w:val="24"/>
        </w:rPr>
        <w:t>1</w:t>
      </w:r>
      <w:r w:rsidRPr="00C01B3D">
        <w:rPr>
          <w:sz w:val="24"/>
          <w:szCs w:val="24"/>
          <w:vertAlign w:val="superscript"/>
        </w:rPr>
        <w:t>st</w:t>
      </w:r>
      <w:r w:rsidRPr="00C01B3D">
        <w:rPr>
          <w:sz w:val="24"/>
          <w:szCs w:val="24"/>
        </w:rPr>
        <w:t xml:space="preserve"> month </w:t>
      </w:r>
      <w:r w:rsidRPr="00C01B3D">
        <w:rPr>
          <w:sz w:val="24"/>
          <w:szCs w:val="24"/>
        </w:rPr>
        <w:tab/>
      </w:r>
      <w:proofErr w:type="spellStart"/>
      <w:r w:rsidRPr="00C01B3D">
        <w:rPr>
          <w:sz w:val="24"/>
          <w:szCs w:val="24"/>
        </w:rPr>
        <w:t>Shs</w:t>
      </w:r>
      <w:proofErr w:type="spellEnd"/>
      <w:r w:rsidRPr="00C01B3D">
        <w:rPr>
          <w:sz w:val="24"/>
          <w:szCs w:val="24"/>
        </w:rPr>
        <w:t>. 12, 797,500/=</w:t>
      </w:r>
    </w:p>
    <w:p w:rsidR="00B71DE9" w:rsidRPr="00C01B3D" w:rsidRDefault="00B71DE9" w:rsidP="00C01B3D">
      <w:pPr>
        <w:pStyle w:val="ListParagraph"/>
        <w:numPr>
          <w:ilvl w:val="0"/>
          <w:numId w:val="9"/>
        </w:numPr>
        <w:spacing w:line="360" w:lineRule="auto"/>
        <w:ind w:right="-425"/>
        <w:jc w:val="both"/>
        <w:rPr>
          <w:sz w:val="24"/>
          <w:szCs w:val="24"/>
        </w:rPr>
      </w:pPr>
      <w:r w:rsidRPr="00C01B3D">
        <w:rPr>
          <w:sz w:val="24"/>
          <w:szCs w:val="24"/>
        </w:rPr>
        <w:t>2</w:t>
      </w:r>
      <w:r w:rsidRPr="00C01B3D">
        <w:rPr>
          <w:sz w:val="24"/>
          <w:szCs w:val="24"/>
          <w:vertAlign w:val="superscript"/>
        </w:rPr>
        <w:t>nd</w:t>
      </w:r>
      <w:r w:rsidRPr="00C01B3D">
        <w:rPr>
          <w:sz w:val="24"/>
          <w:szCs w:val="24"/>
        </w:rPr>
        <w:t xml:space="preserve"> month </w:t>
      </w:r>
      <w:r w:rsidRPr="00C01B3D">
        <w:rPr>
          <w:sz w:val="24"/>
          <w:szCs w:val="24"/>
        </w:rPr>
        <w:tab/>
      </w:r>
      <w:proofErr w:type="spellStart"/>
      <w:r w:rsidRPr="00C01B3D">
        <w:rPr>
          <w:sz w:val="24"/>
          <w:szCs w:val="24"/>
        </w:rPr>
        <w:t>Shs</w:t>
      </w:r>
      <w:proofErr w:type="spellEnd"/>
      <w:r w:rsidRPr="00C01B3D">
        <w:rPr>
          <w:sz w:val="24"/>
          <w:szCs w:val="24"/>
        </w:rPr>
        <w:t>. 48,375,000/=</w:t>
      </w:r>
    </w:p>
    <w:p w:rsidR="00B71DE9" w:rsidRPr="00C01B3D" w:rsidRDefault="00B71DE9" w:rsidP="00C01B3D">
      <w:pPr>
        <w:pStyle w:val="ListParagraph"/>
        <w:numPr>
          <w:ilvl w:val="0"/>
          <w:numId w:val="9"/>
        </w:numPr>
        <w:spacing w:line="360" w:lineRule="auto"/>
        <w:ind w:right="-425"/>
        <w:jc w:val="both"/>
        <w:rPr>
          <w:sz w:val="24"/>
          <w:szCs w:val="24"/>
        </w:rPr>
      </w:pPr>
      <w:r w:rsidRPr="00C01B3D">
        <w:rPr>
          <w:sz w:val="24"/>
          <w:szCs w:val="24"/>
        </w:rPr>
        <w:t>3</w:t>
      </w:r>
      <w:r w:rsidRPr="00C01B3D">
        <w:rPr>
          <w:sz w:val="24"/>
          <w:szCs w:val="24"/>
          <w:vertAlign w:val="superscript"/>
        </w:rPr>
        <w:t>rd</w:t>
      </w:r>
      <w:r w:rsidRPr="00C01B3D">
        <w:rPr>
          <w:sz w:val="24"/>
          <w:szCs w:val="24"/>
        </w:rPr>
        <w:t xml:space="preserve"> month</w:t>
      </w:r>
      <w:r w:rsidRPr="00C01B3D">
        <w:rPr>
          <w:sz w:val="24"/>
          <w:szCs w:val="24"/>
        </w:rPr>
        <w:tab/>
      </w:r>
      <w:proofErr w:type="spellStart"/>
      <w:r w:rsidRPr="00C01B3D">
        <w:rPr>
          <w:sz w:val="24"/>
          <w:szCs w:val="24"/>
        </w:rPr>
        <w:t>Shs</w:t>
      </w:r>
      <w:proofErr w:type="spellEnd"/>
      <w:r w:rsidRPr="00C01B3D">
        <w:rPr>
          <w:sz w:val="24"/>
          <w:szCs w:val="24"/>
        </w:rPr>
        <w:t>. 83,952,500/=</w:t>
      </w:r>
    </w:p>
    <w:p w:rsidR="00B71DE9" w:rsidRPr="00C01B3D" w:rsidRDefault="00B71DE9" w:rsidP="00C01B3D">
      <w:pPr>
        <w:pStyle w:val="ListParagraph"/>
        <w:numPr>
          <w:ilvl w:val="0"/>
          <w:numId w:val="9"/>
        </w:numPr>
        <w:spacing w:line="360" w:lineRule="auto"/>
        <w:ind w:right="-425"/>
        <w:jc w:val="both"/>
        <w:rPr>
          <w:sz w:val="24"/>
          <w:szCs w:val="24"/>
        </w:rPr>
      </w:pPr>
      <w:r w:rsidRPr="00C01B3D">
        <w:rPr>
          <w:sz w:val="24"/>
          <w:szCs w:val="24"/>
        </w:rPr>
        <w:t>4</w:t>
      </w:r>
      <w:r w:rsidRPr="00C01B3D">
        <w:rPr>
          <w:sz w:val="24"/>
          <w:szCs w:val="24"/>
          <w:vertAlign w:val="superscript"/>
        </w:rPr>
        <w:t>th</w:t>
      </w:r>
      <w:r w:rsidRPr="00C01B3D">
        <w:rPr>
          <w:sz w:val="24"/>
          <w:szCs w:val="24"/>
        </w:rPr>
        <w:t xml:space="preserve"> month</w:t>
      </w:r>
      <w:r w:rsidRPr="00C01B3D">
        <w:rPr>
          <w:sz w:val="24"/>
          <w:szCs w:val="24"/>
        </w:rPr>
        <w:tab/>
      </w:r>
      <w:proofErr w:type="spellStart"/>
      <w:r w:rsidRPr="00C01B3D">
        <w:rPr>
          <w:sz w:val="24"/>
          <w:szCs w:val="24"/>
        </w:rPr>
        <w:t>Shs</w:t>
      </w:r>
      <w:proofErr w:type="spellEnd"/>
      <w:r w:rsidRPr="00C01B3D">
        <w:rPr>
          <w:sz w:val="24"/>
          <w:szCs w:val="24"/>
        </w:rPr>
        <w:t>. 119,930,000/=</w:t>
      </w:r>
    </w:p>
    <w:p w:rsidR="00B71DE9" w:rsidRPr="00C01B3D" w:rsidRDefault="00B71DE9" w:rsidP="00C01B3D">
      <w:pPr>
        <w:pStyle w:val="ListParagraph"/>
        <w:numPr>
          <w:ilvl w:val="0"/>
          <w:numId w:val="9"/>
        </w:numPr>
        <w:spacing w:line="360" w:lineRule="auto"/>
        <w:ind w:right="-425"/>
        <w:jc w:val="both"/>
        <w:rPr>
          <w:sz w:val="24"/>
          <w:szCs w:val="24"/>
        </w:rPr>
      </w:pPr>
      <w:r w:rsidRPr="00C01B3D">
        <w:rPr>
          <w:sz w:val="24"/>
          <w:szCs w:val="24"/>
        </w:rPr>
        <w:t>5</w:t>
      </w:r>
      <w:r w:rsidRPr="00C01B3D">
        <w:rPr>
          <w:sz w:val="24"/>
          <w:szCs w:val="24"/>
          <w:vertAlign w:val="superscript"/>
        </w:rPr>
        <w:t>th</w:t>
      </w:r>
      <w:r w:rsidRPr="00C01B3D">
        <w:rPr>
          <w:sz w:val="24"/>
          <w:szCs w:val="24"/>
        </w:rPr>
        <w:t xml:space="preserve"> month</w:t>
      </w:r>
      <w:r w:rsidRPr="00C01B3D">
        <w:rPr>
          <w:sz w:val="24"/>
          <w:szCs w:val="24"/>
        </w:rPr>
        <w:tab/>
      </w:r>
      <w:proofErr w:type="spellStart"/>
      <w:r w:rsidRPr="00C01B3D">
        <w:rPr>
          <w:sz w:val="24"/>
          <w:szCs w:val="24"/>
        </w:rPr>
        <w:t>Shs</w:t>
      </w:r>
      <w:proofErr w:type="spellEnd"/>
      <w:r w:rsidRPr="00C01B3D">
        <w:rPr>
          <w:sz w:val="24"/>
          <w:szCs w:val="24"/>
        </w:rPr>
        <w:t>. 155,107,500/=</w:t>
      </w:r>
    </w:p>
    <w:p w:rsidR="00B71DE9" w:rsidRPr="00C01B3D" w:rsidRDefault="00B71DE9" w:rsidP="00C01B3D">
      <w:pPr>
        <w:pStyle w:val="ListParagraph"/>
        <w:numPr>
          <w:ilvl w:val="0"/>
          <w:numId w:val="9"/>
        </w:numPr>
        <w:spacing w:line="360" w:lineRule="auto"/>
        <w:ind w:right="-425"/>
        <w:jc w:val="both"/>
        <w:rPr>
          <w:sz w:val="24"/>
          <w:szCs w:val="24"/>
        </w:rPr>
      </w:pPr>
      <w:r w:rsidRPr="00C01B3D">
        <w:rPr>
          <w:sz w:val="24"/>
          <w:szCs w:val="24"/>
        </w:rPr>
        <w:t>6</w:t>
      </w:r>
      <w:r w:rsidRPr="00C01B3D">
        <w:rPr>
          <w:sz w:val="24"/>
          <w:szCs w:val="24"/>
          <w:vertAlign w:val="superscript"/>
        </w:rPr>
        <w:t>th</w:t>
      </w:r>
      <w:r w:rsidRPr="00C01B3D">
        <w:rPr>
          <w:sz w:val="24"/>
          <w:szCs w:val="24"/>
        </w:rPr>
        <w:t xml:space="preserve"> month </w:t>
      </w:r>
      <w:r w:rsidRPr="00C01B3D">
        <w:rPr>
          <w:sz w:val="24"/>
          <w:szCs w:val="24"/>
        </w:rPr>
        <w:tab/>
      </w:r>
      <w:proofErr w:type="spellStart"/>
      <w:r w:rsidRPr="00C01B3D">
        <w:rPr>
          <w:sz w:val="24"/>
          <w:szCs w:val="24"/>
        </w:rPr>
        <w:t>Shs</w:t>
      </w:r>
      <w:proofErr w:type="spellEnd"/>
      <w:r w:rsidRPr="00C01B3D">
        <w:rPr>
          <w:sz w:val="24"/>
          <w:szCs w:val="24"/>
        </w:rPr>
        <w:t>. 190,685,000/=</w:t>
      </w:r>
    </w:p>
    <w:p w:rsidR="00B71DE9" w:rsidRPr="00C01B3D" w:rsidRDefault="00B71DE9" w:rsidP="00C01B3D">
      <w:pPr>
        <w:pStyle w:val="ListParagraph"/>
        <w:spacing w:line="360" w:lineRule="auto"/>
        <w:ind w:right="-425"/>
        <w:jc w:val="both"/>
        <w:rPr>
          <w:sz w:val="24"/>
          <w:szCs w:val="24"/>
        </w:rPr>
      </w:pPr>
    </w:p>
    <w:p w:rsidR="00B71DE9" w:rsidRPr="00C01B3D" w:rsidRDefault="00B71DE9" w:rsidP="00C01B3D">
      <w:pPr>
        <w:pStyle w:val="ListParagraph"/>
        <w:numPr>
          <w:ilvl w:val="0"/>
          <w:numId w:val="10"/>
        </w:numPr>
        <w:spacing w:line="360" w:lineRule="auto"/>
        <w:ind w:right="-425"/>
        <w:jc w:val="both"/>
        <w:rPr>
          <w:b/>
          <w:sz w:val="24"/>
          <w:szCs w:val="24"/>
        </w:rPr>
      </w:pPr>
      <w:r w:rsidRPr="00C01B3D">
        <w:rPr>
          <w:b/>
          <w:sz w:val="24"/>
          <w:szCs w:val="24"/>
        </w:rPr>
        <w:t>Loss of US$ 33,400 being the costs of the equipment agreed to be supplied.</w:t>
      </w:r>
    </w:p>
    <w:p w:rsidR="00B71DE9" w:rsidRPr="00C01B3D" w:rsidRDefault="00B71DE9" w:rsidP="00C01B3D">
      <w:pPr>
        <w:spacing w:line="360" w:lineRule="auto"/>
        <w:ind w:right="-425"/>
        <w:jc w:val="both"/>
        <w:rPr>
          <w:sz w:val="24"/>
          <w:szCs w:val="24"/>
        </w:rPr>
      </w:pPr>
      <w:r w:rsidRPr="00C01B3D">
        <w:rPr>
          <w:sz w:val="24"/>
          <w:szCs w:val="24"/>
        </w:rPr>
        <w:t>This claim is brought in bad faith and it is untenable in view of this court’s finding that the Defendant made in-kind cont</w:t>
      </w:r>
      <w:r w:rsidR="00B43F2F" w:rsidRPr="00C01B3D">
        <w:rPr>
          <w:sz w:val="24"/>
          <w:szCs w:val="24"/>
        </w:rPr>
        <w:t>ribution by providing a Canter Two-</w:t>
      </w:r>
      <w:proofErr w:type="spellStart"/>
      <w:r w:rsidR="00B43F2F" w:rsidRPr="00C01B3D">
        <w:rPr>
          <w:sz w:val="24"/>
          <w:szCs w:val="24"/>
        </w:rPr>
        <w:t>T</w:t>
      </w:r>
      <w:r w:rsidRPr="00C01B3D">
        <w:rPr>
          <w:sz w:val="24"/>
          <w:szCs w:val="24"/>
        </w:rPr>
        <w:t>onne</w:t>
      </w:r>
      <w:proofErr w:type="spellEnd"/>
      <w:r w:rsidRPr="00C01B3D">
        <w:rPr>
          <w:sz w:val="24"/>
          <w:szCs w:val="24"/>
        </w:rPr>
        <w:t xml:space="preserve"> </w:t>
      </w:r>
      <w:r w:rsidR="00B43F2F" w:rsidRPr="00C01B3D">
        <w:rPr>
          <w:sz w:val="24"/>
          <w:szCs w:val="24"/>
        </w:rPr>
        <w:t>T</w:t>
      </w:r>
      <w:r w:rsidRPr="00C01B3D">
        <w:rPr>
          <w:sz w:val="24"/>
          <w:szCs w:val="24"/>
        </w:rPr>
        <w:t>ruck and two equipment</w:t>
      </w:r>
      <w:r w:rsidR="00A93585" w:rsidRPr="00C01B3D">
        <w:rPr>
          <w:sz w:val="24"/>
          <w:szCs w:val="24"/>
        </w:rPr>
        <w:t>/machines</w:t>
      </w:r>
      <w:r w:rsidRPr="00C01B3D">
        <w:rPr>
          <w:sz w:val="24"/>
          <w:szCs w:val="24"/>
        </w:rPr>
        <w:t xml:space="preserve"> worth US$ 26,000. If indeed the Plaintiff was being honest it would not claim for the full amount as if the Defendant never contributed anything to its business. The Plaintiff is therefore </w:t>
      </w:r>
      <w:r w:rsidR="00DA2CA3" w:rsidRPr="00C01B3D">
        <w:rPr>
          <w:sz w:val="24"/>
          <w:szCs w:val="24"/>
        </w:rPr>
        <w:t>not coming to court with clean hands. This claim is denied as it has no basis and has not been proved.</w:t>
      </w:r>
    </w:p>
    <w:p w:rsidR="00DA2CA3" w:rsidRPr="00C01B3D" w:rsidRDefault="00DA2CA3" w:rsidP="00C01B3D">
      <w:pPr>
        <w:pStyle w:val="ListParagraph"/>
        <w:numPr>
          <w:ilvl w:val="0"/>
          <w:numId w:val="10"/>
        </w:numPr>
        <w:spacing w:line="360" w:lineRule="auto"/>
        <w:ind w:right="-425"/>
        <w:jc w:val="both"/>
        <w:rPr>
          <w:b/>
          <w:sz w:val="24"/>
          <w:szCs w:val="24"/>
        </w:rPr>
      </w:pPr>
      <w:r w:rsidRPr="00C01B3D">
        <w:rPr>
          <w:b/>
          <w:sz w:val="24"/>
          <w:szCs w:val="24"/>
        </w:rPr>
        <w:t xml:space="preserve">Loss of money spent on daily wage and food allowance on 34 clients at </w:t>
      </w:r>
      <w:proofErr w:type="spellStart"/>
      <w:r w:rsidRPr="00C01B3D">
        <w:rPr>
          <w:b/>
          <w:sz w:val="24"/>
          <w:szCs w:val="24"/>
        </w:rPr>
        <w:t>Shs</w:t>
      </w:r>
      <w:proofErr w:type="spellEnd"/>
      <w:r w:rsidRPr="00C01B3D">
        <w:rPr>
          <w:b/>
          <w:sz w:val="24"/>
          <w:szCs w:val="24"/>
        </w:rPr>
        <w:t>. 7000/= daily for 210 days that they were in the farm.</w:t>
      </w:r>
    </w:p>
    <w:p w:rsidR="00DA2CA3" w:rsidRPr="00C01B3D" w:rsidRDefault="00DA2CA3" w:rsidP="00C01B3D">
      <w:pPr>
        <w:spacing w:line="360" w:lineRule="auto"/>
        <w:ind w:right="-425"/>
        <w:jc w:val="both"/>
        <w:rPr>
          <w:sz w:val="24"/>
          <w:szCs w:val="24"/>
        </w:rPr>
      </w:pPr>
      <w:r w:rsidRPr="00C01B3D">
        <w:rPr>
          <w:sz w:val="24"/>
          <w:szCs w:val="24"/>
        </w:rPr>
        <w:t xml:space="preserve">I must also point out that the Plaintiff cannot be seen to bring this claim when it enjoyed the equipment provided by the Defendant and </w:t>
      </w:r>
      <w:r w:rsidR="00A93585" w:rsidRPr="00C01B3D">
        <w:rPr>
          <w:sz w:val="24"/>
          <w:szCs w:val="24"/>
        </w:rPr>
        <w:t>even owned them after they were disposed to it</w:t>
      </w:r>
      <w:r w:rsidRPr="00C01B3D">
        <w:rPr>
          <w:sz w:val="24"/>
          <w:szCs w:val="24"/>
        </w:rPr>
        <w:t xml:space="preserve">. This claim would only succeed if the Defendant did not contribute at all but the evidence showed that it contributed </w:t>
      </w:r>
      <w:r w:rsidR="00CD76F1" w:rsidRPr="00C01B3D">
        <w:rPr>
          <w:sz w:val="24"/>
          <w:szCs w:val="24"/>
        </w:rPr>
        <w:t>about 87</w:t>
      </w:r>
      <w:r w:rsidRPr="00C01B3D">
        <w:rPr>
          <w:sz w:val="24"/>
          <w:szCs w:val="24"/>
        </w:rPr>
        <w:t xml:space="preserve">% of what was agreed. </w:t>
      </w:r>
      <w:r w:rsidR="00CD76F1" w:rsidRPr="00C01B3D">
        <w:rPr>
          <w:sz w:val="24"/>
          <w:szCs w:val="24"/>
        </w:rPr>
        <w:t xml:space="preserve">Besides, it was the evidence of the </w:t>
      </w:r>
      <w:r w:rsidR="00CD76F1" w:rsidRPr="00C01B3D">
        <w:rPr>
          <w:sz w:val="24"/>
          <w:szCs w:val="24"/>
        </w:rPr>
        <w:lastRenderedPageBreak/>
        <w:t xml:space="preserve">Plaintiff’s director that these youth cleared 200 acres of the Plaintiff’s farmland and planted some groundnuts. It cannot therefore claim for the full salary and feeding of the youth whose services it benefitted from. </w:t>
      </w:r>
      <w:r w:rsidRPr="00C01B3D">
        <w:rPr>
          <w:sz w:val="24"/>
          <w:szCs w:val="24"/>
        </w:rPr>
        <w:t xml:space="preserve">In the premises, this claim is </w:t>
      </w:r>
      <w:r w:rsidR="00CD76F1" w:rsidRPr="00C01B3D">
        <w:rPr>
          <w:sz w:val="24"/>
          <w:szCs w:val="24"/>
        </w:rPr>
        <w:t xml:space="preserve">unreasonable and it is </w:t>
      </w:r>
      <w:r w:rsidRPr="00C01B3D">
        <w:rPr>
          <w:sz w:val="24"/>
          <w:szCs w:val="24"/>
        </w:rPr>
        <w:t>also denied.</w:t>
      </w:r>
    </w:p>
    <w:p w:rsidR="00DA2CA3" w:rsidRPr="00C01B3D" w:rsidRDefault="00934FA1" w:rsidP="00C01B3D">
      <w:pPr>
        <w:spacing w:line="360" w:lineRule="auto"/>
        <w:ind w:left="360" w:right="-425"/>
        <w:jc w:val="both"/>
        <w:rPr>
          <w:b/>
          <w:sz w:val="24"/>
          <w:szCs w:val="24"/>
        </w:rPr>
      </w:pPr>
      <w:r w:rsidRPr="00C01B3D">
        <w:rPr>
          <w:b/>
          <w:sz w:val="24"/>
          <w:szCs w:val="24"/>
        </w:rPr>
        <w:t xml:space="preserve">(c) </w:t>
      </w:r>
      <w:r w:rsidR="00DA2CA3" w:rsidRPr="00C01B3D">
        <w:rPr>
          <w:b/>
          <w:sz w:val="24"/>
          <w:szCs w:val="24"/>
        </w:rPr>
        <w:t>Loss of payment of freight costs on the delivery of the project machines US$ 2115</w:t>
      </w:r>
    </w:p>
    <w:p w:rsidR="00DA2CA3" w:rsidRPr="00C01B3D" w:rsidRDefault="00DA2CA3" w:rsidP="00C01B3D">
      <w:pPr>
        <w:spacing w:line="360" w:lineRule="auto"/>
        <w:ind w:right="-425"/>
        <w:jc w:val="both"/>
        <w:rPr>
          <w:sz w:val="24"/>
          <w:szCs w:val="24"/>
        </w:rPr>
      </w:pPr>
      <w:r w:rsidRPr="00C01B3D">
        <w:rPr>
          <w:sz w:val="24"/>
          <w:szCs w:val="24"/>
        </w:rPr>
        <w:t>This claim is equally untenable for reason that two of the three machines were found to be fit for use and the Plaintiff benefitted from their use so the claim for refund of the freight is unjustified.</w:t>
      </w:r>
    </w:p>
    <w:p w:rsidR="00DA2CA3" w:rsidRPr="00C01B3D" w:rsidRDefault="00DA2CA3" w:rsidP="00C01B3D">
      <w:pPr>
        <w:pStyle w:val="ListParagraph"/>
        <w:numPr>
          <w:ilvl w:val="0"/>
          <w:numId w:val="16"/>
        </w:numPr>
        <w:spacing w:line="360" w:lineRule="auto"/>
        <w:ind w:right="-425"/>
        <w:jc w:val="both"/>
        <w:rPr>
          <w:b/>
          <w:sz w:val="24"/>
          <w:szCs w:val="24"/>
        </w:rPr>
      </w:pPr>
      <w:r w:rsidRPr="00C01B3D">
        <w:rPr>
          <w:b/>
          <w:sz w:val="24"/>
          <w:szCs w:val="24"/>
        </w:rPr>
        <w:t>Loss on expenses incurred on accommodation and feeding of the Engineer who came to fix and install the farm equipment.</w:t>
      </w:r>
    </w:p>
    <w:p w:rsidR="00DA2CA3" w:rsidRPr="00C01B3D" w:rsidRDefault="00DA2CA3" w:rsidP="00C01B3D">
      <w:pPr>
        <w:spacing w:line="360" w:lineRule="auto"/>
        <w:ind w:right="-425"/>
        <w:jc w:val="both"/>
        <w:rPr>
          <w:sz w:val="24"/>
          <w:szCs w:val="24"/>
        </w:rPr>
      </w:pPr>
      <w:r w:rsidRPr="00C01B3D">
        <w:rPr>
          <w:sz w:val="24"/>
          <w:szCs w:val="24"/>
        </w:rPr>
        <w:t xml:space="preserve">This claim is also unreasonable because two of the machines were fit for use and the Plaintiff benefitted from the service of the engineer. </w:t>
      </w:r>
    </w:p>
    <w:p w:rsidR="00DA2CA3" w:rsidRPr="00C01B3D" w:rsidRDefault="00DA2CA3" w:rsidP="00C01B3D">
      <w:pPr>
        <w:pStyle w:val="ListParagraph"/>
        <w:numPr>
          <w:ilvl w:val="0"/>
          <w:numId w:val="16"/>
        </w:numPr>
        <w:spacing w:line="360" w:lineRule="auto"/>
        <w:ind w:right="-425"/>
        <w:jc w:val="both"/>
        <w:rPr>
          <w:b/>
          <w:sz w:val="24"/>
          <w:szCs w:val="24"/>
        </w:rPr>
      </w:pPr>
      <w:r w:rsidRPr="00C01B3D">
        <w:rPr>
          <w:b/>
          <w:sz w:val="24"/>
          <w:szCs w:val="24"/>
        </w:rPr>
        <w:t xml:space="preserve">Loss of seeds bought for demonstration approximately 2000kgs at a cost of </w:t>
      </w:r>
      <w:proofErr w:type="spellStart"/>
      <w:r w:rsidRPr="00C01B3D">
        <w:rPr>
          <w:b/>
          <w:sz w:val="24"/>
          <w:szCs w:val="24"/>
        </w:rPr>
        <w:t>Shs</w:t>
      </w:r>
      <w:proofErr w:type="spellEnd"/>
      <w:r w:rsidRPr="00C01B3D">
        <w:rPr>
          <w:b/>
          <w:sz w:val="24"/>
          <w:szCs w:val="24"/>
        </w:rPr>
        <w:t>. 4,000,000/=</w:t>
      </w:r>
    </w:p>
    <w:p w:rsidR="00DA2CA3" w:rsidRPr="00C01B3D" w:rsidRDefault="00DA2CA3" w:rsidP="00C01B3D">
      <w:pPr>
        <w:spacing w:line="360" w:lineRule="auto"/>
        <w:ind w:right="-425"/>
        <w:jc w:val="both"/>
        <w:rPr>
          <w:sz w:val="24"/>
          <w:szCs w:val="24"/>
        </w:rPr>
      </w:pPr>
      <w:r w:rsidRPr="00C01B3D">
        <w:rPr>
          <w:sz w:val="24"/>
          <w:szCs w:val="24"/>
        </w:rPr>
        <w:t>Since no proo</w:t>
      </w:r>
      <w:r w:rsidR="00934FA1" w:rsidRPr="00C01B3D">
        <w:rPr>
          <w:sz w:val="24"/>
          <w:szCs w:val="24"/>
        </w:rPr>
        <w:t xml:space="preserve">f was shown that the seeds got spoilt and were thrown away and not used for other purposes this claim is denied. In any event, even if there was any loss of those seeds it was the duty of the Plaintiff to mitigate its loss by disposing of the same or utilizing them for other purposes. </w:t>
      </w:r>
    </w:p>
    <w:p w:rsidR="00934FA1" w:rsidRPr="00C01B3D" w:rsidRDefault="00934FA1" w:rsidP="00C01B3D">
      <w:pPr>
        <w:pStyle w:val="ListParagraph"/>
        <w:numPr>
          <w:ilvl w:val="0"/>
          <w:numId w:val="16"/>
        </w:numPr>
        <w:spacing w:line="360" w:lineRule="auto"/>
        <w:ind w:right="-425"/>
        <w:jc w:val="both"/>
        <w:rPr>
          <w:b/>
          <w:sz w:val="24"/>
          <w:szCs w:val="24"/>
        </w:rPr>
      </w:pPr>
      <w:r w:rsidRPr="00C01B3D">
        <w:rPr>
          <w:b/>
          <w:sz w:val="24"/>
          <w:szCs w:val="24"/>
        </w:rPr>
        <w:t xml:space="preserve">Loss of business earnings as projected in the </w:t>
      </w:r>
      <w:proofErr w:type="spellStart"/>
      <w:r w:rsidRPr="00C01B3D">
        <w:rPr>
          <w:b/>
          <w:sz w:val="24"/>
          <w:szCs w:val="24"/>
        </w:rPr>
        <w:t>Teng</w:t>
      </w:r>
      <w:proofErr w:type="spellEnd"/>
      <w:r w:rsidRPr="00C01B3D">
        <w:rPr>
          <w:b/>
          <w:sz w:val="24"/>
          <w:szCs w:val="24"/>
        </w:rPr>
        <w:t xml:space="preserve"> </w:t>
      </w:r>
      <w:proofErr w:type="spellStart"/>
      <w:r w:rsidRPr="00C01B3D">
        <w:rPr>
          <w:b/>
          <w:sz w:val="24"/>
          <w:szCs w:val="24"/>
        </w:rPr>
        <w:t>Piny</w:t>
      </w:r>
      <w:proofErr w:type="spellEnd"/>
      <w:r w:rsidRPr="00C01B3D">
        <w:rPr>
          <w:b/>
          <w:sz w:val="24"/>
          <w:szCs w:val="24"/>
        </w:rPr>
        <w:t xml:space="preserve"> Cash Flow over six months</w:t>
      </w:r>
    </w:p>
    <w:p w:rsidR="00DA2CA3" w:rsidRPr="00C01B3D" w:rsidRDefault="00934FA1" w:rsidP="00C01B3D">
      <w:pPr>
        <w:spacing w:line="360" w:lineRule="auto"/>
        <w:ind w:right="-425"/>
        <w:jc w:val="both"/>
        <w:rPr>
          <w:sz w:val="24"/>
          <w:szCs w:val="24"/>
        </w:rPr>
      </w:pPr>
      <w:r w:rsidRPr="00C01B3D">
        <w:rPr>
          <w:sz w:val="24"/>
          <w:szCs w:val="24"/>
        </w:rPr>
        <w:t>Finally, as I already stated herein above this claim is foreign to the Agreement and beyond its scope and so it is untenable. It is accordingly denied.</w:t>
      </w:r>
    </w:p>
    <w:p w:rsidR="00934FA1" w:rsidRPr="00C01B3D" w:rsidRDefault="00934FA1" w:rsidP="00C01B3D">
      <w:pPr>
        <w:spacing w:line="360" w:lineRule="auto"/>
        <w:ind w:left="426" w:right="-425"/>
        <w:jc w:val="both"/>
        <w:rPr>
          <w:b/>
          <w:sz w:val="24"/>
          <w:szCs w:val="24"/>
        </w:rPr>
      </w:pPr>
      <w:r w:rsidRPr="00C01B3D">
        <w:rPr>
          <w:b/>
          <w:sz w:val="24"/>
          <w:szCs w:val="24"/>
        </w:rPr>
        <w:t>(2)  General damages.</w:t>
      </w:r>
    </w:p>
    <w:p w:rsidR="00934FA1" w:rsidRPr="00C01B3D" w:rsidRDefault="00934FA1" w:rsidP="00C01B3D">
      <w:pPr>
        <w:spacing w:line="360" w:lineRule="auto"/>
        <w:ind w:right="-425"/>
        <w:jc w:val="both"/>
        <w:rPr>
          <w:sz w:val="24"/>
          <w:szCs w:val="24"/>
        </w:rPr>
      </w:pPr>
      <w:r w:rsidRPr="00C01B3D">
        <w:rPr>
          <w:sz w:val="24"/>
          <w:szCs w:val="24"/>
        </w:rPr>
        <w:t>This claim is also denied because there was no breach of the agreement</w:t>
      </w:r>
      <w:r w:rsidR="00A93585" w:rsidRPr="00C01B3D">
        <w:rPr>
          <w:sz w:val="24"/>
          <w:szCs w:val="24"/>
        </w:rPr>
        <w:t xml:space="preserve"> and in any event, the Plaintiff gained more from the Agreement than the Defendant whose objective of having fifty vulnerable youth employed initially and a further one hundred employed later was not fully achieved.</w:t>
      </w:r>
    </w:p>
    <w:p w:rsidR="00934FA1" w:rsidRPr="00C01B3D" w:rsidRDefault="00934FA1" w:rsidP="00C01B3D">
      <w:pPr>
        <w:spacing w:line="360" w:lineRule="auto"/>
        <w:ind w:right="-425"/>
        <w:jc w:val="both"/>
        <w:rPr>
          <w:sz w:val="24"/>
          <w:szCs w:val="24"/>
        </w:rPr>
      </w:pPr>
    </w:p>
    <w:p w:rsidR="00934FA1" w:rsidRPr="00C01B3D" w:rsidRDefault="00934FA1" w:rsidP="00C01B3D">
      <w:pPr>
        <w:spacing w:line="360" w:lineRule="auto"/>
        <w:ind w:right="-425"/>
        <w:jc w:val="both"/>
        <w:rPr>
          <w:sz w:val="24"/>
          <w:szCs w:val="24"/>
        </w:rPr>
      </w:pPr>
      <w:r w:rsidRPr="00C01B3D">
        <w:rPr>
          <w:sz w:val="24"/>
          <w:szCs w:val="24"/>
        </w:rPr>
        <w:t>In the result, the Plaintiff’s suit is dismissed and it shall bear its own costs.</w:t>
      </w:r>
    </w:p>
    <w:p w:rsidR="00934FA1" w:rsidRPr="00C01B3D" w:rsidRDefault="00934FA1" w:rsidP="00C01B3D">
      <w:pPr>
        <w:spacing w:line="360" w:lineRule="auto"/>
        <w:ind w:right="-425"/>
        <w:jc w:val="both"/>
        <w:rPr>
          <w:sz w:val="24"/>
          <w:szCs w:val="24"/>
        </w:rPr>
      </w:pPr>
    </w:p>
    <w:p w:rsidR="00934FA1" w:rsidRPr="00C01B3D" w:rsidRDefault="00934FA1" w:rsidP="00C01B3D">
      <w:pPr>
        <w:spacing w:line="360" w:lineRule="auto"/>
        <w:ind w:right="-425"/>
        <w:jc w:val="both"/>
        <w:rPr>
          <w:sz w:val="24"/>
          <w:szCs w:val="24"/>
        </w:rPr>
      </w:pPr>
      <w:r w:rsidRPr="00C01B3D">
        <w:rPr>
          <w:sz w:val="24"/>
          <w:szCs w:val="24"/>
        </w:rPr>
        <w:t>I so order.</w:t>
      </w:r>
    </w:p>
    <w:p w:rsidR="00934FA1" w:rsidRPr="00C01B3D" w:rsidRDefault="00934FA1" w:rsidP="00C01B3D">
      <w:pPr>
        <w:spacing w:line="360" w:lineRule="auto"/>
        <w:ind w:right="-425"/>
        <w:jc w:val="both"/>
        <w:rPr>
          <w:sz w:val="24"/>
          <w:szCs w:val="24"/>
        </w:rPr>
      </w:pPr>
    </w:p>
    <w:p w:rsidR="00934FA1" w:rsidRPr="00C01B3D" w:rsidRDefault="00934FA1" w:rsidP="00C01B3D">
      <w:pPr>
        <w:spacing w:line="360" w:lineRule="auto"/>
        <w:ind w:right="-425"/>
        <w:jc w:val="both"/>
        <w:rPr>
          <w:sz w:val="24"/>
          <w:szCs w:val="24"/>
        </w:rPr>
      </w:pPr>
      <w:proofErr w:type="gramStart"/>
      <w:r w:rsidRPr="00C01B3D">
        <w:rPr>
          <w:sz w:val="24"/>
          <w:szCs w:val="24"/>
        </w:rPr>
        <w:lastRenderedPageBreak/>
        <w:t>Dated this 17</w:t>
      </w:r>
      <w:r w:rsidRPr="00C01B3D">
        <w:rPr>
          <w:sz w:val="24"/>
          <w:szCs w:val="24"/>
          <w:vertAlign w:val="superscript"/>
        </w:rPr>
        <w:t>th</w:t>
      </w:r>
      <w:r w:rsidRPr="00C01B3D">
        <w:rPr>
          <w:sz w:val="24"/>
          <w:szCs w:val="24"/>
        </w:rPr>
        <w:t xml:space="preserve"> day of September 2015.</w:t>
      </w:r>
      <w:proofErr w:type="gramEnd"/>
    </w:p>
    <w:p w:rsidR="00934FA1" w:rsidRPr="00C01B3D" w:rsidRDefault="00934FA1" w:rsidP="00C01B3D">
      <w:pPr>
        <w:spacing w:line="360" w:lineRule="auto"/>
        <w:ind w:right="-425"/>
        <w:jc w:val="both"/>
        <w:rPr>
          <w:sz w:val="24"/>
          <w:szCs w:val="24"/>
        </w:rPr>
      </w:pPr>
    </w:p>
    <w:p w:rsidR="00A93585" w:rsidRPr="00C01B3D" w:rsidRDefault="00A93585" w:rsidP="00C01B3D">
      <w:pPr>
        <w:spacing w:line="360" w:lineRule="auto"/>
        <w:ind w:right="-425"/>
        <w:jc w:val="both"/>
        <w:rPr>
          <w:sz w:val="24"/>
          <w:szCs w:val="24"/>
        </w:rPr>
      </w:pPr>
    </w:p>
    <w:p w:rsidR="00934FA1" w:rsidRPr="00C01B3D" w:rsidRDefault="00934FA1" w:rsidP="00C01B3D">
      <w:pPr>
        <w:spacing w:line="360" w:lineRule="auto"/>
        <w:ind w:right="-425"/>
        <w:jc w:val="both"/>
        <w:rPr>
          <w:b/>
          <w:sz w:val="24"/>
          <w:szCs w:val="24"/>
        </w:rPr>
      </w:pPr>
      <w:r w:rsidRPr="00C01B3D">
        <w:rPr>
          <w:sz w:val="24"/>
          <w:szCs w:val="24"/>
        </w:rPr>
        <w:t>Hellen O</w:t>
      </w:r>
      <w:r w:rsidRPr="00C01B3D">
        <w:rPr>
          <w:b/>
          <w:sz w:val="24"/>
          <w:szCs w:val="24"/>
        </w:rPr>
        <w:t>bura</w:t>
      </w:r>
    </w:p>
    <w:p w:rsidR="00934FA1" w:rsidRPr="00C01B3D" w:rsidRDefault="00934FA1" w:rsidP="00C01B3D">
      <w:pPr>
        <w:spacing w:line="360" w:lineRule="auto"/>
        <w:ind w:right="-425"/>
        <w:jc w:val="both"/>
        <w:rPr>
          <w:b/>
          <w:sz w:val="24"/>
          <w:szCs w:val="24"/>
        </w:rPr>
      </w:pPr>
      <w:r w:rsidRPr="00C01B3D">
        <w:rPr>
          <w:b/>
          <w:sz w:val="24"/>
          <w:szCs w:val="24"/>
        </w:rPr>
        <w:t>JUDGE</w:t>
      </w:r>
    </w:p>
    <w:p w:rsidR="00A93585" w:rsidRPr="00C01B3D" w:rsidRDefault="00A93585" w:rsidP="00C01B3D">
      <w:pPr>
        <w:spacing w:line="360" w:lineRule="auto"/>
        <w:ind w:right="-425"/>
        <w:jc w:val="both"/>
        <w:rPr>
          <w:sz w:val="24"/>
          <w:szCs w:val="24"/>
        </w:rPr>
      </w:pPr>
    </w:p>
    <w:p w:rsidR="00A93585" w:rsidRPr="00C01B3D" w:rsidRDefault="00A93585" w:rsidP="00C01B3D">
      <w:pPr>
        <w:spacing w:line="360" w:lineRule="auto"/>
        <w:ind w:right="-425"/>
        <w:jc w:val="both"/>
        <w:rPr>
          <w:sz w:val="24"/>
          <w:szCs w:val="24"/>
        </w:rPr>
      </w:pPr>
      <w:r w:rsidRPr="00C01B3D">
        <w:rPr>
          <w:sz w:val="24"/>
          <w:szCs w:val="24"/>
        </w:rPr>
        <w:t xml:space="preserve">Judgment delivered in chambers at 3.00 pm in the presence of Mr. Tom </w:t>
      </w:r>
      <w:proofErr w:type="spellStart"/>
      <w:r w:rsidRPr="00C01B3D">
        <w:rPr>
          <w:sz w:val="24"/>
          <w:szCs w:val="24"/>
        </w:rPr>
        <w:t>O’Lalobo</w:t>
      </w:r>
      <w:proofErr w:type="spellEnd"/>
      <w:r w:rsidRPr="00C01B3D">
        <w:rPr>
          <w:sz w:val="24"/>
          <w:szCs w:val="24"/>
        </w:rPr>
        <w:t xml:space="preserve"> the Plaintiff’s director who informed court that his counsel was in another court upcountry and had requested him to receive the judgment.</w:t>
      </w:r>
    </w:p>
    <w:p w:rsidR="00A93585" w:rsidRPr="00C01B3D" w:rsidRDefault="00A93585" w:rsidP="00C01B3D">
      <w:pPr>
        <w:spacing w:line="360" w:lineRule="auto"/>
        <w:ind w:right="-425"/>
        <w:jc w:val="both"/>
        <w:rPr>
          <w:sz w:val="24"/>
          <w:szCs w:val="24"/>
        </w:rPr>
      </w:pPr>
    </w:p>
    <w:p w:rsidR="00A93585" w:rsidRPr="00C01B3D" w:rsidRDefault="00A93585" w:rsidP="00C01B3D">
      <w:pPr>
        <w:spacing w:line="360" w:lineRule="auto"/>
        <w:ind w:right="-425"/>
        <w:jc w:val="both"/>
        <w:rPr>
          <w:b/>
          <w:sz w:val="24"/>
          <w:szCs w:val="24"/>
        </w:rPr>
      </w:pPr>
    </w:p>
    <w:p w:rsidR="00A93585" w:rsidRPr="00C01B3D" w:rsidRDefault="00A93585" w:rsidP="00C01B3D">
      <w:pPr>
        <w:spacing w:line="360" w:lineRule="auto"/>
        <w:ind w:right="-425"/>
        <w:jc w:val="both"/>
        <w:rPr>
          <w:b/>
          <w:sz w:val="24"/>
          <w:szCs w:val="24"/>
        </w:rPr>
      </w:pPr>
      <w:r w:rsidRPr="00C01B3D">
        <w:rPr>
          <w:b/>
          <w:sz w:val="24"/>
          <w:szCs w:val="24"/>
        </w:rPr>
        <w:t>JUDGE</w:t>
      </w:r>
    </w:p>
    <w:p w:rsidR="00A93585" w:rsidRPr="00C01B3D" w:rsidRDefault="00A93585" w:rsidP="00C01B3D">
      <w:pPr>
        <w:spacing w:line="360" w:lineRule="auto"/>
        <w:ind w:right="-425"/>
        <w:jc w:val="both"/>
        <w:rPr>
          <w:sz w:val="24"/>
          <w:szCs w:val="24"/>
        </w:rPr>
      </w:pPr>
      <w:r w:rsidRPr="00C01B3D">
        <w:rPr>
          <w:sz w:val="24"/>
          <w:szCs w:val="24"/>
        </w:rPr>
        <w:t>17/09/15</w:t>
      </w:r>
    </w:p>
    <w:sectPr w:rsidR="00A93585" w:rsidRPr="00C01B3D" w:rsidSect="0081082A">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ED3" w:rsidRDefault="00654ED3" w:rsidP="00A271BA">
      <w:r>
        <w:separator/>
      </w:r>
    </w:p>
  </w:endnote>
  <w:endnote w:type="continuationSeparator" w:id="0">
    <w:p w:rsidR="00654ED3" w:rsidRDefault="00654ED3" w:rsidP="00A27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5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ED3" w:rsidRDefault="00B46BBF" w:rsidP="008C0E4D">
    <w:pPr>
      <w:pStyle w:val="Footer"/>
      <w:framePr w:wrap="around" w:vAnchor="text" w:hAnchor="margin" w:xAlign="right" w:y="1"/>
      <w:rPr>
        <w:rStyle w:val="PageNumber"/>
      </w:rPr>
    </w:pPr>
    <w:r>
      <w:rPr>
        <w:rStyle w:val="PageNumber"/>
      </w:rPr>
      <w:fldChar w:fldCharType="begin"/>
    </w:r>
    <w:r w:rsidR="00654ED3">
      <w:rPr>
        <w:rStyle w:val="PageNumber"/>
      </w:rPr>
      <w:instrText xml:space="preserve">PAGE  </w:instrText>
    </w:r>
    <w:r>
      <w:rPr>
        <w:rStyle w:val="PageNumber"/>
      </w:rPr>
      <w:fldChar w:fldCharType="end"/>
    </w:r>
  </w:p>
  <w:p w:rsidR="00654ED3" w:rsidRDefault="00654ED3" w:rsidP="00A271B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ED3" w:rsidRDefault="00654ED3" w:rsidP="008C0E4D">
    <w:pPr>
      <w:pStyle w:val="Footer"/>
      <w:framePr w:wrap="around" w:vAnchor="text" w:hAnchor="margin" w:xAlign="right" w:y="1"/>
      <w:rPr>
        <w:rStyle w:val="PageNumber"/>
      </w:rPr>
    </w:pPr>
  </w:p>
  <w:p w:rsidR="00654ED3" w:rsidRDefault="00654ED3" w:rsidP="00A271B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ED3" w:rsidRDefault="00654ED3" w:rsidP="00A271BA">
      <w:r>
        <w:separator/>
      </w:r>
    </w:p>
  </w:footnote>
  <w:footnote w:type="continuationSeparator" w:id="0">
    <w:p w:rsidR="00654ED3" w:rsidRDefault="00654ED3" w:rsidP="00A271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0048142"/>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4031405"/>
    <w:multiLevelType w:val="hybridMultilevel"/>
    <w:tmpl w:val="C396DB9C"/>
    <w:lvl w:ilvl="0" w:tplc="821E534A">
      <w:start w:val="1"/>
      <w:numFmt w:val="lowerLetter"/>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8B8312E"/>
    <w:multiLevelType w:val="hybridMultilevel"/>
    <w:tmpl w:val="4A70FA04"/>
    <w:lvl w:ilvl="0" w:tplc="821E534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E754DF3"/>
    <w:multiLevelType w:val="hybridMultilevel"/>
    <w:tmpl w:val="4A70FA04"/>
    <w:lvl w:ilvl="0" w:tplc="821E534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34B2FE4"/>
    <w:multiLevelType w:val="hybridMultilevel"/>
    <w:tmpl w:val="4A70FA04"/>
    <w:lvl w:ilvl="0" w:tplc="821E534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E3156B9"/>
    <w:multiLevelType w:val="hybridMultilevel"/>
    <w:tmpl w:val="21E821DC"/>
    <w:lvl w:ilvl="0" w:tplc="0BB2F91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36A641C2"/>
    <w:multiLevelType w:val="hybridMultilevel"/>
    <w:tmpl w:val="4A70FA04"/>
    <w:lvl w:ilvl="0" w:tplc="821E534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31E5B7B"/>
    <w:multiLevelType w:val="hybridMultilevel"/>
    <w:tmpl w:val="C4BCE578"/>
    <w:lvl w:ilvl="0" w:tplc="821E534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BA80D9A"/>
    <w:multiLevelType w:val="hybridMultilevel"/>
    <w:tmpl w:val="09F0BC8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2662253"/>
    <w:multiLevelType w:val="hybridMultilevel"/>
    <w:tmpl w:val="4A70FA04"/>
    <w:lvl w:ilvl="0" w:tplc="821E534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4722C87"/>
    <w:multiLevelType w:val="hybridMultilevel"/>
    <w:tmpl w:val="131201BA"/>
    <w:lvl w:ilvl="0" w:tplc="821E534A">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EBD058A"/>
    <w:multiLevelType w:val="hybridMultilevel"/>
    <w:tmpl w:val="4A70FA04"/>
    <w:lvl w:ilvl="0" w:tplc="821E534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5AD4769"/>
    <w:multiLevelType w:val="hybridMultilevel"/>
    <w:tmpl w:val="26A2777E"/>
    <w:lvl w:ilvl="0" w:tplc="C1660D7C">
      <w:start w:val="1"/>
      <w:numFmt w:val="decimal"/>
      <w:lvlText w:val="(%1)"/>
      <w:lvlJc w:val="left"/>
      <w:pPr>
        <w:ind w:left="720" w:hanging="360"/>
      </w:pPr>
      <w:rPr>
        <w:rFonts w:ascii="Times New Roman" w:eastAsiaTheme="minorEastAsia"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64051CD"/>
    <w:multiLevelType w:val="hybridMultilevel"/>
    <w:tmpl w:val="F5E0591A"/>
    <w:lvl w:ilvl="0" w:tplc="6770AC0C">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0"/>
  </w:num>
  <w:num w:numId="2">
    <w:abstractNumId w:val="1"/>
  </w:num>
  <w:num w:numId="3">
    <w:abstractNumId w:val="2"/>
  </w:num>
  <w:num w:numId="4">
    <w:abstractNumId w:val="7"/>
  </w:num>
  <w:num w:numId="5">
    <w:abstractNumId w:val="14"/>
  </w:num>
  <w:num w:numId="6">
    <w:abstractNumId w:val="3"/>
  </w:num>
  <w:num w:numId="7">
    <w:abstractNumId w:val="15"/>
  </w:num>
  <w:num w:numId="8">
    <w:abstractNumId w:val="5"/>
  </w:num>
  <w:num w:numId="9">
    <w:abstractNumId w:val="10"/>
  </w:num>
  <w:num w:numId="10">
    <w:abstractNumId w:val="9"/>
  </w:num>
  <w:num w:numId="11">
    <w:abstractNumId w:val="8"/>
  </w:num>
  <w:num w:numId="12">
    <w:abstractNumId w:val="11"/>
  </w:num>
  <w:num w:numId="13">
    <w:abstractNumId w:val="4"/>
  </w:num>
  <w:num w:numId="14">
    <w:abstractNumId w:val="13"/>
  </w:num>
  <w:num w:numId="15">
    <w:abstractNumId w:val="6"/>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B47"/>
    <w:rsid w:val="000167B1"/>
    <w:rsid w:val="00032351"/>
    <w:rsid w:val="00034E47"/>
    <w:rsid w:val="0003750A"/>
    <w:rsid w:val="000A71AE"/>
    <w:rsid w:val="001064D3"/>
    <w:rsid w:val="001340E3"/>
    <w:rsid w:val="001517A1"/>
    <w:rsid w:val="00170104"/>
    <w:rsid w:val="001817B3"/>
    <w:rsid w:val="00184A27"/>
    <w:rsid w:val="00192D6C"/>
    <w:rsid w:val="001A6B1F"/>
    <w:rsid w:val="001D78B1"/>
    <w:rsid w:val="001F073A"/>
    <w:rsid w:val="00207C5D"/>
    <w:rsid w:val="002132C3"/>
    <w:rsid w:val="002311D6"/>
    <w:rsid w:val="0024130E"/>
    <w:rsid w:val="00285FD2"/>
    <w:rsid w:val="002B61AB"/>
    <w:rsid w:val="002E0E91"/>
    <w:rsid w:val="002E2222"/>
    <w:rsid w:val="002F5BBE"/>
    <w:rsid w:val="002F70D8"/>
    <w:rsid w:val="00302411"/>
    <w:rsid w:val="00317AB8"/>
    <w:rsid w:val="00362F7D"/>
    <w:rsid w:val="0038443D"/>
    <w:rsid w:val="003B561A"/>
    <w:rsid w:val="003D1593"/>
    <w:rsid w:val="003E57E6"/>
    <w:rsid w:val="003F69FA"/>
    <w:rsid w:val="00405B11"/>
    <w:rsid w:val="00413639"/>
    <w:rsid w:val="00430DD6"/>
    <w:rsid w:val="00453976"/>
    <w:rsid w:val="00460824"/>
    <w:rsid w:val="004E5A00"/>
    <w:rsid w:val="004E735A"/>
    <w:rsid w:val="004E74A8"/>
    <w:rsid w:val="004F0781"/>
    <w:rsid w:val="00512C8B"/>
    <w:rsid w:val="005310B6"/>
    <w:rsid w:val="00546A40"/>
    <w:rsid w:val="005622BE"/>
    <w:rsid w:val="0056260A"/>
    <w:rsid w:val="00567F3A"/>
    <w:rsid w:val="00583271"/>
    <w:rsid w:val="005921DC"/>
    <w:rsid w:val="0059355B"/>
    <w:rsid w:val="005C59E6"/>
    <w:rsid w:val="005E72D0"/>
    <w:rsid w:val="005F6F06"/>
    <w:rsid w:val="005F7280"/>
    <w:rsid w:val="00602EAF"/>
    <w:rsid w:val="006515F6"/>
    <w:rsid w:val="00654ED3"/>
    <w:rsid w:val="0067538B"/>
    <w:rsid w:val="00681ECA"/>
    <w:rsid w:val="00685105"/>
    <w:rsid w:val="00687CF5"/>
    <w:rsid w:val="006E6E93"/>
    <w:rsid w:val="007267B4"/>
    <w:rsid w:val="00726FA6"/>
    <w:rsid w:val="00743186"/>
    <w:rsid w:val="007510BF"/>
    <w:rsid w:val="00753FD3"/>
    <w:rsid w:val="007B0D8E"/>
    <w:rsid w:val="0081082A"/>
    <w:rsid w:val="00815D14"/>
    <w:rsid w:val="0083431E"/>
    <w:rsid w:val="00860E62"/>
    <w:rsid w:val="008673D8"/>
    <w:rsid w:val="00886949"/>
    <w:rsid w:val="008A1D4A"/>
    <w:rsid w:val="008C0E4D"/>
    <w:rsid w:val="008D6D5D"/>
    <w:rsid w:val="008F5C31"/>
    <w:rsid w:val="009062E9"/>
    <w:rsid w:val="00934FA1"/>
    <w:rsid w:val="00950992"/>
    <w:rsid w:val="00953D67"/>
    <w:rsid w:val="009541CA"/>
    <w:rsid w:val="009D25B5"/>
    <w:rsid w:val="009E4F88"/>
    <w:rsid w:val="009E709E"/>
    <w:rsid w:val="009F2AA8"/>
    <w:rsid w:val="009F2E6B"/>
    <w:rsid w:val="00A22608"/>
    <w:rsid w:val="00A236E9"/>
    <w:rsid w:val="00A271BA"/>
    <w:rsid w:val="00A42434"/>
    <w:rsid w:val="00A50169"/>
    <w:rsid w:val="00A620D5"/>
    <w:rsid w:val="00A75178"/>
    <w:rsid w:val="00A841E4"/>
    <w:rsid w:val="00A93585"/>
    <w:rsid w:val="00AB6E34"/>
    <w:rsid w:val="00AC755F"/>
    <w:rsid w:val="00B11FF3"/>
    <w:rsid w:val="00B33BD8"/>
    <w:rsid w:val="00B43F2F"/>
    <w:rsid w:val="00B46BBF"/>
    <w:rsid w:val="00B54DA5"/>
    <w:rsid w:val="00B57E85"/>
    <w:rsid w:val="00B670BF"/>
    <w:rsid w:val="00B71DE9"/>
    <w:rsid w:val="00B83750"/>
    <w:rsid w:val="00B97B47"/>
    <w:rsid w:val="00BB4F19"/>
    <w:rsid w:val="00BC3EF9"/>
    <w:rsid w:val="00BE3CC2"/>
    <w:rsid w:val="00BF664E"/>
    <w:rsid w:val="00C01B3D"/>
    <w:rsid w:val="00C06D84"/>
    <w:rsid w:val="00C17A21"/>
    <w:rsid w:val="00C26C00"/>
    <w:rsid w:val="00C43428"/>
    <w:rsid w:val="00C44AF9"/>
    <w:rsid w:val="00C44F1B"/>
    <w:rsid w:val="00C72B9D"/>
    <w:rsid w:val="00C8307C"/>
    <w:rsid w:val="00CB5AC6"/>
    <w:rsid w:val="00CC6639"/>
    <w:rsid w:val="00CD63D7"/>
    <w:rsid w:val="00CD76F1"/>
    <w:rsid w:val="00CE1AF3"/>
    <w:rsid w:val="00CE218A"/>
    <w:rsid w:val="00D13928"/>
    <w:rsid w:val="00D515C5"/>
    <w:rsid w:val="00D75777"/>
    <w:rsid w:val="00DA2CA3"/>
    <w:rsid w:val="00DE240B"/>
    <w:rsid w:val="00DF1980"/>
    <w:rsid w:val="00E07853"/>
    <w:rsid w:val="00E24FA4"/>
    <w:rsid w:val="00E4304E"/>
    <w:rsid w:val="00EC6AB7"/>
    <w:rsid w:val="00F34F50"/>
    <w:rsid w:val="00F402AC"/>
    <w:rsid w:val="00F67DBC"/>
    <w:rsid w:val="00FB1614"/>
    <w:rsid w:val="00FB17A4"/>
    <w:rsid w:val="00FC11CD"/>
    <w:rsid w:val="00FC3C31"/>
    <w:rsid w:val="00FE2A85"/>
    <w:rsid w:val="00FE7A2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6"/>
        <w:szCs w:val="26"/>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Level1">
    <w:name w:val="Note Level 1"/>
    <w:basedOn w:val="Normal"/>
    <w:uiPriority w:val="99"/>
    <w:semiHidden/>
    <w:unhideWhenUsed/>
    <w:rsid w:val="00453976"/>
    <w:pPr>
      <w:keepNext/>
      <w:numPr>
        <w:numId w:val="1"/>
      </w:numPr>
      <w:contextualSpacing/>
      <w:outlineLvl w:val="0"/>
    </w:pPr>
    <w:rPr>
      <w:rFonts w:ascii="Helvetica" w:eastAsia="MS Gothic" w:hAnsi="Helvetica"/>
      <w:sz w:val="28"/>
      <w:szCs w:val="28"/>
    </w:rPr>
  </w:style>
  <w:style w:type="paragraph" w:customStyle="1" w:styleId="NoteLevel2">
    <w:name w:val="Note Level 2"/>
    <w:basedOn w:val="Normal"/>
    <w:uiPriority w:val="99"/>
    <w:semiHidden/>
    <w:unhideWhenUsed/>
    <w:rsid w:val="00453976"/>
    <w:pPr>
      <w:keepNext/>
      <w:numPr>
        <w:ilvl w:val="1"/>
        <w:numId w:val="1"/>
      </w:numPr>
      <w:contextualSpacing/>
      <w:outlineLvl w:val="1"/>
    </w:pPr>
    <w:rPr>
      <w:rFonts w:ascii="Helvetica" w:eastAsia="MS Gothic" w:hAnsi="Helvetica"/>
      <w:sz w:val="28"/>
      <w:szCs w:val="28"/>
    </w:rPr>
  </w:style>
  <w:style w:type="paragraph" w:customStyle="1" w:styleId="NoteLevel3">
    <w:name w:val="Note Level 3"/>
    <w:basedOn w:val="Normal"/>
    <w:uiPriority w:val="99"/>
    <w:semiHidden/>
    <w:unhideWhenUsed/>
    <w:rsid w:val="00453976"/>
    <w:pPr>
      <w:keepNext/>
      <w:numPr>
        <w:ilvl w:val="2"/>
        <w:numId w:val="1"/>
      </w:numPr>
      <w:contextualSpacing/>
      <w:outlineLvl w:val="2"/>
    </w:pPr>
    <w:rPr>
      <w:rFonts w:ascii="Helvetica" w:eastAsia="MS Gothic" w:hAnsi="Helvetica"/>
      <w:sz w:val="28"/>
      <w:szCs w:val="28"/>
    </w:rPr>
  </w:style>
  <w:style w:type="paragraph" w:customStyle="1" w:styleId="NoteLevel4">
    <w:name w:val="Note Level 4"/>
    <w:basedOn w:val="Normal"/>
    <w:uiPriority w:val="99"/>
    <w:semiHidden/>
    <w:unhideWhenUsed/>
    <w:rsid w:val="00453976"/>
    <w:pPr>
      <w:keepNext/>
      <w:numPr>
        <w:ilvl w:val="3"/>
        <w:numId w:val="1"/>
      </w:numPr>
      <w:contextualSpacing/>
      <w:outlineLvl w:val="3"/>
    </w:pPr>
    <w:rPr>
      <w:rFonts w:ascii="Helvetica" w:eastAsia="MS Gothic" w:hAnsi="Helvetica"/>
      <w:sz w:val="28"/>
      <w:szCs w:val="28"/>
    </w:rPr>
  </w:style>
  <w:style w:type="paragraph" w:customStyle="1" w:styleId="NoteLevel5">
    <w:name w:val="Note Level 5"/>
    <w:basedOn w:val="Normal"/>
    <w:uiPriority w:val="99"/>
    <w:semiHidden/>
    <w:unhideWhenUsed/>
    <w:rsid w:val="00453976"/>
    <w:pPr>
      <w:keepNext/>
      <w:numPr>
        <w:ilvl w:val="4"/>
        <w:numId w:val="1"/>
      </w:numPr>
      <w:contextualSpacing/>
      <w:outlineLvl w:val="4"/>
    </w:pPr>
    <w:rPr>
      <w:rFonts w:ascii="Helvetica" w:eastAsia="MS Gothic" w:hAnsi="Helvetica"/>
      <w:sz w:val="28"/>
      <w:szCs w:val="28"/>
    </w:rPr>
  </w:style>
  <w:style w:type="paragraph" w:customStyle="1" w:styleId="NoteLevel6">
    <w:name w:val="Note Level 6"/>
    <w:basedOn w:val="Normal"/>
    <w:uiPriority w:val="99"/>
    <w:semiHidden/>
    <w:unhideWhenUsed/>
    <w:rsid w:val="00453976"/>
    <w:pPr>
      <w:keepNext/>
      <w:numPr>
        <w:ilvl w:val="5"/>
        <w:numId w:val="1"/>
      </w:numPr>
      <w:contextualSpacing/>
      <w:outlineLvl w:val="5"/>
    </w:pPr>
    <w:rPr>
      <w:rFonts w:ascii="Helvetica" w:eastAsia="MS Gothic" w:hAnsi="Helvetica"/>
      <w:sz w:val="28"/>
      <w:szCs w:val="28"/>
    </w:rPr>
  </w:style>
  <w:style w:type="paragraph" w:customStyle="1" w:styleId="NoteLevel7">
    <w:name w:val="Note Level 7"/>
    <w:basedOn w:val="Normal"/>
    <w:uiPriority w:val="99"/>
    <w:semiHidden/>
    <w:unhideWhenUsed/>
    <w:rsid w:val="00453976"/>
    <w:pPr>
      <w:keepNext/>
      <w:numPr>
        <w:ilvl w:val="6"/>
        <w:numId w:val="1"/>
      </w:numPr>
      <w:contextualSpacing/>
      <w:outlineLvl w:val="6"/>
    </w:pPr>
    <w:rPr>
      <w:rFonts w:ascii="Helvetica" w:eastAsia="MS Gothic" w:hAnsi="Helvetica"/>
      <w:sz w:val="28"/>
      <w:szCs w:val="28"/>
    </w:rPr>
  </w:style>
  <w:style w:type="paragraph" w:customStyle="1" w:styleId="NoteLevel8">
    <w:name w:val="Note Level 8"/>
    <w:basedOn w:val="Normal"/>
    <w:uiPriority w:val="99"/>
    <w:semiHidden/>
    <w:unhideWhenUsed/>
    <w:rsid w:val="00453976"/>
    <w:pPr>
      <w:keepNext/>
      <w:numPr>
        <w:ilvl w:val="7"/>
        <w:numId w:val="1"/>
      </w:numPr>
      <w:contextualSpacing/>
      <w:outlineLvl w:val="7"/>
    </w:pPr>
    <w:rPr>
      <w:rFonts w:ascii="Helvetica" w:eastAsia="MS Gothic" w:hAnsi="Helvetica"/>
      <w:sz w:val="28"/>
      <w:szCs w:val="28"/>
    </w:rPr>
  </w:style>
  <w:style w:type="paragraph" w:customStyle="1" w:styleId="NoteLevel9">
    <w:name w:val="Note Level 9"/>
    <w:basedOn w:val="Normal"/>
    <w:uiPriority w:val="99"/>
    <w:semiHidden/>
    <w:unhideWhenUsed/>
    <w:rsid w:val="00453976"/>
    <w:pPr>
      <w:keepNext/>
      <w:numPr>
        <w:ilvl w:val="8"/>
        <w:numId w:val="1"/>
      </w:numPr>
      <w:contextualSpacing/>
      <w:outlineLvl w:val="8"/>
    </w:pPr>
    <w:rPr>
      <w:rFonts w:ascii="Helvetica" w:eastAsia="MS Gothic" w:hAnsi="Helvetica"/>
      <w:sz w:val="28"/>
      <w:szCs w:val="28"/>
    </w:rPr>
  </w:style>
  <w:style w:type="paragraph" w:styleId="Footer">
    <w:name w:val="footer"/>
    <w:basedOn w:val="Normal"/>
    <w:link w:val="FooterChar"/>
    <w:uiPriority w:val="99"/>
    <w:unhideWhenUsed/>
    <w:rsid w:val="00A271BA"/>
    <w:pPr>
      <w:tabs>
        <w:tab w:val="center" w:pos="4320"/>
        <w:tab w:val="right" w:pos="8640"/>
      </w:tabs>
    </w:pPr>
  </w:style>
  <w:style w:type="character" w:customStyle="1" w:styleId="FooterChar">
    <w:name w:val="Footer Char"/>
    <w:basedOn w:val="DefaultParagraphFont"/>
    <w:link w:val="Footer"/>
    <w:uiPriority w:val="99"/>
    <w:rsid w:val="00A271BA"/>
  </w:style>
  <w:style w:type="character" w:styleId="PageNumber">
    <w:name w:val="page number"/>
    <w:basedOn w:val="DefaultParagraphFont"/>
    <w:uiPriority w:val="99"/>
    <w:semiHidden/>
    <w:unhideWhenUsed/>
    <w:rsid w:val="00A271BA"/>
  </w:style>
  <w:style w:type="paragraph" w:styleId="ListParagraph">
    <w:name w:val="List Paragraph"/>
    <w:basedOn w:val="Normal"/>
    <w:uiPriority w:val="34"/>
    <w:qFormat/>
    <w:rsid w:val="00602EAF"/>
    <w:pPr>
      <w:ind w:left="720"/>
      <w:contextualSpacing/>
    </w:pPr>
  </w:style>
  <w:style w:type="paragraph" w:styleId="Header">
    <w:name w:val="header"/>
    <w:basedOn w:val="Normal"/>
    <w:link w:val="HeaderChar"/>
    <w:uiPriority w:val="99"/>
    <w:unhideWhenUsed/>
    <w:rsid w:val="00C01B3D"/>
    <w:pPr>
      <w:tabs>
        <w:tab w:val="center" w:pos="4680"/>
        <w:tab w:val="right" w:pos="9360"/>
      </w:tabs>
    </w:pPr>
  </w:style>
  <w:style w:type="character" w:customStyle="1" w:styleId="HeaderChar">
    <w:name w:val="Header Char"/>
    <w:basedOn w:val="DefaultParagraphFont"/>
    <w:link w:val="Header"/>
    <w:uiPriority w:val="99"/>
    <w:rsid w:val="00C01B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6"/>
        <w:szCs w:val="26"/>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Level1">
    <w:name w:val="Note Level 1"/>
    <w:basedOn w:val="Normal"/>
    <w:uiPriority w:val="99"/>
    <w:semiHidden/>
    <w:unhideWhenUsed/>
    <w:rsid w:val="00453976"/>
    <w:pPr>
      <w:keepNext/>
      <w:numPr>
        <w:numId w:val="1"/>
      </w:numPr>
      <w:contextualSpacing/>
      <w:outlineLvl w:val="0"/>
    </w:pPr>
    <w:rPr>
      <w:rFonts w:ascii="Helvetica" w:eastAsia="MS Gothic" w:hAnsi="Helvetica"/>
      <w:sz w:val="28"/>
      <w:szCs w:val="28"/>
    </w:rPr>
  </w:style>
  <w:style w:type="paragraph" w:customStyle="1" w:styleId="NoteLevel2">
    <w:name w:val="Note Level 2"/>
    <w:basedOn w:val="Normal"/>
    <w:uiPriority w:val="99"/>
    <w:semiHidden/>
    <w:unhideWhenUsed/>
    <w:rsid w:val="00453976"/>
    <w:pPr>
      <w:keepNext/>
      <w:numPr>
        <w:ilvl w:val="1"/>
        <w:numId w:val="1"/>
      </w:numPr>
      <w:contextualSpacing/>
      <w:outlineLvl w:val="1"/>
    </w:pPr>
    <w:rPr>
      <w:rFonts w:ascii="Helvetica" w:eastAsia="MS Gothic" w:hAnsi="Helvetica"/>
      <w:sz w:val="28"/>
      <w:szCs w:val="28"/>
    </w:rPr>
  </w:style>
  <w:style w:type="paragraph" w:customStyle="1" w:styleId="NoteLevel3">
    <w:name w:val="Note Level 3"/>
    <w:basedOn w:val="Normal"/>
    <w:uiPriority w:val="99"/>
    <w:semiHidden/>
    <w:unhideWhenUsed/>
    <w:rsid w:val="00453976"/>
    <w:pPr>
      <w:keepNext/>
      <w:numPr>
        <w:ilvl w:val="2"/>
        <w:numId w:val="1"/>
      </w:numPr>
      <w:contextualSpacing/>
      <w:outlineLvl w:val="2"/>
    </w:pPr>
    <w:rPr>
      <w:rFonts w:ascii="Helvetica" w:eastAsia="MS Gothic" w:hAnsi="Helvetica"/>
      <w:sz w:val="28"/>
      <w:szCs w:val="28"/>
    </w:rPr>
  </w:style>
  <w:style w:type="paragraph" w:customStyle="1" w:styleId="NoteLevel4">
    <w:name w:val="Note Level 4"/>
    <w:basedOn w:val="Normal"/>
    <w:uiPriority w:val="99"/>
    <w:semiHidden/>
    <w:unhideWhenUsed/>
    <w:rsid w:val="00453976"/>
    <w:pPr>
      <w:keepNext/>
      <w:numPr>
        <w:ilvl w:val="3"/>
        <w:numId w:val="1"/>
      </w:numPr>
      <w:contextualSpacing/>
      <w:outlineLvl w:val="3"/>
    </w:pPr>
    <w:rPr>
      <w:rFonts w:ascii="Helvetica" w:eastAsia="MS Gothic" w:hAnsi="Helvetica"/>
      <w:sz w:val="28"/>
      <w:szCs w:val="28"/>
    </w:rPr>
  </w:style>
  <w:style w:type="paragraph" w:customStyle="1" w:styleId="NoteLevel5">
    <w:name w:val="Note Level 5"/>
    <w:basedOn w:val="Normal"/>
    <w:uiPriority w:val="99"/>
    <w:semiHidden/>
    <w:unhideWhenUsed/>
    <w:rsid w:val="00453976"/>
    <w:pPr>
      <w:keepNext/>
      <w:numPr>
        <w:ilvl w:val="4"/>
        <w:numId w:val="1"/>
      </w:numPr>
      <w:contextualSpacing/>
      <w:outlineLvl w:val="4"/>
    </w:pPr>
    <w:rPr>
      <w:rFonts w:ascii="Helvetica" w:eastAsia="MS Gothic" w:hAnsi="Helvetica"/>
      <w:sz w:val="28"/>
      <w:szCs w:val="28"/>
    </w:rPr>
  </w:style>
  <w:style w:type="paragraph" w:customStyle="1" w:styleId="NoteLevel6">
    <w:name w:val="Note Level 6"/>
    <w:basedOn w:val="Normal"/>
    <w:uiPriority w:val="99"/>
    <w:semiHidden/>
    <w:unhideWhenUsed/>
    <w:rsid w:val="00453976"/>
    <w:pPr>
      <w:keepNext/>
      <w:numPr>
        <w:ilvl w:val="5"/>
        <w:numId w:val="1"/>
      </w:numPr>
      <w:contextualSpacing/>
      <w:outlineLvl w:val="5"/>
    </w:pPr>
    <w:rPr>
      <w:rFonts w:ascii="Helvetica" w:eastAsia="MS Gothic" w:hAnsi="Helvetica"/>
      <w:sz w:val="28"/>
      <w:szCs w:val="28"/>
    </w:rPr>
  </w:style>
  <w:style w:type="paragraph" w:customStyle="1" w:styleId="NoteLevel7">
    <w:name w:val="Note Level 7"/>
    <w:basedOn w:val="Normal"/>
    <w:uiPriority w:val="99"/>
    <w:semiHidden/>
    <w:unhideWhenUsed/>
    <w:rsid w:val="00453976"/>
    <w:pPr>
      <w:keepNext/>
      <w:numPr>
        <w:ilvl w:val="6"/>
        <w:numId w:val="1"/>
      </w:numPr>
      <w:contextualSpacing/>
      <w:outlineLvl w:val="6"/>
    </w:pPr>
    <w:rPr>
      <w:rFonts w:ascii="Helvetica" w:eastAsia="MS Gothic" w:hAnsi="Helvetica"/>
      <w:sz w:val="28"/>
      <w:szCs w:val="28"/>
    </w:rPr>
  </w:style>
  <w:style w:type="paragraph" w:customStyle="1" w:styleId="NoteLevel8">
    <w:name w:val="Note Level 8"/>
    <w:basedOn w:val="Normal"/>
    <w:uiPriority w:val="99"/>
    <w:semiHidden/>
    <w:unhideWhenUsed/>
    <w:rsid w:val="00453976"/>
    <w:pPr>
      <w:keepNext/>
      <w:numPr>
        <w:ilvl w:val="7"/>
        <w:numId w:val="1"/>
      </w:numPr>
      <w:contextualSpacing/>
      <w:outlineLvl w:val="7"/>
    </w:pPr>
    <w:rPr>
      <w:rFonts w:ascii="Helvetica" w:eastAsia="MS Gothic" w:hAnsi="Helvetica"/>
      <w:sz w:val="28"/>
      <w:szCs w:val="28"/>
    </w:rPr>
  </w:style>
  <w:style w:type="paragraph" w:customStyle="1" w:styleId="NoteLevel9">
    <w:name w:val="Note Level 9"/>
    <w:basedOn w:val="Normal"/>
    <w:uiPriority w:val="99"/>
    <w:semiHidden/>
    <w:unhideWhenUsed/>
    <w:rsid w:val="00453976"/>
    <w:pPr>
      <w:keepNext/>
      <w:numPr>
        <w:ilvl w:val="8"/>
        <w:numId w:val="1"/>
      </w:numPr>
      <w:contextualSpacing/>
      <w:outlineLvl w:val="8"/>
    </w:pPr>
    <w:rPr>
      <w:rFonts w:ascii="Helvetica" w:eastAsia="MS Gothic" w:hAnsi="Helvetica"/>
      <w:sz w:val="28"/>
      <w:szCs w:val="28"/>
    </w:rPr>
  </w:style>
  <w:style w:type="paragraph" w:styleId="Footer">
    <w:name w:val="footer"/>
    <w:basedOn w:val="Normal"/>
    <w:link w:val="FooterChar"/>
    <w:uiPriority w:val="99"/>
    <w:unhideWhenUsed/>
    <w:rsid w:val="00A271BA"/>
    <w:pPr>
      <w:tabs>
        <w:tab w:val="center" w:pos="4320"/>
        <w:tab w:val="right" w:pos="8640"/>
      </w:tabs>
    </w:pPr>
  </w:style>
  <w:style w:type="character" w:customStyle="1" w:styleId="FooterChar">
    <w:name w:val="Footer Char"/>
    <w:basedOn w:val="DefaultParagraphFont"/>
    <w:link w:val="Footer"/>
    <w:uiPriority w:val="99"/>
    <w:rsid w:val="00A271BA"/>
  </w:style>
  <w:style w:type="character" w:styleId="PageNumber">
    <w:name w:val="page number"/>
    <w:basedOn w:val="DefaultParagraphFont"/>
    <w:uiPriority w:val="99"/>
    <w:semiHidden/>
    <w:unhideWhenUsed/>
    <w:rsid w:val="00A271BA"/>
  </w:style>
  <w:style w:type="paragraph" w:styleId="ListParagraph">
    <w:name w:val="List Paragraph"/>
    <w:basedOn w:val="Normal"/>
    <w:uiPriority w:val="34"/>
    <w:qFormat/>
    <w:rsid w:val="00602EAF"/>
    <w:pPr>
      <w:ind w:left="720"/>
      <w:contextualSpacing/>
    </w:pPr>
  </w:style>
  <w:style w:type="paragraph" w:styleId="Header">
    <w:name w:val="header"/>
    <w:basedOn w:val="Normal"/>
    <w:link w:val="HeaderChar"/>
    <w:uiPriority w:val="99"/>
    <w:unhideWhenUsed/>
    <w:rsid w:val="00C01B3D"/>
    <w:pPr>
      <w:tabs>
        <w:tab w:val="center" w:pos="4680"/>
        <w:tab w:val="right" w:pos="9360"/>
      </w:tabs>
    </w:pPr>
  </w:style>
  <w:style w:type="character" w:customStyle="1" w:styleId="HeaderChar">
    <w:name w:val="Header Char"/>
    <w:basedOn w:val="DefaultParagraphFont"/>
    <w:link w:val="Header"/>
    <w:uiPriority w:val="99"/>
    <w:rsid w:val="00C01B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9CCC3B-E783-4807-90DF-42BCACFE3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4415</Words>
  <Characters>25170</Characters>
  <Application>Microsoft Office Word</Application>
  <DocSecurity>4</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2015-09-23T07:55:00Z</dcterms:created>
  <dcterms:modified xsi:type="dcterms:W3CDTF">2015-09-23T07:55:00Z</dcterms:modified>
</cp:coreProperties>
</file>