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D9F" w:rsidRPr="00E84F30" w:rsidRDefault="002A6D9F" w:rsidP="002A6D9F">
      <w:pPr>
        <w:jc w:val="center"/>
        <w:rPr>
          <w:rFonts w:ascii="Bookman Old Style" w:hAnsi="Bookman Old Style"/>
          <w:b/>
          <w:sz w:val="28"/>
          <w:szCs w:val="28"/>
        </w:rPr>
      </w:pPr>
      <w:r w:rsidRPr="00E84F30">
        <w:rPr>
          <w:rFonts w:ascii="Bookman Old Style" w:hAnsi="Bookman Old Style"/>
          <w:b/>
          <w:sz w:val="28"/>
          <w:szCs w:val="28"/>
        </w:rPr>
        <w:t>THE REPUBLIC OF UGANDA,</w:t>
      </w:r>
    </w:p>
    <w:p w:rsidR="002A6D9F" w:rsidRPr="00E84F30" w:rsidRDefault="002A6D9F" w:rsidP="002A6D9F">
      <w:pPr>
        <w:jc w:val="center"/>
        <w:rPr>
          <w:rFonts w:ascii="Bookman Old Style" w:hAnsi="Bookman Old Style"/>
          <w:b/>
          <w:sz w:val="28"/>
          <w:szCs w:val="28"/>
        </w:rPr>
      </w:pPr>
      <w:r w:rsidRPr="00E84F30">
        <w:rPr>
          <w:rFonts w:ascii="Bookman Old Style" w:hAnsi="Bookman Old Style"/>
          <w:b/>
          <w:sz w:val="28"/>
          <w:szCs w:val="28"/>
        </w:rPr>
        <w:t>IN THE HIGH COURT OF UGANDA AT KAMPALA</w:t>
      </w:r>
    </w:p>
    <w:p w:rsidR="002A6D9F" w:rsidRPr="00E84F30" w:rsidRDefault="002A6D9F" w:rsidP="002A6D9F">
      <w:pPr>
        <w:jc w:val="center"/>
        <w:rPr>
          <w:rFonts w:ascii="Bookman Old Style" w:hAnsi="Bookman Old Style"/>
          <w:b/>
          <w:sz w:val="28"/>
          <w:szCs w:val="28"/>
        </w:rPr>
      </w:pPr>
      <w:r w:rsidRPr="00E84F30">
        <w:rPr>
          <w:rFonts w:ascii="Bookman Old Style" w:hAnsi="Bookman Old Style"/>
          <w:b/>
          <w:sz w:val="28"/>
          <w:szCs w:val="28"/>
        </w:rPr>
        <w:t>(COMMERCIAL DIVISION)</w:t>
      </w:r>
    </w:p>
    <w:p w:rsidR="002A6D9F" w:rsidRDefault="002A6D9F" w:rsidP="002A6D9F">
      <w:pPr>
        <w:jc w:val="center"/>
        <w:rPr>
          <w:rFonts w:ascii="Bookman Old Style" w:hAnsi="Bookman Old Style"/>
          <w:b/>
          <w:sz w:val="28"/>
          <w:szCs w:val="28"/>
        </w:rPr>
      </w:pPr>
      <w:r w:rsidRPr="00E84F30">
        <w:rPr>
          <w:rFonts w:ascii="Bookman Old Style" w:hAnsi="Bookman Old Style"/>
          <w:b/>
          <w:sz w:val="28"/>
          <w:szCs w:val="28"/>
        </w:rPr>
        <w:t xml:space="preserve"> CIVIL SUIT NO 0</w:t>
      </w:r>
      <w:r>
        <w:rPr>
          <w:rFonts w:ascii="Bookman Old Style" w:hAnsi="Bookman Old Style"/>
          <w:b/>
          <w:sz w:val="28"/>
          <w:szCs w:val="28"/>
        </w:rPr>
        <w:t>37</w:t>
      </w:r>
      <w:r w:rsidRPr="00E84F30">
        <w:rPr>
          <w:rFonts w:ascii="Bookman Old Style" w:hAnsi="Bookman Old Style"/>
          <w:b/>
          <w:sz w:val="28"/>
          <w:szCs w:val="28"/>
        </w:rPr>
        <w:t>2 OF 20</w:t>
      </w:r>
      <w:r>
        <w:rPr>
          <w:rFonts w:ascii="Bookman Old Style" w:hAnsi="Bookman Old Style"/>
          <w:b/>
          <w:sz w:val="28"/>
          <w:szCs w:val="28"/>
        </w:rPr>
        <w:t>09</w:t>
      </w:r>
    </w:p>
    <w:p w:rsidR="002A6D9F" w:rsidRPr="00E84F30" w:rsidRDefault="002A6D9F" w:rsidP="002A6D9F">
      <w:pPr>
        <w:jc w:val="center"/>
        <w:rPr>
          <w:rFonts w:ascii="Bookman Old Style" w:hAnsi="Bookman Old Style"/>
          <w:b/>
          <w:sz w:val="28"/>
          <w:szCs w:val="28"/>
        </w:rPr>
      </w:pPr>
    </w:p>
    <w:p w:rsidR="002A6D9F" w:rsidRPr="00E84F30" w:rsidRDefault="002A6D9F" w:rsidP="002A6D9F">
      <w:pPr>
        <w:rPr>
          <w:rFonts w:ascii="Bookman Old Style" w:hAnsi="Bookman Old Style"/>
          <w:b/>
          <w:sz w:val="28"/>
          <w:szCs w:val="28"/>
        </w:rPr>
      </w:pPr>
      <w:r>
        <w:rPr>
          <w:rFonts w:ascii="Bookman Old Style" w:hAnsi="Bookman Old Style"/>
          <w:b/>
          <w:sz w:val="28"/>
          <w:szCs w:val="28"/>
        </w:rPr>
        <w:t>NICOZ UGANDA LIMITED.…..</w:t>
      </w:r>
      <w:r w:rsidRPr="00E84F30">
        <w:rPr>
          <w:rFonts w:ascii="Bookman Old Style" w:hAnsi="Bookman Old Style"/>
          <w:b/>
          <w:sz w:val="28"/>
          <w:szCs w:val="28"/>
        </w:rPr>
        <w:t>......</w:t>
      </w:r>
      <w:r>
        <w:rPr>
          <w:rFonts w:ascii="Bookman Old Style" w:hAnsi="Bookman Old Style"/>
          <w:b/>
          <w:sz w:val="28"/>
          <w:szCs w:val="28"/>
        </w:rPr>
        <w:t>..............................PLAINTIFF</w:t>
      </w:r>
      <w:r w:rsidRPr="00E84F30">
        <w:rPr>
          <w:rFonts w:ascii="Bookman Old Style" w:hAnsi="Bookman Old Style"/>
          <w:b/>
          <w:sz w:val="28"/>
          <w:szCs w:val="28"/>
        </w:rPr>
        <w:t xml:space="preserve"> </w:t>
      </w:r>
    </w:p>
    <w:p w:rsidR="002A6D9F" w:rsidRPr="00E84F30" w:rsidRDefault="002A6D9F" w:rsidP="002A6D9F">
      <w:pPr>
        <w:jc w:val="center"/>
        <w:rPr>
          <w:rFonts w:ascii="Bookman Old Style" w:hAnsi="Bookman Old Style"/>
          <w:b/>
          <w:sz w:val="28"/>
          <w:szCs w:val="28"/>
        </w:rPr>
      </w:pPr>
      <w:r w:rsidRPr="00E84F30">
        <w:rPr>
          <w:rFonts w:ascii="Bookman Old Style" w:hAnsi="Bookman Old Style"/>
          <w:b/>
          <w:sz w:val="28"/>
          <w:szCs w:val="28"/>
        </w:rPr>
        <w:t>VS</w:t>
      </w:r>
    </w:p>
    <w:p w:rsidR="002A6D9F" w:rsidRPr="00E84F30" w:rsidRDefault="002A6D9F" w:rsidP="002A6D9F">
      <w:pPr>
        <w:rPr>
          <w:rFonts w:ascii="Bookman Old Style" w:hAnsi="Bookman Old Style"/>
          <w:b/>
          <w:sz w:val="28"/>
          <w:szCs w:val="28"/>
        </w:rPr>
      </w:pPr>
      <w:r>
        <w:rPr>
          <w:rFonts w:ascii="Bookman Old Style" w:hAnsi="Bookman Old Style"/>
          <w:b/>
          <w:sz w:val="28"/>
          <w:szCs w:val="28"/>
        </w:rPr>
        <w:t>BANK OF UGANDA AND ANOTHER ……………………DEFENDA</w:t>
      </w:r>
      <w:r w:rsidRPr="00E84F30">
        <w:rPr>
          <w:rFonts w:ascii="Bookman Old Style" w:hAnsi="Bookman Old Style"/>
          <w:b/>
          <w:sz w:val="28"/>
          <w:szCs w:val="28"/>
        </w:rPr>
        <w:t>NT</w:t>
      </w:r>
      <w:r>
        <w:rPr>
          <w:rFonts w:ascii="Bookman Old Style" w:hAnsi="Bookman Old Style"/>
          <w:b/>
          <w:sz w:val="28"/>
          <w:szCs w:val="28"/>
        </w:rPr>
        <w:t>S</w:t>
      </w:r>
    </w:p>
    <w:p w:rsidR="002A6D9F" w:rsidRPr="002A6D9F" w:rsidRDefault="002A6D9F" w:rsidP="002A6D9F">
      <w:pPr>
        <w:rPr>
          <w:rFonts w:ascii="Bookman Old Style" w:hAnsi="Bookman Old Style"/>
          <w:b/>
          <w:sz w:val="28"/>
          <w:szCs w:val="28"/>
          <w:u w:val="single"/>
        </w:rPr>
      </w:pPr>
      <w:r>
        <w:rPr>
          <w:rFonts w:ascii="Bookman Old Style" w:hAnsi="Bookman Old Style"/>
          <w:b/>
          <w:sz w:val="28"/>
          <w:szCs w:val="28"/>
        </w:rPr>
        <w:t xml:space="preserve"> </w:t>
      </w:r>
    </w:p>
    <w:p w:rsidR="002A6D9F" w:rsidRPr="002A6D9F" w:rsidRDefault="002A6D9F" w:rsidP="002A6D9F">
      <w:pPr>
        <w:jc w:val="center"/>
        <w:rPr>
          <w:rFonts w:ascii="Bookman Old Style" w:hAnsi="Bookman Old Style"/>
          <w:b/>
          <w:sz w:val="28"/>
          <w:szCs w:val="28"/>
          <w:u w:val="single"/>
        </w:rPr>
      </w:pPr>
      <w:r w:rsidRPr="002A6D9F">
        <w:rPr>
          <w:rFonts w:ascii="Bookman Old Style" w:hAnsi="Bookman Old Style"/>
          <w:b/>
          <w:sz w:val="28"/>
          <w:szCs w:val="28"/>
          <w:u w:val="single"/>
        </w:rPr>
        <w:t xml:space="preserve">BEFORE </w:t>
      </w:r>
      <w:r>
        <w:rPr>
          <w:rFonts w:ascii="Bookman Old Style" w:hAnsi="Bookman Old Style"/>
          <w:b/>
          <w:sz w:val="28"/>
          <w:szCs w:val="28"/>
          <w:u w:val="single"/>
        </w:rPr>
        <w:t xml:space="preserve">THE </w:t>
      </w:r>
      <w:r w:rsidRPr="002A6D9F">
        <w:rPr>
          <w:rFonts w:ascii="Bookman Old Style" w:hAnsi="Bookman Old Style"/>
          <w:b/>
          <w:sz w:val="28"/>
          <w:szCs w:val="28"/>
          <w:u w:val="single"/>
        </w:rPr>
        <w:t>HON</w:t>
      </w:r>
      <w:r>
        <w:rPr>
          <w:rFonts w:ascii="Bookman Old Style" w:hAnsi="Bookman Old Style"/>
          <w:b/>
          <w:sz w:val="28"/>
          <w:szCs w:val="28"/>
          <w:u w:val="single"/>
        </w:rPr>
        <w:t>.</w:t>
      </w:r>
      <w:r w:rsidRPr="002A6D9F">
        <w:rPr>
          <w:rFonts w:ascii="Bookman Old Style" w:hAnsi="Bookman Old Style"/>
          <w:b/>
          <w:sz w:val="28"/>
          <w:szCs w:val="28"/>
          <w:u w:val="single"/>
        </w:rPr>
        <w:t xml:space="preserve"> MR JUSTICE HENRY PETER ADONYO</w:t>
      </w:r>
    </w:p>
    <w:p w:rsidR="002A6D9F" w:rsidRPr="00E84F30" w:rsidRDefault="002A6D9F" w:rsidP="002A6D9F">
      <w:pPr>
        <w:jc w:val="center"/>
        <w:rPr>
          <w:rFonts w:ascii="Bookman Old Style" w:hAnsi="Bookman Old Style"/>
          <w:b/>
          <w:sz w:val="28"/>
          <w:szCs w:val="28"/>
        </w:rPr>
      </w:pPr>
    </w:p>
    <w:p w:rsidR="002A6D9F" w:rsidRDefault="002A6D9F" w:rsidP="002A6D9F">
      <w:pPr>
        <w:jc w:val="center"/>
        <w:rPr>
          <w:rFonts w:ascii="Bookman Old Style" w:hAnsi="Bookman Old Style"/>
          <w:b/>
          <w:sz w:val="28"/>
          <w:szCs w:val="28"/>
        </w:rPr>
      </w:pPr>
      <w:r w:rsidRPr="00E84F30">
        <w:rPr>
          <w:rFonts w:ascii="Bookman Old Style" w:hAnsi="Bookman Old Style"/>
          <w:b/>
          <w:sz w:val="28"/>
          <w:szCs w:val="28"/>
        </w:rPr>
        <w:t>RULING</w:t>
      </w:r>
      <w:r>
        <w:rPr>
          <w:rFonts w:ascii="Bookman Old Style" w:hAnsi="Bookman Old Style"/>
          <w:b/>
          <w:sz w:val="28"/>
          <w:szCs w:val="28"/>
        </w:rPr>
        <w:t xml:space="preserve"> ON A PRELIMINARY OBJECTION</w:t>
      </w:r>
    </w:p>
    <w:p w:rsidR="002A6D9F" w:rsidRPr="00E84F30" w:rsidRDefault="002A6D9F" w:rsidP="002A6D9F">
      <w:pPr>
        <w:jc w:val="center"/>
        <w:rPr>
          <w:rFonts w:ascii="Bookman Old Style" w:hAnsi="Bookman Old Style"/>
          <w:b/>
          <w:sz w:val="28"/>
          <w:szCs w:val="28"/>
        </w:rPr>
      </w:pPr>
    </w:p>
    <w:p w:rsidR="008F3BAB" w:rsidRPr="002A6D9F" w:rsidRDefault="008F3BAB" w:rsidP="004B38E8">
      <w:pPr>
        <w:spacing w:line="360" w:lineRule="auto"/>
        <w:jc w:val="both"/>
        <w:rPr>
          <w:rFonts w:ascii="Bookman Old Style" w:hAnsi="Bookman Old Style"/>
          <w:sz w:val="28"/>
          <w:szCs w:val="28"/>
        </w:rPr>
      </w:pPr>
      <w:r w:rsidRPr="002A6D9F">
        <w:rPr>
          <w:rFonts w:ascii="Bookman Old Style" w:hAnsi="Bookman Old Style"/>
          <w:sz w:val="28"/>
          <w:szCs w:val="28"/>
        </w:rPr>
        <w:t>A preliminary objectio</w:t>
      </w:r>
      <w:r w:rsidR="00480F9C" w:rsidRPr="002A6D9F">
        <w:rPr>
          <w:rFonts w:ascii="Bookman Old Style" w:hAnsi="Bookman Old Style"/>
          <w:sz w:val="28"/>
          <w:szCs w:val="28"/>
        </w:rPr>
        <w:t xml:space="preserve">n was raised by the Defendants </w:t>
      </w:r>
      <w:r w:rsidRPr="002A6D9F">
        <w:rPr>
          <w:rFonts w:ascii="Bookman Old Style" w:hAnsi="Bookman Old Style"/>
          <w:sz w:val="28"/>
          <w:szCs w:val="28"/>
        </w:rPr>
        <w:t xml:space="preserve">on Issue </w:t>
      </w:r>
      <w:r w:rsidR="002A6D9F">
        <w:rPr>
          <w:rFonts w:ascii="Bookman Old Style" w:hAnsi="Bookman Old Style"/>
          <w:sz w:val="28"/>
          <w:szCs w:val="28"/>
        </w:rPr>
        <w:t>Number 1 framed in the Joint Scheduling M</w:t>
      </w:r>
      <w:r w:rsidRPr="002A6D9F">
        <w:rPr>
          <w:rFonts w:ascii="Bookman Old Style" w:hAnsi="Bookman Old Style"/>
          <w:sz w:val="28"/>
          <w:szCs w:val="28"/>
        </w:rPr>
        <w:t>emo</w:t>
      </w:r>
      <w:r w:rsidR="002A6D9F">
        <w:rPr>
          <w:rFonts w:ascii="Bookman Old Style" w:hAnsi="Bookman Old Style"/>
          <w:sz w:val="28"/>
          <w:szCs w:val="28"/>
        </w:rPr>
        <w:t>randum</w:t>
      </w:r>
      <w:r w:rsidRPr="002A6D9F">
        <w:rPr>
          <w:rFonts w:ascii="Bookman Old Style" w:hAnsi="Bookman Old Style"/>
          <w:sz w:val="28"/>
          <w:szCs w:val="28"/>
        </w:rPr>
        <w:t xml:space="preserve"> which is whether the Plaintiffs have a cause of action against the Defendants in light of whether the latter </w:t>
      </w:r>
      <w:r w:rsidR="002A6D9F">
        <w:rPr>
          <w:rFonts w:ascii="Bookman Old Style" w:hAnsi="Bookman Old Style"/>
          <w:sz w:val="28"/>
          <w:szCs w:val="28"/>
        </w:rPr>
        <w:t>were</w:t>
      </w:r>
      <w:r w:rsidRPr="002A6D9F">
        <w:rPr>
          <w:rFonts w:ascii="Bookman Old Style" w:hAnsi="Bookman Old Style"/>
          <w:sz w:val="28"/>
          <w:szCs w:val="28"/>
        </w:rPr>
        <w:t xml:space="preserve"> privy to the contract sued upon.</w:t>
      </w:r>
    </w:p>
    <w:p w:rsidR="008F3BAB" w:rsidRPr="002A6D9F" w:rsidRDefault="008F3BAB" w:rsidP="004B38E8">
      <w:pPr>
        <w:spacing w:line="360" w:lineRule="auto"/>
        <w:jc w:val="both"/>
        <w:rPr>
          <w:rFonts w:ascii="Bookman Old Style" w:hAnsi="Bookman Old Style"/>
          <w:sz w:val="28"/>
          <w:szCs w:val="28"/>
        </w:rPr>
      </w:pPr>
      <w:r w:rsidRPr="002A6D9F">
        <w:rPr>
          <w:rFonts w:ascii="Bookman Old Style" w:hAnsi="Bookman Old Style"/>
          <w:sz w:val="28"/>
          <w:szCs w:val="28"/>
        </w:rPr>
        <w:t>Mr Masembe Kanyerezi appeared</w:t>
      </w:r>
      <w:r w:rsidR="00CD01CB" w:rsidRPr="002A6D9F">
        <w:rPr>
          <w:rFonts w:ascii="Bookman Old Style" w:hAnsi="Bookman Old Style"/>
          <w:sz w:val="28"/>
          <w:szCs w:val="28"/>
        </w:rPr>
        <w:t xml:space="preserve"> for the Defendants while</w:t>
      </w:r>
      <w:r w:rsidRPr="002A6D9F">
        <w:rPr>
          <w:rFonts w:ascii="Bookman Old Style" w:hAnsi="Bookman Old Style"/>
          <w:sz w:val="28"/>
          <w:szCs w:val="28"/>
        </w:rPr>
        <w:t xml:space="preserve"> </w:t>
      </w:r>
      <w:r w:rsidR="00CD01CB" w:rsidRPr="002A6D9F">
        <w:rPr>
          <w:rFonts w:ascii="Bookman Old Style" w:hAnsi="Bookman Old Style"/>
          <w:sz w:val="28"/>
          <w:szCs w:val="28"/>
        </w:rPr>
        <w:t>Mr Bruce Musinguzi and</w:t>
      </w:r>
      <w:r w:rsidRPr="002A6D9F">
        <w:rPr>
          <w:rFonts w:ascii="Bookman Old Style" w:hAnsi="Bookman Old Style"/>
          <w:sz w:val="28"/>
          <w:szCs w:val="28"/>
        </w:rPr>
        <w:t xml:space="preserve"> Mr Paul Kuteesa</w:t>
      </w:r>
      <w:r w:rsidR="00CD01CB" w:rsidRPr="002A6D9F">
        <w:rPr>
          <w:rFonts w:ascii="Bookman Old Style" w:hAnsi="Bookman Old Style"/>
          <w:sz w:val="28"/>
          <w:szCs w:val="28"/>
        </w:rPr>
        <w:t xml:space="preserve"> represented</w:t>
      </w:r>
      <w:r w:rsidRPr="002A6D9F">
        <w:rPr>
          <w:rFonts w:ascii="Bookman Old Style" w:hAnsi="Bookman Old Style"/>
          <w:sz w:val="28"/>
          <w:szCs w:val="28"/>
        </w:rPr>
        <w:t xml:space="preserve"> the Plaintiff.</w:t>
      </w:r>
    </w:p>
    <w:p w:rsidR="008F3BAB" w:rsidRPr="002A6D9F" w:rsidRDefault="008F3BAB" w:rsidP="004B38E8">
      <w:pPr>
        <w:spacing w:line="360" w:lineRule="auto"/>
        <w:jc w:val="both"/>
        <w:rPr>
          <w:rFonts w:ascii="Bookman Old Style" w:hAnsi="Bookman Old Style"/>
          <w:sz w:val="28"/>
          <w:szCs w:val="28"/>
        </w:rPr>
      </w:pPr>
      <w:r w:rsidRPr="002A6D9F">
        <w:rPr>
          <w:rFonts w:ascii="Bookman Old Style" w:hAnsi="Bookman Old Style"/>
          <w:sz w:val="28"/>
          <w:szCs w:val="28"/>
        </w:rPr>
        <w:t>Mr Kanyerezi submitted that from the plaint, the Plaintiff’s suit is for enforcement of alleged contractual rights against the Defendants for alleged breach of a share sale agreement.</w:t>
      </w:r>
      <w:r w:rsidR="000C10E4" w:rsidRPr="002A6D9F">
        <w:rPr>
          <w:rFonts w:ascii="Bookman Old Style" w:hAnsi="Bookman Old Style"/>
          <w:sz w:val="28"/>
          <w:szCs w:val="28"/>
        </w:rPr>
        <w:t xml:space="preserve"> That the said sale agreement was between the Plaintiff and two entities being </w:t>
      </w:r>
      <w:r w:rsidR="002A6D9F">
        <w:rPr>
          <w:rFonts w:ascii="Bookman Old Style" w:hAnsi="Bookman Old Style"/>
          <w:sz w:val="28"/>
          <w:szCs w:val="28"/>
        </w:rPr>
        <w:lastRenderedPageBreak/>
        <w:t>Greenland Bank Ltd (I</w:t>
      </w:r>
      <w:r w:rsidR="000C10E4" w:rsidRPr="002A6D9F">
        <w:rPr>
          <w:rFonts w:ascii="Bookman Old Style" w:hAnsi="Bookman Old Style"/>
          <w:sz w:val="28"/>
          <w:szCs w:val="28"/>
        </w:rPr>
        <w:t xml:space="preserve">n Liquidation) and FIBA (U) Ltd (in Receivership) </w:t>
      </w:r>
      <w:r w:rsidR="002A6D9F">
        <w:rPr>
          <w:rFonts w:ascii="Bookman Old Style" w:hAnsi="Bookman Old Style"/>
          <w:sz w:val="28"/>
          <w:szCs w:val="28"/>
        </w:rPr>
        <w:t>and hence</w:t>
      </w:r>
      <w:r w:rsidR="000C10E4" w:rsidRPr="002A6D9F">
        <w:rPr>
          <w:rFonts w:ascii="Bookman Old Style" w:hAnsi="Bookman Old Style"/>
          <w:sz w:val="28"/>
          <w:szCs w:val="28"/>
        </w:rPr>
        <w:t xml:space="preserve"> the Plaintiff’s cause of action is against those two entities and not the Defendants who were not party to the contract.</w:t>
      </w:r>
    </w:p>
    <w:p w:rsidR="00CD01CB" w:rsidRPr="002A6D9F" w:rsidRDefault="000C10E4" w:rsidP="004B38E8">
      <w:pPr>
        <w:spacing w:line="360" w:lineRule="auto"/>
        <w:jc w:val="both"/>
        <w:rPr>
          <w:rFonts w:ascii="Bookman Old Style" w:hAnsi="Bookman Old Style"/>
          <w:sz w:val="28"/>
          <w:szCs w:val="28"/>
        </w:rPr>
      </w:pPr>
      <w:r w:rsidRPr="002A6D9F">
        <w:rPr>
          <w:rFonts w:ascii="Bookman Old Style" w:hAnsi="Bookman Old Style"/>
          <w:sz w:val="28"/>
          <w:szCs w:val="28"/>
        </w:rPr>
        <w:t xml:space="preserve">That the </w:t>
      </w:r>
      <w:r w:rsidR="002A6D9F">
        <w:rPr>
          <w:rFonts w:ascii="Bookman Old Style" w:hAnsi="Bookman Old Style"/>
          <w:sz w:val="28"/>
          <w:szCs w:val="28"/>
        </w:rPr>
        <w:t>First</w:t>
      </w:r>
      <w:r w:rsidRPr="002A6D9F">
        <w:rPr>
          <w:rFonts w:ascii="Bookman Old Style" w:hAnsi="Bookman Old Style"/>
          <w:sz w:val="28"/>
          <w:szCs w:val="28"/>
        </w:rPr>
        <w:t xml:space="preserve"> Defendant is being sued as a liquidator of Greenland Bank while the 2</w:t>
      </w:r>
      <w:r w:rsidRPr="002A6D9F">
        <w:rPr>
          <w:rFonts w:ascii="Bookman Old Style" w:hAnsi="Bookman Old Style"/>
          <w:sz w:val="28"/>
          <w:szCs w:val="28"/>
          <w:vertAlign w:val="superscript"/>
        </w:rPr>
        <w:t>nd</w:t>
      </w:r>
      <w:r w:rsidRPr="002A6D9F">
        <w:rPr>
          <w:rFonts w:ascii="Bookman Old Style" w:hAnsi="Bookman Old Style"/>
          <w:sz w:val="28"/>
          <w:szCs w:val="28"/>
        </w:rPr>
        <w:t xml:space="preserve"> Defendant as a receiver of FIBA (U) Ltd and that </w:t>
      </w:r>
      <w:r w:rsidR="00CD01CB" w:rsidRPr="002A6D9F">
        <w:rPr>
          <w:rFonts w:ascii="Bookman Old Style" w:hAnsi="Bookman Old Style"/>
          <w:sz w:val="28"/>
          <w:szCs w:val="28"/>
        </w:rPr>
        <w:t>both a liquidator and a rec</w:t>
      </w:r>
      <w:r w:rsidR="003920BC" w:rsidRPr="002A6D9F">
        <w:rPr>
          <w:rFonts w:ascii="Bookman Old Style" w:hAnsi="Bookman Old Style"/>
          <w:sz w:val="28"/>
          <w:szCs w:val="28"/>
        </w:rPr>
        <w:t>e</w:t>
      </w:r>
      <w:r w:rsidR="00CD01CB" w:rsidRPr="002A6D9F">
        <w:rPr>
          <w:rFonts w:ascii="Bookman Old Style" w:hAnsi="Bookman Old Style"/>
          <w:sz w:val="28"/>
          <w:szCs w:val="28"/>
        </w:rPr>
        <w:t>iver are not liable for the wrongs of a limited liability</w:t>
      </w:r>
      <w:r w:rsidR="00FD033A" w:rsidRPr="002A6D9F">
        <w:rPr>
          <w:rFonts w:ascii="Bookman Old Style" w:hAnsi="Bookman Old Style"/>
          <w:sz w:val="28"/>
          <w:szCs w:val="28"/>
        </w:rPr>
        <w:t xml:space="preserve"> company</w:t>
      </w:r>
      <w:r w:rsidR="00CD01CB" w:rsidRPr="002A6D9F">
        <w:rPr>
          <w:rFonts w:ascii="Bookman Old Style" w:hAnsi="Bookman Old Style"/>
          <w:sz w:val="28"/>
          <w:szCs w:val="28"/>
        </w:rPr>
        <w:t xml:space="preserve"> it is liquidating or under receivership. He relied on </w:t>
      </w:r>
      <w:r w:rsidR="00CD01CB" w:rsidRPr="002A6D9F">
        <w:rPr>
          <w:rFonts w:ascii="Bookman Old Style" w:hAnsi="Bookman Old Style"/>
          <w:b/>
          <w:sz w:val="28"/>
          <w:szCs w:val="28"/>
        </w:rPr>
        <w:t xml:space="preserve">Robert Mwesigwa </w:t>
      </w:r>
      <w:r w:rsidR="002A6D9F">
        <w:rPr>
          <w:rFonts w:ascii="Bookman Old Style" w:hAnsi="Bookman Old Style"/>
          <w:b/>
          <w:sz w:val="28"/>
          <w:szCs w:val="28"/>
        </w:rPr>
        <w:t>and</w:t>
      </w:r>
      <w:r w:rsidR="00CD01CB" w:rsidRPr="002A6D9F">
        <w:rPr>
          <w:rFonts w:ascii="Bookman Old Style" w:hAnsi="Bookman Old Style"/>
          <w:b/>
          <w:sz w:val="28"/>
          <w:szCs w:val="28"/>
        </w:rPr>
        <w:t xml:space="preserve"> 135 O</w:t>
      </w:r>
      <w:r w:rsidR="002A6D9F">
        <w:rPr>
          <w:rFonts w:ascii="Bookman Old Style" w:hAnsi="Bookman Old Style"/>
          <w:b/>
          <w:sz w:val="28"/>
          <w:szCs w:val="28"/>
        </w:rPr>
        <w:t>the</w:t>
      </w:r>
      <w:r w:rsidR="00CD01CB" w:rsidRPr="002A6D9F">
        <w:rPr>
          <w:rFonts w:ascii="Bookman Old Style" w:hAnsi="Bookman Old Style"/>
          <w:b/>
          <w:sz w:val="28"/>
          <w:szCs w:val="28"/>
        </w:rPr>
        <w:t xml:space="preserve">rs </w:t>
      </w:r>
      <w:r w:rsidR="002A6D9F">
        <w:rPr>
          <w:rFonts w:ascii="Bookman Old Style" w:hAnsi="Bookman Old Style"/>
          <w:b/>
          <w:sz w:val="28"/>
          <w:szCs w:val="28"/>
        </w:rPr>
        <w:t>versus</w:t>
      </w:r>
      <w:r w:rsidR="00CD01CB" w:rsidRPr="002A6D9F">
        <w:rPr>
          <w:rFonts w:ascii="Bookman Old Style" w:hAnsi="Bookman Old Style"/>
          <w:b/>
          <w:sz w:val="28"/>
          <w:szCs w:val="28"/>
        </w:rPr>
        <w:t xml:space="preserve"> B</w:t>
      </w:r>
      <w:r w:rsidR="002A6D9F">
        <w:rPr>
          <w:rFonts w:ascii="Bookman Old Style" w:hAnsi="Bookman Old Style"/>
          <w:b/>
          <w:sz w:val="28"/>
          <w:szCs w:val="28"/>
        </w:rPr>
        <w:t xml:space="preserve">ank of </w:t>
      </w:r>
      <w:r w:rsidR="00CD01CB" w:rsidRPr="002A6D9F">
        <w:rPr>
          <w:rFonts w:ascii="Bookman Old Style" w:hAnsi="Bookman Old Style"/>
          <w:b/>
          <w:sz w:val="28"/>
          <w:szCs w:val="28"/>
        </w:rPr>
        <w:t>U</w:t>
      </w:r>
      <w:r w:rsidR="002A6D9F">
        <w:rPr>
          <w:rFonts w:ascii="Bookman Old Style" w:hAnsi="Bookman Old Style"/>
          <w:b/>
          <w:sz w:val="28"/>
          <w:szCs w:val="28"/>
        </w:rPr>
        <w:t>ganda</w:t>
      </w:r>
      <w:r w:rsidR="00CD01CB" w:rsidRPr="002A6D9F">
        <w:rPr>
          <w:rFonts w:ascii="Bookman Old Style" w:hAnsi="Bookman Old Style"/>
          <w:b/>
          <w:sz w:val="28"/>
          <w:szCs w:val="28"/>
        </w:rPr>
        <w:t xml:space="preserve"> HCCS 588</w:t>
      </w:r>
      <w:r w:rsidR="002A6D9F">
        <w:rPr>
          <w:rFonts w:ascii="Bookman Old Style" w:hAnsi="Bookman Old Style"/>
          <w:b/>
          <w:sz w:val="28"/>
          <w:szCs w:val="28"/>
        </w:rPr>
        <w:t xml:space="preserve"> No. </w:t>
      </w:r>
      <w:r w:rsidR="00CD01CB" w:rsidRPr="002A6D9F">
        <w:rPr>
          <w:rFonts w:ascii="Bookman Old Style" w:hAnsi="Bookman Old Style"/>
          <w:b/>
          <w:sz w:val="28"/>
          <w:szCs w:val="28"/>
        </w:rPr>
        <w:t>2003</w:t>
      </w:r>
      <w:r w:rsidR="00CD01CB" w:rsidRPr="002A6D9F">
        <w:rPr>
          <w:rFonts w:ascii="Bookman Old Style" w:hAnsi="Bookman Old Style"/>
          <w:sz w:val="28"/>
          <w:szCs w:val="28"/>
        </w:rPr>
        <w:t xml:space="preserve"> and on Sections 31 and 48 of the Financial Institutions Act to propose that the proper parties to sue were those in whom the contract was entered with.</w:t>
      </w:r>
      <w:r w:rsidR="003920BC" w:rsidRPr="002A6D9F">
        <w:rPr>
          <w:rFonts w:ascii="Bookman Old Style" w:hAnsi="Bookman Old Style"/>
          <w:sz w:val="28"/>
          <w:szCs w:val="28"/>
        </w:rPr>
        <w:t xml:space="preserve"> </w:t>
      </w:r>
    </w:p>
    <w:p w:rsidR="000C10E4" w:rsidRPr="002A6D9F" w:rsidRDefault="00CD01CB" w:rsidP="004B38E8">
      <w:pPr>
        <w:spacing w:line="360" w:lineRule="auto"/>
        <w:jc w:val="both"/>
        <w:rPr>
          <w:rFonts w:ascii="Bookman Old Style" w:hAnsi="Bookman Old Style"/>
          <w:sz w:val="28"/>
          <w:szCs w:val="28"/>
        </w:rPr>
      </w:pPr>
      <w:r w:rsidRPr="002A6D9F">
        <w:rPr>
          <w:rFonts w:ascii="Bookman Old Style" w:hAnsi="Bookman Old Style"/>
          <w:sz w:val="28"/>
          <w:szCs w:val="28"/>
        </w:rPr>
        <w:t xml:space="preserve">In reply, Mr Musinguzi submitted that </w:t>
      </w:r>
      <w:r w:rsidR="00480F9C" w:rsidRPr="002A6D9F">
        <w:rPr>
          <w:rFonts w:ascii="Bookman Old Style" w:hAnsi="Bookman Old Style"/>
          <w:sz w:val="28"/>
          <w:szCs w:val="28"/>
        </w:rPr>
        <w:t>the plaint does indeed disclose a cause of action against the Defendants</w:t>
      </w:r>
      <w:r w:rsidR="001665D1" w:rsidRPr="002A6D9F">
        <w:rPr>
          <w:rFonts w:ascii="Bookman Old Style" w:hAnsi="Bookman Old Style"/>
          <w:sz w:val="28"/>
          <w:szCs w:val="28"/>
        </w:rPr>
        <w:t xml:space="preserve"> and that the two Defendants signed the sale agreement annexed to the Plaint. He relied on </w:t>
      </w:r>
      <w:r w:rsidR="002A6D9F">
        <w:rPr>
          <w:rFonts w:ascii="Bookman Old Style" w:hAnsi="Bookman Old Style"/>
          <w:b/>
          <w:sz w:val="28"/>
          <w:szCs w:val="28"/>
        </w:rPr>
        <w:t xml:space="preserve">Attorney General versus </w:t>
      </w:r>
      <w:r w:rsidR="002A6D9F" w:rsidRPr="002A6D9F">
        <w:rPr>
          <w:rFonts w:ascii="Bookman Old Style" w:hAnsi="Bookman Old Style"/>
          <w:b/>
          <w:sz w:val="28"/>
          <w:szCs w:val="28"/>
        </w:rPr>
        <w:t>Oluoch</w:t>
      </w:r>
      <w:r w:rsidR="001665D1" w:rsidRPr="002A6D9F">
        <w:rPr>
          <w:rFonts w:ascii="Bookman Old Style" w:hAnsi="Bookman Old Style"/>
          <w:b/>
          <w:sz w:val="28"/>
          <w:szCs w:val="28"/>
        </w:rPr>
        <w:t xml:space="preserve"> [1972] EA 362</w:t>
      </w:r>
      <w:r w:rsidR="001665D1" w:rsidRPr="002A6D9F">
        <w:rPr>
          <w:rFonts w:ascii="Bookman Old Style" w:hAnsi="Bookman Old Style"/>
          <w:sz w:val="28"/>
          <w:szCs w:val="28"/>
        </w:rPr>
        <w:t xml:space="preserve"> and </w:t>
      </w:r>
      <w:r w:rsidR="001665D1" w:rsidRPr="002A6D9F">
        <w:rPr>
          <w:rFonts w:ascii="Bookman Old Style" w:hAnsi="Bookman Old Style"/>
          <w:b/>
          <w:sz w:val="28"/>
          <w:szCs w:val="28"/>
        </w:rPr>
        <w:t>Jera</w:t>
      </w:r>
      <w:r w:rsidR="002A6D9F">
        <w:rPr>
          <w:rFonts w:ascii="Bookman Old Style" w:hAnsi="Bookman Old Style"/>
          <w:b/>
          <w:sz w:val="28"/>
          <w:szCs w:val="28"/>
        </w:rPr>
        <w:t>v Shariff &amp; Co versus Chotai Fancy Stores [1960]</w:t>
      </w:r>
      <w:r w:rsidR="001665D1" w:rsidRPr="002A6D9F">
        <w:rPr>
          <w:rFonts w:ascii="Bookman Old Style" w:hAnsi="Bookman Old Style"/>
          <w:b/>
          <w:sz w:val="28"/>
          <w:szCs w:val="28"/>
        </w:rPr>
        <w:t xml:space="preserve"> EA 373 </w:t>
      </w:r>
      <w:r w:rsidR="001665D1" w:rsidRPr="002A6D9F">
        <w:rPr>
          <w:rFonts w:ascii="Bookman Old Style" w:hAnsi="Bookman Old Style"/>
          <w:sz w:val="28"/>
          <w:szCs w:val="28"/>
        </w:rPr>
        <w:t xml:space="preserve"> where it was held that the question whether a plaint discloses a cause of action must be determined upon a perusal of the plaint alone, together with anything attached so as to form part of it, and upon the assumption that any express or implied allegations of fact in it are true. </w:t>
      </w:r>
    </w:p>
    <w:p w:rsidR="008F3BAB" w:rsidRPr="002A6D9F" w:rsidRDefault="008F3BAB" w:rsidP="004B38E8">
      <w:pPr>
        <w:spacing w:line="360" w:lineRule="auto"/>
        <w:jc w:val="both"/>
        <w:rPr>
          <w:rFonts w:ascii="Bookman Old Style" w:hAnsi="Bookman Old Style"/>
          <w:sz w:val="28"/>
          <w:szCs w:val="28"/>
        </w:rPr>
      </w:pPr>
      <w:r w:rsidRPr="002A6D9F">
        <w:rPr>
          <w:rFonts w:ascii="Bookman Old Style" w:hAnsi="Bookman Old Style"/>
          <w:sz w:val="28"/>
          <w:szCs w:val="28"/>
        </w:rPr>
        <w:t xml:space="preserve"> </w:t>
      </w:r>
      <w:r w:rsidR="001665D1" w:rsidRPr="002A6D9F">
        <w:rPr>
          <w:rFonts w:ascii="Bookman Old Style" w:hAnsi="Bookman Old Style"/>
          <w:sz w:val="28"/>
          <w:szCs w:val="28"/>
        </w:rPr>
        <w:t>He stated that Annexture “A” to the plaint establishes that the Plaintiff had a right which was violated and the Def</w:t>
      </w:r>
      <w:r w:rsidR="003920BC" w:rsidRPr="002A6D9F">
        <w:rPr>
          <w:rFonts w:ascii="Bookman Old Style" w:hAnsi="Bookman Old Style"/>
          <w:sz w:val="28"/>
          <w:szCs w:val="28"/>
        </w:rPr>
        <w:t>e</w:t>
      </w:r>
      <w:r w:rsidR="001665D1" w:rsidRPr="002A6D9F">
        <w:rPr>
          <w:rFonts w:ascii="Bookman Old Style" w:hAnsi="Bookman Old Style"/>
          <w:sz w:val="28"/>
          <w:szCs w:val="28"/>
        </w:rPr>
        <w:t>ndants are responsible.</w:t>
      </w:r>
    </w:p>
    <w:p w:rsidR="003920BC" w:rsidRPr="002A6D9F" w:rsidRDefault="003920BC" w:rsidP="004B38E8">
      <w:pPr>
        <w:spacing w:line="360" w:lineRule="auto"/>
        <w:jc w:val="both"/>
        <w:rPr>
          <w:rFonts w:ascii="Bookman Old Style" w:hAnsi="Bookman Old Style"/>
          <w:sz w:val="28"/>
          <w:szCs w:val="28"/>
        </w:rPr>
      </w:pPr>
      <w:r w:rsidRPr="002A6D9F">
        <w:rPr>
          <w:rFonts w:ascii="Bookman Old Style" w:hAnsi="Bookman Old Style"/>
          <w:sz w:val="28"/>
          <w:szCs w:val="28"/>
        </w:rPr>
        <w:lastRenderedPageBreak/>
        <w:t xml:space="preserve">Mr Kuteesa also submitted to the effect that a liquidator who commits a breach of contract is liable and that Section 31(2) of the Financial Institution Act gives the </w:t>
      </w:r>
      <w:r w:rsidR="00FD033A" w:rsidRPr="002A6D9F">
        <w:rPr>
          <w:rFonts w:ascii="Bookman Old Style" w:hAnsi="Bookman Old Style"/>
          <w:sz w:val="28"/>
          <w:szCs w:val="28"/>
        </w:rPr>
        <w:t>1</w:t>
      </w:r>
      <w:r w:rsidR="00FD033A" w:rsidRPr="002A6D9F">
        <w:rPr>
          <w:rFonts w:ascii="Bookman Old Style" w:hAnsi="Bookman Old Style"/>
          <w:sz w:val="28"/>
          <w:szCs w:val="28"/>
          <w:vertAlign w:val="superscript"/>
        </w:rPr>
        <w:t>st</w:t>
      </w:r>
      <w:r w:rsidRPr="002A6D9F">
        <w:rPr>
          <w:rFonts w:ascii="Bookman Old Style" w:hAnsi="Bookman Old Style"/>
          <w:sz w:val="28"/>
          <w:szCs w:val="28"/>
        </w:rPr>
        <w:t xml:space="preserve"> Defendant a right to sue and be sued. Both </w:t>
      </w:r>
      <w:r w:rsidR="00C66D5A" w:rsidRPr="002A6D9F">
        <w:rPr>
          <w:rFonts w:ascii="Bookman Old Style" w:hAnsi="Bookman Old Style"/>
          <w:sz w:val="28"/>
          <w:szCs w:val="28"/>
        </w:rPr>
        <w:t>Counsels</w:t>
      </w:r>
      <w:r w:rsidRPr="002A6D9F">
        <w:rPr>
          <w:rFonts w:ascii="Bookman Old Style" w:hAnsi="Bookman Old Style"/>
          <w:sz w:val="28"/>
          <w:szCs w:val="28"/>
        </w:rPr>
        <w:t xml:space="preserve"> prayed the objection be over ruled.</w:t>
      </w:r>
    </w:p>
    <w:p w:rsidR="003920BC" w:rsidRPr="002A6D9F" w:rsidRDefault="003920BC" w:rsidP="004B38E8">
      <w:pPr>
        <w:spacing w:line="360" w:lineRule="auto"/>
        <w:jc w:val="both"/>
        <w:rPr>
          <w:rFonts w:ascii="Bookman Old Style" w:hAnsi="Bookman Old Style"/>
          <w:sz w:val="28"/>
          <w:szCs w:val="28"/>
        </w:rPr>
      </w:pPr>
      <w:r w:rsidRPr="002A6D9F">
        <w:rPr>
          <w:rFonts w:ascii="Bookman Old Style" w:hAnsi="Bookman Old Style"/>
          <w:sz w:val="28"/>
          <w:szCs w:val="28"/>
        </w:rPr>
        <w:t xml:space="preserve">In rejoinder, Mr Kanyerezi submitted </w:t>
      </w:r>
      <w:r w:rsidR="00FD033A" w:rsidRPr="002A6D9F">
        <w:rPr>
          <w:rFonts w:ascii="Bookman Old Style" w:hAnsi="Bookman Old Style"/>
          <w:sz w:val="28"/>
          <w:szCs w:val="28"/>
        </w:rPr>
        <w:t>that t</w:t>
      </w:r>
      <w:r w:rsidRPr="002A6D9F">
        <w:rPr>
          <w:rFonts w:ascii="Bookman Old Style" w:hAnsi="Bookman Old Style"/>
          <w:sz w:val="28"/>
          <w:szCs w:val="28"/>
        </w:rPr>
        <w:t xml:space="preserve">he prime question before the court is whether the present defendants are liable on the contracts sued upon. That the contract in Annexture A is </w:t>
      </w:r>
      <w:r w:rsidR="009E55AD" w:rsidRPr="002A6D9F">
        <w:rPr>
          <w:rFonts w:ascii="Bookman Old Style" w:hAnsi="Bookman Old Style"/>
          <w:sz w:val="28"/>
          <w:szCs w:val="28"/>
        </w:rPr>
        <w:t xml:space="preserve">not </w:t>
      </w:r>
      <w:r w:rsidRPr="002A6D9F">
        <w:rPr>
          <w:rFonts w:ascii="Bookman Old Style" w:hAnsi="Bookman Old Style"/>
          <w:sz w:val="28"/>
          <w:szCs w:val="28"/>
        </w:rPr>
        <w:t>between B</w:t>
      </w:r>
      <w:r w:rsidR="00C66D5A">
        <w:rPr>
          <w:rFonts w:ascii="Bookman Old Style" w:hAnsi="Bookman Old Style"/>
          <w:sz w:val="28"/>
          <w:szCs w:val="28"/>
        </w:rPr>
        <w:t>ank of Uganda</w:t>
      </w:r>
      <w:r w:rsidRPr="002A6D9F">
        <w:rPr>
          <w:rFonts w:ascii="Bookman Old Style" w:hAnsi="Bookman Old Style"/>
          <w:sz w:val="28"/>
          <w:szCs w:val="28"/>
        </w:rPr>
        <w:t xml:space="preserve"> and the </w:t>
      </w:r>
      <w:r w:rsidR="00C66D5A" w:rsidRPr="002A6D9F">
        <w:rPr>
          <w:rFonts w:ascii="Bookman Old Style" w:hAnsi="Bookman Old Style"/>
          <w:sz w:val="28"/>
          <w:szCs w:val="28"/>
        </w:rPr>
        <w:t>Plaintiff but</w:t>
      </w:r>
      <w:r w:rsidR="009E55AD" w:rsidRPr="002A6D9F">
        <w:rPr>
          <w:rFonts w:ascii="Bookman Old Style" w:hAnsi="Bookman Old Style"/>
          <w:sz w:val="28"/>
          <w:szCs w:val="28"/>
        </w:rPr>
        <w:t xml:space="preserve"> between t</w:t>
      </w:r>
      <w:r w:rsidR="00FD033A" w:rsidRPr="002A6D9F">
        <w:rPr>
          <w:rFonts w:ascii="Bookman Old Style" w:hAnsi="Bookman Old Style"/>
          <w:sz w:val="28"/>
          <w:szCs w:val="28"/>
        </w:rPr>
        <w:t>he parties named in the contract</w:t>
      </w:r>
      <w:r w:rsidR="009E55AD" w:rsidRPr="002A6D9F">
        <w:rPr>
          <w:rFonts w:ascii="Bookman Old Style" w:hAnsi="Bookman Old Style"/>
          <w:sz w:val="28"/>
          <w:szCs w:val="28"/>
        </w:rPr>
        <w:t xml:space="preserve">. Further that </w:t>
      </w:r>
      <w:r w:rsidR="00C66D5A" w:rsidRPr="002A6D9F">
        <w:rPr>
          <w:rFonts w:ascii="Bookman Old Style" w:hAnsi="Bookman Old Style"/>
          <w:sz w:val="28"/>
          <w:szCs w:val="28"/>
        </w:rPr>
        <w:t>B</w:t>
      </w:r>
      <w:r w:rsidR="00C66D5A">
        <w:rPr>
          <w:rFonts w:ascii="Bookman Old Style" w:hAnsi="Bookman Old Style"/>
          <w:sz w:val="28"/>
          <w:szCs w:val="28"/>
        </w:rPr>
        <w:t>ank of Uganda</w:t>
      </w:r>
      <w:r w:rsidR="009E55AD" w:rsidRPr="002A6D9F">
        <w:rPr>
          <w:rFonts w:ascii="Bookman Old Style" w:hAnsi="Bookman Old Style"/>
          <w:sz w:val="28"/>
          <w:szCs w:val="28"/>
        </w:rPr>
        <w:t xml:space="preserve"> executed the above contract on behalf of the entities, that is, Greenland Bank and the receiver on behalf of F</w:t>
      </w:r>
      <w:r w:rsidR="00C66D5A">
        <w:rPr>
          <w:rFonts w:ascii="Bookman Old Style" w:hAnsi="Bookman Old Style"/>
          <w:sz w:val="28"/>
          <w:szCs w:val="28"/>
        </w:rPr>
        <w:t>IBA</w:t>
      </w:r>
      <w:r w:rsidR="009E55AD" w:rsidRPr="002A6D9F">
        <w:rPr>
          <w:rFonts w:ascii="Bookman Old Style" w:hAnsi="Bookman Old Style"/>
          <w:sz w:val="28"/>
          <w:szCs w:val="28"/>
        </w:rPr>
        <w:t xml:space="preserve"> (U) Ltd and that liability remains with the entities who were parties to the contract and not the executers to the contract. He prayed the objection be upheld.</w:t>
      </w:r>
    </w:p>
    <w:p w:rsidR="009E55AD" w:rsidRPr="002A6D9F" w:rsidRDefault="009E55AD" w:rsidP="004B38E8">
      <w:pPr>
        <w:spacing w:line="360" w:lineRule="auto"/>
        <w:jc w:val="both"/>
        <w:rPr>
          <w:rFonts w:ascii="Bookman Old Style" w:hAnsi="Bookman Old Style"/>
          <w:sz w:val="28"/>
          <w:szCs w:val="28"/>
        </w:rPr>
      </w:pPr>
      <w:r w:rsidRPr="002A6D9F">
        <w:rPr>
          <w:rFonts w:ascii="Bookman Old Style" w:hAnsi="Bookman Old Style"/>
          <w:sz w:val="28"/>
          <w:szCs w:val="28"/>
        </w:rPr>
        <w:t>The background to this case is that the Plaintiff, an investment company, filed a suit against the Defendants on 5</w:t>
      </w:r>
      <w:r w:rsidR="00C66D5A" w:rsidRPr="00C66D5A">
        <w:rPr>
          <w:rFonts w:ascii="Bookman Old Style" w:hAnsi="Bookman Old Style"/>
          <w:sz w:val="28"/>
          <w:szCs w:val="28"/>
          <w:vertAlign w:val="superscript"/>
        </w:rPr>
        <w:t>th</w:t>
      </w:r>
      <w:r w:rsidR="00C66D5A">
        <w:rPr>
          <w:rFonts w:ascii="Bookman Old Style" w:hAnsi="Bookman Old Style"/>
          <w:sz w:val="28"/>
          <w:szCs w:val="28"/>
        </w:rPr>
        <w:t xml:space="preserve"> October, </w:t>
      </w:r>
      <w:r w:rsidRPr="002A6D9F">
        <w:rPr>
          <w:rFonts w:ascii="Bookman Old Style" w:hAnsi="Bookman Old Style"/>
          <w:sz w:val="28"/>
          <w:szCs w:val="28"/>
        </w:rPr>
        <w:t xml:space="preserve">2009 </w:t>
      </w:r>
      <w:r w:rsidR="00BF2C81" w:rsidRPr="002A6D9F">
        <w:rPr>
          <w:rFonts w:ascii="Bookman Old Style" w:hAnsi="Bookman Old Style"/>
          <w:sz w:val="28"/>
          <w:szCs w:val="28"/>
        </w:rPr>
        <w:t xml:space="preserve">claiming </w:t>
      </w:r>
      <w:r w:rsidR="00C66D5A">
        <w:rPr>
          <w:rFonts w:ascii="Bookman Old Style" w:hAnsi="Bookman Old Style"/>
          <w:sz w:val="28"/>
          <w:szCs w:val="28"/>
        </w:rPr>
        <w:t xml:space="preserve">Uganda Shillings (Ug Shs. </w:t>
      </w:r>
      <w:r w:rsidR="00BF2C81" w:rsidRPr="002A6D9F">
        <w:rPr>
          <w:rFonts w:ascii="Bookman Old Style" w:hAnsi="Bookman Old Style"/>
          <w:sz w:val="28"/>
          <w:szCs w:val="28"/>
        </w:rPr>
        <w:t>300,000,000/=</w:t>
      </w:r>
      <w:r w:rsidR="00C66D5A">
        <w:rPr>
          <w:rFonts w:ascii="Bookman Old Style" w:hAnsi="Bookman Old Style"/>
          <w:sz w:val="28"/>
          <w:szCs w:val="28"/>
        </w:rPr>
        <w:t>)</w:t>
      </w:r>
      <w:r w:rsidR="00BF2C81" w:rsidRPr="002A6D9F">
        <w:rPr>
          <w:rFonts w:ascii="Bookman Old Style" w:hAnsi="Bookman Old Style"/>
          <w:sz w:val="28"/>
          <w:szCs w:val="28"/>
        </w:rPr>
        <w:t xml:space="preserve"> </w:t>
      </w:r>
      <w:r w:rsidR="00E33844" w:rsidRPr="002A6D9F">
        <w:rPr>
          <w:rFonts w:ascii="Bookman Old Style" w:hAnsi="Bookman Old Style"/>
          <w:sz w:val="28"/>
          <w:szCs w:val="28"/>
        </w:rPr>
        <w:t>being compensation for the land comprised in Leasehold Register Volume 1574 Folio 1 situate at Kiti village, Masaka District, herein after referred to as “The Land”</w:t>
      </w:r>
      <w:r w:rsidR="00C66D5A">
        <w:rPr>
          <w:rFonts w:ascii="Bookman Old Style" w:hAnsi="Bookman Old Style"/>
          <w:sz w:val="28"/>
          <w:szCs w:val="28"/>
        </w:rPr>
        <w:t>.</w:t>
      </w:r>
    </w:p>
    <w:p w:rsidR="00E33844" w:rsidRDefault="00E33844" w:rsidP="004B38E8">
      <w:pPr>
        <w:spacing w:line="360" w:lineRule="auto"/>
        <w:jc w:val="both"/>
        <w:rPr>
          <w:rFonts w:ascii="Bookman Old Style" w:hAnsi="Bookman Old Style"/>
          <w:sz w:val="28"/>
          <w:szCs w:val="28"/>
        </w:rPr>
      </w:pPr>
      <w:r w:rsidRPr="002A6D9F">
        <w:rPr>
          <w:rFonts w:ascii="Bookman Old Style" w:hAnsi="Bookman Old Style"/>
          <w:sz w:val="28"/>
          <w:szCs w:val="28"/>
        </w:rPr>
        <w:t>It is the Plaintiff’s case that on 27</w:t>
      </w:r>
      <w:r w:rsidR="00C66D5A" w:rsidRPr="00C66D5A">
        <w:rPr>
          <w:rFonts w:ascii="Bookman Old Style" w:hAnsi="Bookman Old Style"/>
          <w:sz w:val="28"/>
          <w:szCs w:val="28"/>
          <w:vertAlign w:val="superscript"/>
        </w:rPr>
        <w:t>th</w:t>
      </w:r>
      <w:r w:rsidR="00C66D5A">
        <w:rPr>
          <w:rFonts w:ascii="Bookman Old Style" w:hAnsi="Bookman Old Style"/>
          <w:sz w:val="28"/>
          <w:szCs w:val="28"/>
        </w:rPr>
        <w:t xml:space="preserve"> October, </w:t>
      </w:r>
      <w:r w:rsidRPr="002A6D9F">
        <w:rPr>
          <w:rFonts w:ascii="Bookman Old Style" w:hAnsi="Bookman Old Style"/>
          <w:sz w:val="28"/>
          <w:szCs w:val="28"/>
        </w:rPr>
        <w:t xml:space="preserve">2000, the </w:t>
      </w:r>
      <w:r w:rsidR="00C66D5A">
        <w:rPr>
          <w:rFonts w:ascii="Bookman Old Style" w:hAnsi="Bookman Old Style"/>
          <w:sz w:val="28"/>
          <w:szCs w:val="28"/>
        </w:rPr>
        <w:t xml:space="preserve">First </w:t>
      </w:r>
      <w:r w:rsidR="00C66D5A" w:rsidRPr="002A6D9F">
        <w:rPr>
          <w:rFonts w:ascii="Bookman Old Style" w:hAnsi="Bookman Old Style"/>
          <w:sz w:val="28"/>
          <w:szCs w:val="28"/>
        </w:rPr>
        <w:t>Defendant</w:t>
      </w:r>
      <w:r w:rsidRPr="002A6D9F">
        <w:rPr>
          <w:rFonts w:ascii="Bookman Old Style" w:hAnsi="Bookman Old Style"/>
          <w:sz w:val="28"/>
          <w:szCs w:val="28"/>
        </w:rPr>
        <w:t xml:space="preserve"> in its capacity as liquidator of Greenland Bank (Ltd) (In liquidation) hereby after referred to as GBL and the </w:t>
      </w:r>
      <w:r w:rsidR="00C66D5A">
        <w:rPr>
          <w:rFonts w:ascii="Bookman Old Style" w:hAnsi="Bookman Old Style"/>
          <w:sz w:val="28"/>
          <w:szCs w:val="28"/>
        </w:rPr>
        <w:t>Second</w:t>
      </w:r>
      <w:r w:rsidRPr="002A6D9F">
        <w:rPr>
          <w:rFonts w:ascii="Bookman Old Style" w:hAnsi="Bookman Old Style"/>
          <w:sz w:val="28"/>
          <w:szCs w:val="28"/>
        </w:rPr>
        <w:t xml:space="preserve"> Defendant in his capacity as receiver of </w:t>
      </w:r>
      <w:r w:rsidR="00C66D5A" w:rsidRPr="002A6D9F">
        <w:rPr>
          <w:rFonts w:ascii="Bookman Old Style" w:hAnsi="Bookman Old Style"/>
          <w:sz w:val="28"/>
          <w:szCs w:val="28"/>
        </w:rPr>
        <w:t>F</w:t>
      </w:r>
      <w:r w:rsidR="00C66D5A">
        <w:rPr>
          <w:rFonts w:ascii="Bookman Old Style" w:hAnsi="Bookman Old Style"/>
          <w:sz w:val="28"/>
          <w:szCs w:val="28"/>
        </w:rPr>
        <w:t>IBA</w:t>
      </w:r>
      <w:r w:rsidR="00C66D5A" w:rsidRPr="002A6D9F">
        <w:rPr>
          <w:rFonts w:ascii="Bookman Old Style" w:hAnsi="Bookman Old Style"/>
          <w:sz w:val="28"/>
          <w:szCs w:val="28"/>
        </w:rPr>
        <w:t xml:space="preserve"> (</w:t>
      </w:r>
      <w:r w:rsidRPr="002A6D9F">
        <w:rPr>
          <w:rFonts w:ascii="Bookman Old Style" w:hAnsi="Bookman Old Style"/>
          <w:sz w:val="28"/>
          <w:szCs w:val="28"/>
        </w:rPr>
        <w:t>U) Ltd (In Receivership) hereafter referred to as FIBA sold a</w:t>
      </w:r>
      <w:r w:rsidR="00C66D5A">
        <w:rPr>
          <w:rFonts w:ascii="Bookman Old Style" w:hAnsi="Bookman Old Style"/>
          <w:sz w:val="28"/>
          <w:szCs w:val="28"/>
        </w:rPr>
        <w:t>ll shares held by GBL and FIBA i</w:t>
      </w:r>
      <w:r w:rsidRPr="002A6D9F">
        <w:rPr>
          <w:rFonts w:ascii="Bookman Old Style" w:hAnsi="Bookman Old Style"/>
          <w:sz w:val="28"/>
          <w:szCs w:val="28"/>
        </w:rPr>
        <w:t xml:space="preserve">n Greenland Insurance Company constituting </w:t>
      </w:r>
      <w:r w:rsidRPr="002A6D9F">
        <w:rPr>
          <w:rFonts w:ascii="Bookman Old Style" w:hAnsi="Bookman Old Style"/>
          <w:sz w:val="28"/>
          <w:szCs w:val="28"/>
        </w:rPr>
        <w:lastRenderedPageBreak/>
        <w:t>99.78% to the Plaintiff as entailed in a share sale agreement annexed to the Plaint as Annexture “A</w:t>
      </w:r>
      <w:r w:rsidR="00C66D5A" w:rsidRPr="002A6D9F">
        <w:rPr>
          <w:rFonts w:ascii="Bookman Old Style" w:hAnsi="Bookman Old Style"/>
          <w:sz w:val="28"/>
          <w:szCs w:val="28"/>
        </w:rPr>
        <w:t>”.</w:t>
      </w:r>
    </w:p>
    <w:p w:rsidR="00C66D5A" w:rsidRPr="002A6D9F" w:rsidRDefault="00C66D5A" w:rsidP="00C66D5A">
      <w:pPr>
        <w:spacing w:line="360" w:lineRule="auto"/>
        <w:jc w:val="both"/>
        <w:rPr>
          <w:rFonts w:ascii="Bookman Old Style" w:hAnsi="Bookman Old Style"/>
          <w:sz w:val="28"/>
          <w:szCs w:val="28"/>
        </w:rPr>
      </w:pPr>
      <w:r w:rsidRPr="002A6D9F">
        <w:rPr>
          <w:rFonts w:ascii="Bookman Old Style" w:hAnsi="Bookman Old Style"/>
          <w:sz w:val="28"/>
          <w:szCs w:val="28"/>
        </w:rPr>
        <w:t>I have carefully listened to the submissions of Counsel, considered the authorities relied on and perused the plaint, together with the attachments thereto.</w:t>
      </w:r>
    </w:p>
    <w:p w:rsidR="00F1563E" w:rsidRPr="002A6D9F" w:rsidRDefault="00F1563E" w:rsidP="004B38E8">
      <w:pPr>
        <w:spacing w:line="360" w:lineRule="auto"/>
        <w:jc w:val="both"/>
        <w:rPr>
          <w:rFonts w:ascii="Bookman Old Style" w:hAnsi="Bookman Old Style"/>
          <w:sz w:val="28"/>
          <w:szCs w:val="28"/>
        </w:rPr>
      </w:pPr>
      <w:r w:rsidRPr="002A6D9F">
        <w:rPr>
          <w:rFonts w:ascii="Bookman Old Style" w:hAnsi="Bookman Old Style"/>
          <w:sz w:val="28"/>
          <w:szCs w:val="28"/>
        </w:rPr>
        <w:t xml:space="preserve">The question of whether the Plaint discloses a cause of action is determined upon perusal of the Plaint alone and any attachments thereto. In the case of </w:t>
      </w:r>
      <w:r w:rsidRPr="002A6D9F">
        <w:rPr>
          <w:rFonts w:ascii="Bookman Old Style" w:hAnsi="Bookman Old Style"/>
          <w:b/>
          <w:bCs/>
          <w:iCs/>
          <w:sz w:val="28"/>
          <w:szCs w:val="28"/>
        </w:rPr>
        <w:t>Ismail Serugo v</w:t>
      </w:r>
      <w:r w:rsidR="00C66D5A">
        <w:rPr>
          <w:rFonts w:ascii="Bookman Old Style" w:hAnsi="Bookman Old Style"/>
          <w:b/>
          <w:bCs/>
          <w:iCs/>
          <w:sz w:val="28"/>
          <w:szCs w:val="28"/>
        </w:rPr>
        <w:t>ersus</w:t>
      </w:r>
      <w:r w:rsidRPr="002A6D9F">
        <w:rPr>
          <w:rFonts w:ascii="Bookman Old Style" w:hAnsi="Bookman Old Style"/>
          <w:b/>
          <w:bCs/>
          <w:iCs/>
          <w:sz w:val="28"/>
          <w:szCs w:val="28"/>
        </w:rPr>
        <w:t xml:space="preserve"> Kampala City Council and the Attorney General Constitutional Appeal No.2 of 1998</w:t>
      </w:r>
      <w:r w:rsidRPr="002A6D9F">
        <w:rPr>
          <w:rFonts w:ascii="Bookman Old Style" w:hAnsi="Bookman Old Style"/>
          <w:b/>
          <w:bCs/>
          <w:i/>
          <w:iCs/>
          <w:sz w:val="28"/>
          <w:szCs w:val="28"/>
        </w:rPr>
        <w:t>,</w:t>
      </w:r>
      <w:r w:rsidRPr="002A6D9F">
        <w:rPr>
          <w:rFonts w:ascii="Bookman Old Style" w:hAnsi="Bookman Old Style"/>
          <w:b/>
          <w:bCs/>
          <w:sz w:val="28"/>
          <w:szCs w:val="28"/>
        </w:rPr>
        <w:t xml:space="preserve"> </w:t>
      </w:r>
      <w:r w:rsidRPr="002A6D9F">
        <w:rPr>
          <w:rFonts w:ascii="Bookman Old Style" w:hAnsi="Bookman Old Style"/>
          <w:sz w:val="28"/>
          <w:szCs w:val="28"/>
        </w:rPr>
        <w:t>Wambuzi CJ as he then was held at page 3 of his judgment that in determining whether a Plaint discloses a cause of action unde</w:t>
      </w:r>
      <w:r w:rsidR="00C66D5A">
        <w:rPr>
          <w:rFonts w:ascii="Bookman Old Style" w:hAnsi="Bookman Old Style"/>
          <w:sz w:val="28"/>
          <w:szCs w:val="28"/>
        </w:rPr>
        <w:t>r Order 7, R</w:t>
      </w:r>
      <w:r w:rsidRPr="002A6D9F">
        <w:rPr>
          <w:rFonts w:ascii="Bookman Old Style" w:hAnsi="Bookman Old Style"/>
          <w:sz w:val="28"/>
          <w:szCs w:val="28"/>
        </w:rPr>
        <w:t>ule 11 of the C</w:t>
      </w:r>
      <w:r w:rsidR="00C66D5A">
        <w:rPr>
          <w:rFonts w:ascii="Bookman Old Style" w:hAnsi="Bookman Old Style"/>
          <w:sz w:val="28"/>
          <w:szCs w:val="28"/>
        </w:rPr>
        <w:t xml:space="preserve">ivil </w:t>
      </w:r>
      <w:r w:rsidRPr="002A6D9F">
        <w:rPr>
          <w:rFonts w:ascii="Bookman Old Style" w:hAnsi="Bookman Old Style"/>
          <w:sz w:val="28"/>
          <w:szCs w:val="28"/>
        </w:rPr>
        <w:t>P</w:t>
      </w:r>
      <w:r w:rsidR="00C66D5A">
        <w:rPr>
          <w:rFonts w:ascii="Bookman Old Style" w:hAnsi="Bookman Old Style"/>
          <w:sz w:val="28"/>
          <w:szCs w:val="28"/>
        </w:rPr>
        <w:t xml:space="preserve">rocedure </w:t>
      </w:r>
      <w:r w:rsidRPr="002A6D9F">
        <w:rPr>
          <w:rFonts w:ascii="Bookman Old Style" w:hAnsi="Bookman Old Style"/>
          <w:sz w:val="28"/>
          <w:szCs w:val="28"/>
        </w:rPr>
        <w:t>R</w:t>
      </w:r>
      <w:r w:rsidR="00C66D5A">
        <w:rPr>
          <w:rFonts w:ascii="Bookman Old Style" w:hAnsi="Bookman Old Style"/>
          <w:sz w:val="28"/>
          <w:szCs w:val="28"/>
        </w:rPr>
        <w:t>ules</w:t>
      </w:r>
      <w:r w:rsidRPr="002A6D9F">
        <w:rPr>
          <w:rFonts w:ascii="Bookman Old Style" w:hAnsi="Bookman Old Style"/>
          <w:sz w:val="28"/>
          <w:szCs w:val="28"/>
        </w:rPr>
        <w:t xml:space="preserve"> or a re</w:t>
      </w:r>
      <w:r w:rsidR="00C66D5A">
        <w:rPr>
          <w:rFonts w:ascii="Bookman Old Style" w:hAnsi="Bookman Old Style"/>
          <w:sz w:val="28"/>
          <w:szCs w:val="28"/>
        </w:rPr>
        <w:t>asonable cause of action under Order 6 Rule 30</w:t>
      </w:r>
      <w:r w:rsidRPr="002A6D9F">
        <w:rPr>
          <w:rFonts w:ascii="Bookman Old Style" w:hAnsi="Bookman Old Style"/>
          <w:sz w:val="28"/>
          <w:szCs w:val="28"/>
        </w:rPr>
        <w:t xml:space="preserve"> of the </w:t>
      </w:r>
      <w:r w:rsidR="00C66D5A" w:rsidRPr="002A6D9F">
        <w:rPr>
          <w:rFonts w:ascii="Bookman Old Style" w:hAnsi="Bookman Old Style"/>
          <w:sz w:val="28"/>
          <w:szCs w:val="28"/>
        </w:rPr>
        <w:t>C</w:t>
      </w:r>
      <w:r w:rsidR="00C66D5A">
        <w:rPr>
          <w:rFonts w:ascii="Bookman Old Style" w:hAnsi="Bookman Old Style"/>
          <w:sz w:val="28"/>
          <w:szCs w:val="28"/>
        </w:rPr>
        <w:t xml:space="preserve">ivil </w:t>
      </w:r>
      <w:r w:rsidR="00C66D5A" w:rsidRPr="002A6D9F">
        <w:rPr>
          <w:rFonts w:ascii="Bookman Old Style" w:hAnsi="Bookman Old Style"/>
          <w:sz w:val="28"/>
          <w:szCs w:val="28"/>
        </w:rPr>
        <w:t>P</w:t>
      </w:r>
      <w:r w:rsidR="00C66D5A">
        <w:rPr>
          <w:rFonts w:ascii="Bookman Old Style" w:hAnsi="Bookman Old Style"/>
          <w:sz w:val="28"/>
          <w:szCs w:val="28"/>
        </w:rPr>
        <w:t xml:space="preserve">rocedure </w:t>
      </w:r>
      <w:r w:rsidR="00C66D5A" w:rsidRPr="002A6D9F">
        <w:rPr>
          <w:rFonts w:ascii="Bookman Old Style" w:hAnsi="Bookman Old Style"/>
          <w:sz w:val="28"/>
          <w:szCs w:val="28"/>
        </w:rPr>
        <w:t>R</w:t>
      </w:r>
      <w:r w:rsidR="00C66D5A">
        <w:rPr>
          <w:rFonts w:ascii="Bookman Old Style" w:hAnsi="Bookman Old Style"/>
          <w:sz w:val="28"/>
          <w:szCs w:val="28"/>
        </w:rPr>
        <w:t>ules</w:t>
      </w:r>
      <w:r w:rsidR="00A6623E">
        <w:rPr>
          <w:rFonts w:ascii="Bookman Old Style" w:hAnsi="Bookman Old Style"/>
          <w:sz w:val="28"/>
          <w:szCs w:val="28"/>
        </w:rPr>
        <w:t xml:space="preserve">, </w:t>
      </w:r>
      <w:r w:rsidR="00A6623E" w:rsidRPr="002A6D9F">
        <w:rPr>
          <w:rFonts w:ascii="Bookman Old Style" w:hAnsi="Bookman Old Style"/>
          <w:sz w:val="28"/>
          <w:szCs w:val="28"/>
        </w:rPr>
        <w:t>only</w:t>
      </w:r>
      <w:r w:rsidRPr="002A6D9F">
        <w:rPr>
          <w:rFonts w:ascii="Bookman Old Style" w:hAnsi="Bookman Old Style"/>
          <w:sz w:val="28"/>
          <w:szCs w:val="28"/>
        </w:rPr>
        <w:t xml:space="preserve"> the Plaint can be perused. He said</w:t>
      </w:r>
      <w:r w:rsidR="00C66D5A">
        <w:rPr>
          <w:rFonts w:ascii="Bookman Old Style" w:hAnsi="Bookman Old Style"/>
          <w:sz w:val="28"/>
          <w:szCs w:val="28"/>
        </w:rPr>
        <w:t xml:space="preserve"> and I quote;</w:t>
      </w:r>
    </w:p>
    <w:p w:rsidR="00F1563E" w:rsidRPr="00C66D5A" w:rsidRDefault="00F1563E" w:rsidP="004B38E8">
      <w:pPr>
        <w:spacing w:line="360" w:lineRule="auto"/>
        <w:jc w:val="both"/>
        <w:rPr>
          <w:rFonts w:ascii="Bookman Old Style" w:hAnsi="Bookman Old Style"/>
          <w:b/>
          <w:sz w:val="28"/>
          <w:szCs w:val="28"/>
        </w:rPr>
      </w:pPr>
      <w:r w:rsidRPr="00C66D5A">
        <w:rPr>
          <w:rFonts w:ascii="Bookman Old Style" w:hAnsi="Bookman Old Style"/>
          <w:b/>
          <w:i/>
          <w:iCs/>
          <w:sz w:val="28"/>
          <w:szCs w:val="28"/>
        </w:rPr>
        <w:t>“I agree that in either case, that is whether or not there is a cause of action under Order 7 Rule 11 or a reasonable cause of action under Order 6 Rule 29 only the Plaint can be looked at...”</w:t>
      </w:r>
    </w:p>
    <w:p w:rsidR="00F1563E" w:rsidRPr="002A6D9F" w:rsidRDefault="00F1563E" w:rsidP="004B38E8">
      <w:pPr>
        <w:spacing w:line="360" w:lineRule="auto"/>
        <w:jc w:val="both"/>
        <w:rPr>
          <w:rFonts w:ascii="Bookman Old Style" w:hAnsi="Bookman Old Style"/>
          <w:sz w:val="28"/>
          <w:szCs w:val="28"/>
        </w:rPr>
      </w:pPr>
      <w:r w:rsidRPr="002A6D9F">
        <w:rPr>
          <w:rFonts w:ascii="Bookman Old Style" w:hAnsi="Bookman Old Style"/>
          <w:sz w:val="28"/>
          <w:szCs w:val="28"/>
        </w:rPr>
        <w:t xml:space="preserve">Similarly, in the case of </w:t>
      </w:r>
      <w:r w:rsidRPr="002A6D9F">
        <w:rPr>
          <w:rFonts w:ascii="Bookman Old Style" w:hAnsi="Bookman Old Style"/>
          <w:b/>
          <w:bCs/>
          <w:iCs/>
          <w:sz w:val="28"/>
          <w:szCs w:val="28"/>
        </w:rPr>
        <w:t>Attorney General v</w:t>
      </w:r>
      <w:r w:rsidR="00C66D5A">
        <w:rPr>
          <w:rFonts w:ascii="Bookman Old Style" w:hAnsi="Bookman Old Style"/>
          <w:b/>
          <w:bCs/>
          <w:iCs/>
          <w:sz w:val="28"/>
          <w:szCs w:val="28"/>
        </w:rPr>
        <w:t>ersus Oluoch [1972]</w:t>
      </w:r>
      <w:r w:rsidRPr="002A6D9F">
        <w:rPr>
          <w:rFonts w:ascii="Bookman Old Style" w:hAnsi="Bookman Old Style"/>
          <w:b/>
          <w:bCs/>
          <w:iCs/>
          <w:sz w:val="28"/>
          <w:szCs w:val="28"/>
        </w:rPr>
        <w:t xml:space="preserve"> EA page 392</w:t>
      </w:r>
      <w:r w:rsidRPr="002A6D9F">
        <w:rPr>
          <w:rFonts w:ascii="Bookman Old Style" w:hAnsi="Bookman Old Style"/>
          <w:b/>
          <w:bCs/>
          <w:sz w:val="28"/>
          <w:szCs w:val="28"/>
        </w:rPr>
        <w:t xml:space="preserve">, </w:t>
      </w:r>
      <w:r w:rsidRPr="00C66D5A">
        <w:rPr>
          <w:rFonts w:ascii="Bookman Old Style" w:hAnsi="Bookman Old Style"/>
          <w:bCs/>
          <w:sz w:val="28"/>
          <w:szCs w:val="28"/>
        </w:rPr>
        <w:t>it</w:t>
      </w:r>
      <w:r w:rsidRPr="002A6D9F">
        <w:rPr>
          <w:rFonts w:ascii="Bookman Old Style" w:hAnsi="Bookman Old Style"/>
          <w:b/>
          <w:bCs/>
          <w:sz w:val="28"/>
          <w:szCs w:val="28"/>
        </w:rPr>
        <w:t xml:space="preserve"> </w:t>
      </w:r>
      <w:r w:rsidRPr="002A6D9F">
        <w:rPr>
          <w:rFonts w:ascii="Bookman Old Style" w:hAnsi="Bookman Old Style"/>
          <w:sz w:val="28"/>
          <w:szCs w:val="28"/>
        </w:rPr>
        <w:t>was held that the question of whether a Plaint discloses a cause of action is determined upon perusal of the Plaint and attachments thereto with an assumption that the facts pleaded or implied therein are true.</w:t>
      </w:r>
    </w:p>
    <w:p w:rsidR="00F1563E" w:rsidRPr="002A6D9F" w:rsidRDefault="00C66D5A" w:rsidP="004B38E8">
      <w:pPr>
        <w:spacing w:line="360" w:lineRule="auto"/>
        <w:jc w:val="both"/>
        <w:rPr>
          <w:rFonts w:ascii="Bookman Old Style" w:hAnsi="Bookman Old Style"/>
          <w:sz w:val="28"/>
          <w:szCs w:val="28"/>
        </w:rPr>
      </w:pPr>
      <w:r>
        <w:rPr>
          <w:rFonts w:ascii="Bookman Old Style" w:hAnsi="Bookman Old Style"/>
          <w:sz w:val="28"/>
          <w:szCs w:val="28"/>
        </w:rPr>
        <w:lastRenderedPageBreak/>
        <w:t>The</w:t>
      </w:r>
      <w:r w:rsidR="00F1563E" w:rsidRPr="002A6D9F">
        <w:rPr>
          <w:rFonts w:ascii="Bookman Old Style" w:hAnsi="Bookman Old Style"/>
          <w:sz w:val="28"/>
          <w:szCs w:val="28"/>
        </w:rPr>
        <w:t xml:space="preserve"> position regarding “cause of action” was well stated in </w:t>
      </w:r>
      <w:r w:rsidR="00F1563E" w:rsidRPr="002A6D9F">
        <w:rPr>
          <w:rFonts w:ascii="Bookman Old Style" w:hAnsi="Bookman Old Style"/>
          <w:b/>
          <w:bCs/>
          <w:iCs/>
          <w:sz w:val="28"/>
          <w:szCs w:val="28"/>
        </w:rPr>
        <w:t xml:space="preserve">Auto Garage &amp; others </w:t>
      </w:r>
      <w:r>
        <w:rPr>
          <w:rFonts w:ascii="Bookman Old Style" w:hAnsi="Bookman Old Style"/>
          <w:b/>
          <w:bCs/>
          <w:iCs/>
          <w:sz w:val="28"/>
          <w:szCs w:val="28"/>
        </w:rPr>
        <w:t>versus</w:t>
      </w:r>
      <w:r w:rsidR="00F1563E" w:rsidRPr="002A6D9F">
        <w:rPr>
          <w:rFonts w:ascii="Bookman Old Style" w:hAnsi="Bookman Old Style"/>
          <w:b/>
          <w:bCs/>
          <w:iCs/>
          <w:sz w:val="28"/>
          <w:szCs w:val="28"/>
        </w:rPr>
        <w:t xml:space="preserve"> Motokov (No 3) </w:t>
      </w:r>
      <w:r>
        <w:rPr>
          <w:rFonts w:ascii="Bookman Old Style" w:hAnsi="Bookman Old Style"/>
          <w:b/>
          <w:bCs/>
          <w:iCs/>
          <w:sz w:val="28"/>
          <w:szCs w:val="28"/>
        </w:rPr>
        <w:t>[1971]</w:t>
      </w:r>
      <w:r w:rsidR="00F1563E" w:rsidRPr="002A6D9F">
        <w:rPr>
          <w:rFonts w:ascii="Bookman Old Style" w:hAnsi="Bookman Old Style"/>
          <w:b/>
          <w:bCs/>
          <w:iCs/>
          <w:sz w:val="28"/>
          <w:szCs w:val="28"/>
        </w:rPr>
        <w:t xml:space="preserve"> EA. 514 </w:t>
      </w:r>
      <w:r w:rsidR="00F1563E" w:rsidRPr="00C66D5A">
        <w:rPr>
          <w:rFonts w:ascii="Bookman Old Style" w:hAnsi="Bookman Old Style"/>
          <w:iCs/>
          <w:sz w:val="28"/>
          <w:szCs w:val="28"/>
        </w:rPr>
        <w:t>where it was stated</w:t>
      </w:r>
      <w:r w:rsidR="00F1563E" w:rsidRPr="002A6D9F">
        <w:rPr>
          <w:rFonts w:ascii="Bookman Old Style" w:hAnsi="Bookman Old Style"/>
          <w:i/>
          <w:iCs/>
          <w:sz w:val="28"/>
          <w:szCs w:val="28"/>
        </w:rPr>
        <w:t xml:space="preserve"> </w:t>
      </w:r>
      <w:r w:rsidR="00F1563E" w:rsidRPr="002A6D9F">
        <w:rPr>
          <w:rFonts w:ascii="Bookman Old Style" w:hAnsi="Bookman Old Style"/>
          <w:sz w:val="28"/>
          <w:szCs w:val="28"/>
        </w:rPr>
        <w:t xml:space="preserve">that the Plaintiff must establish that he or she enjoyed a right, the right was violated, and that the Defendant is liable. </w:t>
      </w:r>
      <w:r w:rsidR="001565E5">
        <w:rPr>
          <w:rFonts w:ascii="Bookman Old Style" w:hAnsi="Bookman Old Style"/>
          <w:sz w:val="28"/>
          <w:szCs w:val="28"/>
        </w:rPr>
        <w:t xml:space="preserve">Additionally, it appears to me and as was held in the case of </w:t>
      </w:r>
      <w:r w:rsidR="001565E5" w:rsidRPr="002A6D9F">
        <w:rPr>
          <w:rFonts w:ascii="Bookman Old Style" w:hAnsi="Bookman Old Style"/>
          <w:b/>
          <w:bCs/>
          <w:iCs/>
          <w:sz w:val="28"/>
          <w:szCs w:val="28"/>
        </w:rPr>
        <w:t>Hasmani v</w:t>
      </w:r>
      <w:r w:rsidR="001565E5">
        <w:rPr>
          <w:rFonts w:ascii="Bookman Old Style" w:hAnsi="Bookman Old Style"/>
          <w:b/>
          <w:bCs/>
          <w:iCs/>
          <w:sz w:val="28"/>
          <w:szCs w:val="28"/>
        </w:rPr>
        <w:t>ersus National Bank of India Ltd [1937]</w:t>
      </w:r>
      <w:r w:rsidR="001565E5" w:rsidRPr="002A6D9F">
        <w:rPr>
          <w:rFonts w:ascii="Bookman Old Style" w:hAnsi="Bookman Old Style"/>
          <w:b/>
          <w:bCs/>
          <w:iCs/>
          <w:sz w:val="28"/>
          <w:szCs w:val="28"/>
        </w:rPr>
        <w:t xml:space="preserve"> 4 E.A.C.A.55</w:t>
      </w:r>
      <w:r w:rsidR="001565E5">
        <w:rPr>
          <w:rFonts w:ascii="Bookman Old Style" w:hAnsi="Bookman Old Style"/>
          <w:b/>
          <w:bCs/>
          <w:iCs/>
          <w:sz w:val="28"/>
          <w:szCs w:val="28"/>
        </w:rPr>
        <w:t xml:space="preserve"> </w:t>
      </w:r>
      <w:r w:rsidR="001565E5">
        <w:rPr>
          <w:rFonts w:ascii="Bookman Old Style" w:hAnsi="Bookman Old Style"/>
          <w:sz w:val="28"/>
          <w:szCs w:val="28"/>
        </w:rPr>
        <w:t>that</w:t>
      </w:r>
      <w:r w:rsidR="00F1563E" w:rsidRPr="002A6D9F">
        <w:rPr>
          <w:rFonts w:ascii="Bookman Old Style" w:hAnsi="Bookman Old Style"/>
          <w:sz w:val="28"/>
          <w:szCs w:val="28"/>
        </w:rPr>
        <w:t xml:space="preserve"> </w:t>
      </w:r>
      <w:r w:rsidR="001565E5">
        <w:rPr>
          <w:rFonts w:ascii="Bookman Old Style" w:hAnsi="Bookman Old Style"/>
          <w:sz w:val="28"/>
          <w:szCs w:val="28"/>
        </w:rPr>
        <w:t xml:space="preserve">it is mandatory under </w:t>
      </w:r>
      <w:r w:rsidR="00F1563E" w:rsidRPr="002A6D9F">
        <w:rPr>
          <w:rFonts w:ascii="Bookman Old Style" w:hAnsi="Bookman Old Style"/>
          <w:sz w:val="28"/>
          <w:szCs w:val="28"/>
        </w:rPr>
        <w:t>the provision</w:t>
      </w:r>
      <w:r w:rsidR="001565E5">
        <w:rPr>
          <w:rFonts w:ascii="Bookman Old Style" w:hAnsi="Bookman Old Style"/>
          <w:sz w:val="28"/>
          <w:szCs w:val="28"/>
        </w:rPr>
        <w:t>s</w:t>
      </w:r>
      <w:r w:rsidR="00F1563E" w:rsidRPr="002A6D9F">
        <w:rPr>
          <w:rFonts w:ascii="Bookman Old Style" w:hAnsi="Bookman Old Style"/>
          <w:sz w:val="28"/>
          <w:szCs w:val="28"/>
        </w:rPr>
        <w:t xml:space="preserve"> </w:t>
      </w:r>
      <w:r w:rsidR="001565E5">
        <w:rPr>
          <w:rFonts w:ascii="Bookman Old Style" w:hAnsi="Bookman Old Style"/>
          <w:bCs/>
          <w:iCs/>
          <w:sz w:val="28"/>
          <w:szCs w:val="28"/>
        </w:rPr>
        <w:t xml:space="preserve">of </w:t>
      </w:r>
      <w:r w:rsidR="001565E5" w:rsidRPr="001565E5">
        <w:rPr>
          <w:rFonts w:ascii="Bookman Old Style" w:hAnsi="Bookman Old Style"/>
          <w:b/>
          <w:iCs/>
          <w:sz w:val="28"/>
          <w:szCs w:val="28"/>
        </w:rPr>
        <w:t>Order</w:t>
      </w:r>
      <w:r w:rsidR="00F1563E" w:rsidRPr="001565E5">
        <w:rPr>
          <w:rFonts w:ascii="Bookman Old Style" w:hAnsi="Bookman Old Style"/>
          <w:b/>
          <w:bCs/>
          <w:iCs/>
          <w:sz w:val="28"/>
          <w:szCs w:val="28"/>
        </w:rPr>
        <w:t xml:space="preserve"> 7 </w:t>
      </w:r>
      <w:r w:rsidR="001565E5" w:rsidRPr="001565E5">
        <w:rPr>
          <w:rFonts w:ascii="Bookman Old Style" w:hAnsi="Bookman Old Style"/>
          <w:b/>
          <w:bCs/>
          <w:iCs/>
          <w:sz w:val="28"/>
          <w:szCs w:val="28"/>
        </w:rPr>
        <w:t xml:space="preserve">Rule </w:t>
      </w:r>
      <w:r w:rsidR="00F1563E" w:rsidRPr="001565E5">
        <w:rPr>
          <w:rFonts w:ascii="Bookman Old Style" w:hAnsi="Bookman Old Style"/>
          <w:b/>
          <w:bCs/>
          <w:iCs/>
          <w:sz w:val="28"/>
          <w:szCs w:val="28"/>
        </w:rPr>
        <w:t xml:space="preserve">11 </w:t>
      </w:r>
      <w:r w:rsidRPr="001565E5">
        <w:rPr>
          <w:rFonts w:ascii="Bookman Old Style" w:hAnsi="Bookman Old Style"/>
          <w:b/>
          <w:sz w:val="28"/>
          <w:szCs w:val="28"/>
        </w:rPr>
        <w:t xml:space="preserve">Civil Procedure </w:t>
      </w:r>
      <w:r w:rsidR="001565E5" w:rsidRPr="001565E5">
        <w:rPr>
          <w:rFonts w:ascii="Bookman Old Style" w:hAnsi="Bookman Old Style"/>
          <w:b/>
          <w:sz w:val="28"/>
          <w:szCs w:val="28"/>
        </w:rPr>
        <w:t>Rules</w:t>
      </w:r>
      <w:r w:rsidR="001565E5">
        <w:rPr>
          <w:rFonts w:ascii="Bookman Old Style" w:hAnsi="Bookman Old Style"/>
          <w:sz w:val="28"/>
          <w:szCs w:val="28"/>
        </w:rPr>
        <w:t xml:space="preserve"> for a </w:t>
      </w:r>
      <w:r w:rsidR="00F1563E" w:rsidRPr="002A6D9F">
        <w:rPr>
          <w:rFonts w:ascii="Bookman Old Style" w:hAnsi="Bookman Old Style"/>
          <w:sz w:val="28"/>
          <w:szCs w:val="28"/>
        </w:rPr>
        <w:t xml:space="preserve">Plaint </w:t>
      </w:r>
      <w:r w:rsidR="001565E5">
        <w:rPr>
          <w:rFonts w:ascii="Bookman Old Style" w:hAnsi="Bookman Old Style"/>
          <w:sz w:val="28"/>
          <w:szCs w:val="28"/>
        </w:rPr>
        <w:t xml:space="preserve">to </w:t>
      </w:r>
      <w:r w:rsidR="00F1563E" w:rsidRPr="002A6D9F">
        <w:rPr>
          <w:rFonts w:ascii="Bookman Old Style" w:hAnsi="Bookman Old Style"/>
          <w:sz w:val="28"/>
          <w:szCs w:val="28"/>
        </w:rPr>
        <w:t xml:space="preserve">be rejected if it discloses no cause of </w:t>
      </w:r>
      <w:r w:rsidR="001565E5" w:rsidRPr="002A6D9F">
        <w:rPr>
          <w:rFonts w:ascii="Bookman Old Style" w:hAnsi="Bookman Old Style"/>
          <w:sz w:val="28"/>
          <w:szCs w:val="28"/>
        </w:rPr>
        <w:t>action</w:t>
      </w:r>
      <w:r w:rsidR="001565E5">
        <w:rPr>
          <w:rFonts w:ascii="Bookman Old Style" w:hAnsi="Bookman Old Style"/>
          <w:sz w:val="28"/>
          <w:szCs w:val="28"/>
        </w:rPr>
        <w:t xml:space="preserve">. This position was confirmed by </w:t>
      </w:r>
      <w:r w:rsidR="001565E5" w:rsidRPr="002A6D9F">
        <w:rPr>
          <w:rFonts w:ascii="Bookman Old Style" w:hAnsi="Bookman Old Style"/>
          <w:sz w:val="28"/>
          <w:szCs w:val="28"/>
        </w:rPr>
        <w:t>the</w:t>
      </w:r>
      <w:r w:rsidR="00F1563E" w:rsidRPr="002A6D9F">
        <w:rPr>
          <w:rFonts w:ascii="Bookman Old Style" w:hAnsi="Bookman Old Style"/>
          <w:sz w:val="28"/>
          <w:szCs w:val="28"/>
        </w:rPr>
        <w:t xml:space="preserve"> East African Court of Appeal in case of </w:t>
      </w:r>
      <w:r w:rsidR="00F1563E" w:rsidRPr="001565E5">
        <w:rPr>
          <w:rFonts w:ascii="Bookman Old Style" w:hAnsi="Bookman Old Style"/>
          <w:b/>
          <w:bCs/>
          <w:iCs/>
          <w:sz w:val="28"/>
          <w:szCs w:val="28"/>
        </w:rPr>
        <w:t>Sullivan vs. Ali Mohammed 1959 E.A 239</w:t>
      </w:r>
      <w:r w:rsidR="00F1563E" w:rsidRPr="002A6D9F">
        <w:rPr>
          <w:rFonts w:ascii="Bookman Old Style" w:hAnsi="Bookman Old Style"/>
          <w:sz w:val="28"/>
          <w:szCs w:val="28"/>
        </w:rPr>
        <w:t xml:space="preserve"> </w:t>
      </w:r>
      <w:r w:rsidR="001565E5">
        <w:rPr>
          <w:rFonts w:ascii="Bookman Old Style" w:hAnsi="Bookman Old Style"/>
          <w:sz w:val="28"/>
          <w:szCs w:val="28"/>
        </w:rPr>
        <w:t xml:space="preserve">per </w:t>
      </w:r>
      <w:r w:rsidR="001565E5" w:rsidRPr="001565E5">
        <w:rPr>
          <w:rFonts w:ascii="Bookman Old Style" w:hAnsi="Bookman Old Style"/>
          <w:b/>
          <w:sz w:val="28"/>
          <w:szCs w:val="28"/>
        </w:rPr>
        <w:t>Windham J</w:t>
      </w:r>
      <w:r w:rsidR="00F1563E" w:rsidRPr="002A6D9F">
        <w:rPr>
          <w:rFonts w:ascii="Bookman Old Style" w:hAnsi="Bookman Old Style"/>
          <w:sz w:val="28"/>
          <w:szCs w:val="28"/>
        </w:rPr>
        <w:t xml:space="preserve"> that the Plaint must allege all the necessary fa</w:t>
      </w:r>
      <w:r w:rsidR="004B38E8" w:rsidRPr="002A6D9F">
        <w:rPr>
          <w:rFonts w:ascii="Bookman Old Style" w:hAnsi="Bookman Old Style"/>
          <w:sz w:val="28"/>
          <w:szCs w:val="28"/>
        </w:rPr>
        <w:t xml:space="preserve">cts that establish the cause of </w:t>
      </w:r>
      <w:r w:rsidR="00F1563E" w:rsidRPr="002A6D9F">
        <w:rPr>
          <w:rFonts w:ascii="Bookman Old Style" w:hAnsi="Bookman Old Style"/>
          <w:sz w:val="28"/>
          <w:szCs w:val="28"/>
        </w:rPr>
        <w:t>action.</w:t>
      </w:r>
    </w:p>
    <w:p w:rsidR="004B38E8" w:rsidRPr="002A6D9F" w:rsidRDefault="001565E5" w:rsidP="004B38E8">
      <w:pPr>
        <w:spacing w:line="360" w:lineRule="auto"/>
        <w:jc w:val="both"/>
        <w:rPr>
          <w:rFonts w:ascii="Bookman Old Style" w:hAnsi="Bookman Old Style"/>
          <w:sz w:val="28"/>
          <w:szCs w:val="28"/>
        </w:rPr>
      </w:pPr>
      <w:r>
        <w:rPr>
          <w:rFonts w:ascii="Bookman Old Style" w:hAnsi="Bookman Old Style"/>
          <w:sz w:val="28"/>
          <w:szCs w:val="28"/>
        </w:rPr>
        <w:t xml:space="preserve">Relating the above to the instant matter, my perusal of the </w:t>
      </w:r>
      <w:r w:rsidR="00D803B5" w:rsidRPr="002A6D9F">
        <w:rPr>
          <w:rFonts w:ascii="Bookman Old Style" w:hAnsi="Bookman Old Style"/>
          <w:sz w:val="28"/>
          <w:szCs w:val="28"/>
        </w:rPr>
        <w:t xml:space="preserve">share sale agreement annexed to </w:t>
      </w:r>
      <w:r w:rsidR="003C243B" w:rsidRPr="002A6D9F">
        <w:rPr>
          <w:rFonts w:ascii="Bookman Old Style" w:hAnsi="Bookman Old Style"/>
          <w:sz w:val="28"/>
          <w:szCs w:val="28"/>
        </w:rPr>
        <w:t>t</w:t>
      </w:r>
      <w:r w:rsidR="00D803B5" w:rsidRPr="002A6D9F">
        <w:rPr>
          <w:rFonts w:ascii="Bookman Old Style" w:hAnsi="Bookman Old Style"/>
          <w:sz w:val="28"/>
          <w:szCs w:val="28"/>
        </w:rPr>
        <w:t>he Plaint as “A” s</w:t>
      </w:r>
      <w:r>
        <w:rPr>
          <w:rFonts w:ascii="Bookman Old Style" w:hAnsi="Bookman Old Style"/>
          <w:sz w:val="28"/>
          <w:szCs w:val="28"/>
        </w:rPr>
        <w:t>how</w:t>
      </w:r>
      <w:r w:rsidR="00D803B5" w:rsidRPr="002A6D9F">
        <w:rPr>
          <w:rFonts w:ascii="Bookman Old Style" w:hAnsi="Bookman Old Style"/>
          <w:sz w:val="28"/>
          <w:szCs w:val="28"/>
        </w:rPr>
        <w:t xml:space="preserve">s on its cover page that it is an agreement between Greenland Bank Ltd (In Liquidation and </w:t>
      </w:r>
      <w:r w:rsidRPr="002A6D9F">
        <w:rPr>
          <w:rFonts w:ascii="Bookman Old Style" w:hAnsi="Bookman Old Style"/>
          <w:sz w:val="28"/>
          <w:szCs w:val="28"/>
        </w:rPr>
        <w:t>FIBA</w:t>
      </w:r>
      <w:r w:rsidR="00D803B5" w:rsidRPr="002A6D9F">
        <w:rPr>
          <w:rFonts w:ascii="Bookman Old Style" w:hAnsi="Bookman Old Style"/>
          <w:sz w:val="28"/>
          <w:szCs w:val="28"/>
        </w:rPr>
        <w:t xml:space="preserve"> (U) Ltd (In Receivership) and Nicoz (U) Ltd</w:t>
      </w:r>
      <w:r w:rsidR="003C243B" w:rsidRPr="002A6D9F">
        <w:rPr>
          <w:rFonts w:ascii="Bookman Old Style" w:hAnsi="Bookman Old Style"/>
          <w:sz w:val="28"/>
          <w:szCs w:val="28"/>
        </w:rPr>
        <w:t xml:space="preserve"> . However in execution of the said agreement, the </w:t>
      </w:r>
      <w:r>
        <w:rPr>
          <w:rFonts w:ascii="Bookman Old Style" w:hAnsi="Bookman Old Style"/>
          <w:sz w:val="28"/>
          <w:szCs w:val="28"/>
        </w:rPr>
        <w:t xml:space="preserve">Second </w:t>
      </w:r>
      <w:r w:rsidR="003C243B" w:rsidRPr="002A6D9F">
        <w:rPr>
          <w:rFonts w:ascii="Bookman Old Style" w:hAnsi="Bookman Old Style"/>
          <w:sz w:val="28"/>
          <w:szCs w:val="28"/>
        </w:rPr>
        <w:t>Defendant and the Governor of the</w:t>
      </w:r>
      <w:r>
        <w:rPr>
          <w:rFonts w:ascii="Bookman Old Style" w:hAnsi="Bookman Old Style"/>
          <w:sz w:val="28"/>
          <w:szCs w:val="28"/>
        </w:rPr>
        <w:t xml:space="preserve"> First</w:t>
      </w:r>
      <w:r w:rsidR="003C243B" w:rsidRPr="002A6D9F">
        <w:rPr>
          <w:rFonts w:ascii="Bookman Old Style" w:hAnsi="Bookman Old Style"/>
          <w:sz w:val="28"/>
          <w:szCs w:val="28"/>
        </w:rPr>
        <w:t xml:space="preserve"> Defendant signed on behalf of GBL and FIBA.</w:t>
      </w:r>
    </w:p>
    <w:p w:rsidR="00E30284" w:rsidRPr="002A6D9F" w:rsidRDefault="001565E5" w:rsidP="00346083">
      <w:pPr>
        <w:spacing w:line="360" w:lineRule="auto"/>
        <w:jc w:val="both"/>
        <w:rPr>
          <w:rFonts w:ascii="Bookman Old Style" w:hAnsi="Bookman Old Style"/>
          <w:sz w:val="28"/>
          <w:szCs w:val="28"/>
        </w:rPr>
      </w:pPr>
      <w:r>
        <w:rPr>
          <w:rFonts w:ascii="Bookman Old Style" w:hAnsi="Bookman Old Style"/>
          <w:sz w:val="28"/>
          <w:szCs w:val="28"/>
        </w:rPr>
        <w:t xml:space="preserve">It is also true that </w:t>
      </w:r>
      <w:r w:rsidRPr="002A6D9F">
        <w:rPr>
          <w:rFonts w:ascii="Bookman Old Style" w:hAnsi="Bookman Old Style"/>
          <w:sz w:val="28"/>
          <w:szCs w:val="28"/>
        </w:rPr>
        <w:t>the</w:t>
      </w:r>
      <w:r w:rsidR="003C243B" w:rsidRPr="002A6D9F">
        <w:rPr>
          <w:rFonts w:ascii="Bookman Old Style" w:hAnsi="Bookman Old Style"/>
          <w:sz w:val="28"/>
          <w:szCs w:val="28"/>
        </w:rPr>
        <w:t xml:space="preserve"> </w:t>
      </w:r>
      <w:r>
        <w:rPr>
          <w:rFonts w:ascii="Bookman Old Style" w:hAnsi="Bookman Old Style"/>
          <w:sz w:val="28"/>
          <w:szCs w:val="28"/>
        </w:rPr>
        <w:t>First</w:t>
      </w:r>
      <w:r w:rsidRPr="002A6D9F">
        <w:rPr>
          <w:rFonts w:ascii="Bookman Old Style" w:hAnsi="Bookman Old Style"/>
          <w:sz w:val="28"/>
          <w:szCs w:val="28"/>
        </w:rPr>
        <w:t xml:space="preserve"> </w:t>
      </w:r>
      <w:r w:rsidR="003C243B" w:rsidRPr="002A6D9F">
        <w:rPr>
          <w:rFonts w:ascii="Bookman Old Style" w:hAnsi="Bookman Old Style"/>
          <w:sz w:val="28"/>
          <w:szCs w:val="28"/>
        </w:rPr>
        <w:t xml:space="preserve">and </w:t>
      </w:r>
      <w:r>
        <w:rPr>
          <w:rFonts w:ascii="Bookman Old Style" w:hAnsi="Bookman Old Style"/>
          <w:sz w:val="28"/>
          <w:szCs w:val="28"/>
        </w:rPr>
        <w:t xml:space="preserve">Second </w:t>
      </w:r>
      <w:r w:rsidR="003C243B" w:rsidRPr="002A6D9F">
        <w:rPr>
          <w:rFonts w:ascii="Bookman Old Style" w:hAnsi="Bookman Old Style"/>
          <w:sz w:val="28"/>
          <w:szCs w:val="28"/>
        </w:rPr>
        <w:t>Defendants executed the agreement on behalf of GBL and FIBA</w:t>
      </w:r>
      <w:r w:rsidR="00B21C1E" w:rsidRPr="002A6D9F">
        <w:rPr>
          <w:rFonts w:ascii="Bookman Old Style" w:hAnsi="Bookman Old Style"/>
          <w:sz w:val="28"/>
          <w:szCs w:val="28"/>
        </w:rPr>
        <w:t xml:space="preserve">. </w:t>
      </w:r>
    </w:p>
    <w:p w:rsidR="00E30284" w:rsidRPr="002A6D9F" w:rsidRDefault="00E30284" w:rsidP="00E30284">
      <w:pPr>
        <w:spacing w:line="360" w:lineRule="auto"/>
        <w:jc w:val="both"/>
        <w:rPr>
          <w:rFonts w:ascii="Bookman Old Style" w:hAnsi="Bookman Old Style"/>
          <w:sz w:val="28"/>
          <w:szCs w:val="28"/>
        </w:rPr>
      </w:pPr>
      <w:r w:rsidRPr="004E236C">
        <w:rPr>
          <w:rFonts w:ascii="Bookman Old Style" w:hAnsi="Bookman Old Style"/>
          <w:b/>
          <w:sz w:val="28"/>
          <w:szCs w:val="28"/>
        </w:rPr>
        <w:t>Section 31(1)</w:t>
      </w:r>
      <w:r w:rsidRPr="002A6D9F">
        <w:rPr>
          <w:rFonts w:ascii="Bookman Old Style" w:hAnsi="Bookman Old Style"/>
          <w:b/>
          <w:bCs/>
          <w:sz w:val="28"/>
          <w:szCs w:val="28"/>
        </w:rPr>
        <w:t xml:space="preserve"> </w:t>
      </w:r>
      <w:r w:rsidRPr="002A6D9F">
        <w:rPr>
          <w:rFonts w:ascii="Bookman Old Style" w:hAnsi="Bookman Old Style"/>
          <w:bCs/>
          <w:sz w:val="28"/>
          <w:szCs w:val="28"/>
        </w:rPr>
        <w:t xml:space="preserve">of the </w:t>
      </w:r>
      <w:r w:rsidRPr="004E236C">
        <w:rPr>
          <w:rFonts w:ascii="Bookman Old Style" w:hAnsi="Bookman Old Style"/>
          <w:b/>
          <w:bCs/>
          <w:sz w:val="28"/>
          <w:szCs w:val="28"/>
        </w:rPr>
        <w:t>Financial Institutions Act Cap 54</w:t>
      </w:r>
      <w:r w:rsidRPr="002A6D9F">
        <w:rPr>
          <w:rFonts w:ascii="Bookman Old Style" w:hAnsi="Bookman Old Style"/>
          <w:bCs/>
          <w:sz w:val="28"/>
          <w:szCs w:val="28"/>
        </w:rPr>
        <w:t xml:space="preserve"> provides that t</w:t>
      </w:r>
      <w:r w:rsidRPr="002A6D9F">
        <w:rPr>
          <w:rFonts w:ascii="Bookman Old Style" w:hAnsi="Bookman Old Style"/>
          <w:sz w:val="28"/>
          <w:szCs w:val="28"/>
        </w:rPr>
        <w:t>he central bank shall, upon possessing a financial institution</w:t>
      </w:r>
      <w:r w:rsidRPr="002A6D9F">
        <w:rPr>
          <w:rFonts w:ascii="Bookman Old Style" w:hAnsi="Bookman Old Style"/>
          <w:bCs/>
          <w:sz w:val="28"/>
          <w:szCs w:val="28"/>
        </w:rPr>
        <w:t xml:space="preserve"> </w:t>
      </w:r>
      <w:r w:rsidRPr="002A6D9F">
        <w:rPr>
          <w:rFonts w:ascii="Bookman Old Style" w:hAnsi="Bookman Old Style"/>
          <w:sz w:val="28"/>
          <w:szCs w:val="28"/>
        </w:rPr>
        <w:t>under section 30, be vested with exclusive powers of management and</w:t>
      </w:r>
      <w:r w:rsidRPr="002A6D9F">
        <w:rPr>
          <w:rFonts w:ascii="Bookman Old Style" w:hAnsi="Bookman Old Style"/>
          <w:bCs/>
          <w:sz w:val="28"/>
          <w:szCs w:val="28"/>
        </w:rPr>
        <w:t xml:space="preserve"> </w:t>
      </w:r>
      <w:r w:rsidRPr="002A6D9F">
        <w:rPr>
          <w:rFonts w:ascii="Bookman Old Style" w:hAnsi="Bookman Old Style"/>
          <w:sz w:val="28"/>
          <w:szCs w:val="28"/>
        </w:rPr>
        <w:t>control of the affairs of the financial institution.</w:t>
      </w:r>
    </w:p>
    <w:p w:rsidR="00E30284" w:rsidRPr="002A6D9F" w:rsidRDefault="00E30284" w:rsidP="00E30284">
      <w:pPr>
        <w:spacing w:line="360" w:lineRule="auto"/>
        <w:jc w:val="both"/>
        <w:rPr>
          <w:rFonts w:ascii="Bookman Old Style" w:hAnsi="Bookman Old Style"/>
          <w:sz w:val="28"/>
          <w:szCs w:val="28"/>
        </w:rPr>
      </w:pPr>
      <w:r w:rsidRPr="002A6D9F">
        <w:rPr>
          <w:rFonts w:ascii="Bookman Old Style" w:hAnsi="Bookman Old Style"/>
          <w:sz w:val="28"/>
          <w:szCs w:val="28"/>
        </w:rPr>
        <w:lastRenderedPageBreak/>
        <w:t xml:space="preserve">Further </w:t>
      </w:r>
      <w:r w:rsidRPr="004E236C">
        <w:rPr>
          <w:rFonts w:ascii="Bookman Old Style" w:hAnsi="Bookman Old Style"/>
          <w:b/>
          <w:sz w:val="28"/>
          <w:szCs w:val="28"/>
        </w:rPr>
        <w:t>Section 31(2) (d)</w:t>
      </w:r>
      <w:r w:rsidRPr="002A6D9F">
        <w:rPr>
          <w:rFonts w:ascii="Bookman Old Style" w:hAnsi="Bookman Old Style"/>
          <w:sz w:val="28"/>
          <w:szCs w:val="28"/>
        </w:rPr>
        <w:t xml:space="preserve"> of the same Act provides that the Central Bank shall have power to execute any instrument in the name of the financial institution which </w:t>
      </w:r>
      <w:r w:rsidR="004E236C">
        <w:rPr>
          <w:rFonts w:ascii="Bookman Old Style" w:hAnsi="Bookman Old Style"/>
          <w:sz w:val="28"/>
          <w:szCs w:val="28"/>
        </w:rPr>
        <w:t xml:space="preserve">I find </w:t>
      </w:r>
      <w:r w:rsidRPr="002A6D9F">
        <w:rPr>
          <w:rFonts w:ascii="Bookman Old Style" w:hAnsi="Bookman Old Style"/>
          <w:sz w:val="28"/>
          <w:szCs w:val="28"/>
        </w:rPr>
        <w:t xml:space="preserve">is what the </w:t>
      </w:r>
      <w:r w:rsidR="004E236C">
        <w:rPr>
          <w:rFonts w:ascii="Bookman Old Style" w:hAnsi="Bookman Old Style"/>
          <w:sz w:val="28"/>
          <w:szCs w:val="28"/>
        </w:rPr>
        <w:t>First</w:t>
      </w:r>
      <w:r w:rsidRPr="002A6D9F">
        <w:rPr>
          <w:rFonts w:ascii="Bookman Old Style" w:hAnsi="Bookman Old Style"/>
          <w:sz w:val="28"/>
          <w:szCs w:val="28"/>
        </w:rPr>
        <w:t xml:space="preserve"> Defendant did in the instant case with the share sale agreement that the Plaintiff seeks to rely on.</w:t>
      </w:r>
    </w:p>
    <w:p w:rsidR="00E30284" w:rsidRPr="002A6D9F" w:rsidRDefault="004E236C" w:rsidP="00E30284">
      <w:pPr>
        <w:spacing w:line="360" w:lineRule="auto"/>
        <w:jc w:val="both"/>
        <w:rPr>
          <w:rFonts w:ascii="Bookman Old Style" w:hAnsi="Bookman Old Style"/>
          <w:sz w:val="28"/>
          <w:szCs w:val="28"/>
        </w:rPr>
      </w:pPr>
      <w:r>
        <w:rPr>
          <w:rFonts w:ascii="Bookman Old Style" w:hAnsi="Bookman Old Style"/>
          <w:sz w:val="28"/>
          <w:szCs w:val="28"/>
        </w:rPr>
        <w:t xml:space="preserve">A look at </w:t>
      </w:r>
      <w:r w:rsidR="00E30284" w:rsidRPr="004E236C">
        <w:rPr>
          <w:rFonts w:ascii="Bookman Old Style" w:hAnsi="Bookman Old Style"/>
          <w:b/>
          <w:sz w:val="28"/>
          <w:szCs w:val="28"/>
        </w:rPr>
        <w:t>Section 48</w:t>
      </w:r>
      <w:r w:rsidR="00E30284" w:rsidRPr="002A6D9F">
        <w:rPr>
          <w:rFonts w:ascii="Bookman Old Style" w:hAnsi="Bookman Old Style"/>
          <w:sz w:val="28"/>
          <w:szCs w:val="28"/>
        </w:rPr>
        <w:t xml:space="preserve"> o</w:t>
      </w:r>
      <w:r w:rsidR="00276124" w:rsidRPr="002A6D9F">
        <w:rPr>
          <w:rFonts w:ascii="Bookman Old Style" w:hAnsi="Bookman Old Style"/>
          <w:sz w:val="28"/>
          <w:szCs w:val="28"/>
        </w:rPr>
        <w:t>f</w:t>
      </w:r>
      <w:r w:rsidR="00E30284" w:rsidRPr="002A6D9F">
        <w:rPr>
          <w:rFonts w:ascii="Bookman Old Style" w:hAnsi="Bookman Old Style"/>
          <w:sz w:val="28"/>
          <w:szCs w:val="28"/>
        </w:rPr>
        <w:t xml:space="preserve"> the </w:t>
      </w:r>
      <w:r>
        <w:rPr>
          <w:rFonts w:ascii="Bookman Old Style" w:hAnsi="Bookman Old Style"/>
          <w:sz w:val="28"/>
          <w:szCs w:val="28"/>
        </w:rPr>
        <w:t xml:space="preserve">aforesaid </w:t>
      </w:r>
      <w:r w:rsidR="00E30284" w:rsidRPr="002A6D9F">
        <w:rPr>
          <w:rFonts w:ascii="Bookman Old Style" w:hAnsi="Bookman Old Style"/>
          <w:sz w:val="28"/>
          <w:szCs w:val="28"/>
        </w:rPr>
        <w:t xml:space="preserve">Act </w:t>
      </w:r>
      <w:r>
        <w:rPr>
          <w:rFonts w:ascii="Bookman Old Style" w:hAnsi="Bookman Old Style"/>
          <w:sz w:val="28"/>
          <w:szCs w:val="28"/>
        </w:rPr>
        <w:t xml:space="preserve">however </w:t>
      </w:r>
      <w:r w:rsidR="00E30284" w:rsidRPr="002A6D9F">
        <w:rPr>
          <w:rFonts w:ascii="Bookman Old Style" w:hAnsi="Bookman Old Style"/>
          <w:sz w:val="28"/>
          <w:szCs w:val="28"/>
        </w:rPr>
        <w:t>protects the Central Bank from legal proceedings for anything done or is intended to be done in good faith pursuant to the provisions of th</w:t>
      </w:r>
      <w:r w:rsidR="0043698C">
        <w:rPr>
          <w:rFonts w:ascii="Bookman Old Style" w:hAnsi="Bookman Old Style"/>
          <w:sz w:val="28"/>
          <w:szCs w:val="28"/>
        </w:rPr>
        <w:t>e</w:t>
      </w:r>
      <w:r w:rsidR="00E30284" w:rsidRPr="002A6D9F">
        <w:rPr>
          <w:rFonts w:ascii="Bookman Old Style" w:hAnsi="Bookman Old Style"/>
          <w:sz w:val="28"/>
          <w:szCs w:val="28"/>
        </w:rPr>
        <w:t xml:space="preserve"> Act. </w:t>
      </w:r>
      <w:r w:rsidR="00276124" w:rsidRPr="002A6D9F">
        <w:rPr>
          <w:rFonts w:ascii="Bookman Old Style" w:hAnsi="Bookman Old Style"/>
          <w:sz w:val="28"/>
          <w:szCs w:val="28"/>
        </w:rPr>
        <w:t xml:space="preserve"> </w:t>
      </w:r>
    </w:p>
    <w:p w:rsidR="0043698C" w:rsidRDefault="00276124" w:rsidP="00E30284">
      <w:pPr>
        <w:spacing w:line="360" w:lineRule="auto"/>
        <w:jc w:val="both"/>
        <w:rPr>
          <w:rFonts w:ascii="Bookman Old Style" w:hAnsi="Bookman Old Style"/>
          <w:sz w:val="28"/>
          <w:szCs w:val="28"/>
        </w:rPr>
      </w:pPr>
      <w:r w:rsidRPr="002A6D9F">
        <w:rPr>
          <w:rFonts w:ascii="Bookman Old Style" w:hAnsi="Bookman Old Style"/>
          <w:sz w:val="28"/>
          <w:szCs w:val="28"/>
        </w:rPr>
        <w:t>For the above reasons</w:t>
      </w:r>
      <w:r w:rsidR="0043698C" w:rsidRPr="002A6D9F">
        <w:rPr>
          <w:rFonts w:ascii="Bookman Old Style" w:hAnsi="Bookman Old Style"/>
          <w:sz w:val="28"/>
          <w:szCs w:val="28"/>
        </w:rPr>
        <w:t>, I</w:t>
      </w:r>
      <w:r w:rsidRPr="002A6D9F">
        <w:rPr>
          <w:rFonts w:ascii="Bookman Old Style" w:hAnsi="Bookman Old Style"/>
          <w:sz w:val="28"/>
          <w:szCs w:val="28"/>
        </w:rPr>
        <w:t xml:space="preserve"> </w:t>
      </w:r>
      <w:r w:rsidR="0043698C">
        <w:rPr>
          <w:rFonts w:ascii="Bookman Old Style" w:hAnsi="Bookman Old Style"/>
          <w:sz w:val="28"/>
          <w:szCs w:val="28"/>
        </w:rPr>
        <w:t xml:space="preserve">inclined </w:t>
      </w:r>
      <w:r w:rsidRPr="002A6D9F">
        <w:rPr>
          <w:rFonts w:ascii="Bookman Old Style" w:hAnsi="Bookman Old Style"/>
          <w:sz w:val="28"/>
          <w:szCs w:val="28"/>
        </w:rPr>
        <w:t xml:space="preserve">agree with Mr. Kanyerezi </w:t>
      </w:r>
      <w:r w:rsidR="0043698C" w:rsidRPr="002A6D9F">
        <w:rPr>
          <w:rFonts w:ascii="Bookman Old Style" w:hAnsi="Bookman Old Style"/>
          <w:sz w:val="28"/>
          <w:szCs w:val="28"/>
        </w:rPr>
        <w:t>that when</w:t>
      </w:r>
      <w:r w:rsidR="0043698C">
        <w:rPr>
          <w:rFonts w:ascii="Bookman Old Style" w:hAnsi="Bookman Old Style"/>
          <w:sz w:val="28"/>
          <w:szCs w:val="28"/>
        </w:rPr>
        <w:t xml:space="preserve"> the provisions of the law above is read closely, it would appear to me that </w:t>
      </w:r>
      <w:r w:rsidRPr="002A6D9F">
        <w:rPr>
          <w:rFonts w:ascii="Bookman Old Style" w:hAnsi="Bookman Old Style"/>
          <w:sz w:val="28"/>
          <w:szCs w:val="28"/>
        </w:rPr>
        <w:t xml:space="preserve">the Defendants </w:t>
      </w:r>
      <w:r w:rsidR="0043698C">
        <w:rPr>
          <w:rFonts w:ascii="Bookman Old Style" w:hAnsi="Bookman Old Style"/>
          <w:sz w:val="28"/>
          <w:szCs w:val="28"/>
        </w:rPr>
        <w:t xml:space="preserve">could not said to be </w:t>
      </w:r>
      <w:r w:rsidRPr="002A6D9F">
        <w:rPr>
          <w:rFonts w:ascii="Bookman Old Style" w:hAnsi="Bookman Old Style"/>
          <w:sz w:val="28"/>
          <w:szCs w:val="28"/>
        </w:rPr>
        <w:t>part</w:t>
      </w:r>
      <w:r w:rsidR="0043698C">
        <w:rPr>
          <w:rFonts w:ascii="Bookman Old Style" w:hAnsi="Bookman Old Style"/>
          <w:sz w:val="28"/>
          <w:szCs w:val="28"/>
        </w:rPr>
        <w:t>ies</w:t>
      </w:r>
      <w:r w:rsidRPr="002A6D9F">
        <w:rPr>
          <w:rFonts w:ascii="Bookman Old Style" w:hAnsi="Bookman Old Style"/>
          <w:sz w:val="28"/>
          <w:szCs w:val="28"/>
        </w:rPr>
        <w:t xml:space="preserve"> to the Agreement on which the </w:t>
      </w:r>
      <w:r w:rsidR="0043698C">
        <w:rPr>
          <w:rFonts w:ascii="Bookman Old Style" w:hAnsi="Bookman Old Style"/>
          <w:sz w:val="28"/>
          <w:szCs w:val="28"/>
        </w:rPr>
        <w:t xml:space="preserve">instant </w:t>
      </w:r>
      <w:r w:rsidRPr="002A6D9F">
        <w:rPr>
          <w:rFonts w:ascii="Bookman Old Style" w:hAnsi="Bookman Old Style"/>
          <w:sz w:val="28"/>
          <w:szCs w:val="28"/>
        </w:rPr>
        <w:t>claim is based a</w:t>
      </w:r>
      <w:r w:rsidR="0043698C">
        <w:rPr>
          <w:rFonts w:ascii="Bookman Old Style" w:hAnsi="Bookman Old Style"/>
          <w:sz w:val="28"/>
          <w:szCs w:val="28"/>
        </w:rPr>
        <w:t xml:space="preserve">s </w:t>
      </w:r>
      <w:r w:rsidRPr="002A6D9F">
        <w:rPr>
          <w:rFonts w:ascii="Bookman Old Style" w:hAnsi="Bookman Old Style"/>
          <w:sz w:val="28"/>
          <w:szCs w:val="28"/>
        </w:rPr>
        <w:t>the</w:t>
      </w:r>
      <w:r w:rsidR="0043698C">
        <w:rPr>
          <w:rFonts w:ascii="Bookman Old Style" w:hAnsi="Bookman Old Style"/>
          <w:sz w:val="28"/>
          <w:szCs w:val="28"/>
        </w:rPr>
        <w:t>y seemed to be executing statutory duties not related to the legal personae of the parties they executed the said agreement but for the</w:t>
      </w:r>
      <w:r w:rsidRPr="002A6D9F">
        <w:rPr>
          <w:rFonts w:ascii="Bookman Old Style" w:hAnsi="Bookman Old Style"/>
          <w:sz w:val="28"/>
          <w:szCs w:val="28"/>
        </w:rPr>
        <w:t xml:space="preserve"> </w:t>
      </w:r>
      <w:r w:rsidR="0043698C">
        <w:rPr>
          <w:rFonts w:ascii="Bookman Old Style" w:hAnsi="Bookman Old Style"/>
          <w:sz w:val="28"/>
          <w:szCs w:val="28"/>
        </w:rPr>
        <w:t xml:space="preserve">parties mentioned. Hence I would seem to believe that the </w:t>
      </w:r>
      <w:r w:rsidRPr="002A6D9F">
        <w:rPr>
          <w:rFonts w:ascii="Bookman Old Style" w:hAnsi="Bookman Old Style"/>
          <w:sz w:val="28"/>
          <w:szCs w:val="28"/>
        </w:rPr>
        <w:t xml:space="preserve">proper parties to </w:t>
      </w:r>
      <w:r w:rsidR="0043698C">
        <w:rPr>
          <w:rFonts w:ascii="Bookman Old Style" w:hAnsi="Bookman Old Style"/>
          <w:sz w:val="28"/>
          <w:szCs w:val="28"/>
        </w:rPr>
        <w:t xml:space="preserve">be </w:t>
      </w:r>
      <w:r w:rsidR="0043698C" w:rsidRPr="002A6D9F">
        <w:rPr>
          <w:rFonts w:ascii="Bookman Old Style" w:hAnsi="Bookman Old Style"/>
          <w:sz w:val="28"/>
          <w:szCs w:val="28"/>
        </w:rPr>
        <w:t>sue</w:t>
      </w:r>
      <w:r w:rsidR="0043698C">
        <w:rPr>
          <w:rFonts w:ascii="Bookman Old Style" w:hAnsi="Bookman Old Style"/>
          <w:sz w:val="28"/>
          <w:szCs w:val="28"/>
        </w:rPr>
        <w:t>d</w:t>
      </w:r>
      <w:r w:rsidR="0043698C" w:rsidRPr="002A6D9F">
        <w:rPr>
          <w:rFonts w:ascii="Bookman Old Style" w:hAnsi="Bookman Old Style"/>
          <w:sz w:val="28"/>
          <w:szCs w:val="28"/>
        </w:rPr>
        <w:t xml:space="preserve"> </w:t>
      </w:r>
      <w:r w:rsidR="0043698C">
        <w:rPr>
          <w:rFonts w:ascii="Bookman Old Style" w:hAnsi="Bookman Old Style"/>
          <w:sz w:val="28"/>
          <w:szCs w:val="28"/>
        </w:rPr>
        <w:t xml:space="preserve">would be </w:t>
      </w:r>
      <w:r w:rsidRPr="002A6D9F">
        <w:rPr>
          <w:rFonts w:ascii="Bookman Old Style" w:hAnsi="Bookman Old Style"/>
          <w:sz w:val="28"/>
          <w:szCs w:val="28"/>
        </w:rPr>
        <w:t>Greenland Bank (in liquidation) and F</w:t>
      </w:r>
      <w:r w:rsidR="0043698C">
        <w:rPr>
          <w:rFonts w:ascii="Bookman Old Style" w:hAnsi="Bookman Old Style"/>
          <w:sz w:val="28"/>
          <w:szCs w:val="28"/>
        </w:rPr>
        <w:t>IBA (U</w:t>
      </w:r>
      <w:r w:rsidRPr="002A6D9F">
        <w:rPr>
          <w:rFonts w:ascii="Bookman Old Style" w:hAnsi="Bookman Old Style"/>
          <w:sz w:val="28"/>
          <w:szCs w:val="28"/>
        </w:rPr>
        <w:t>) Ltd (in receivership)</w:t>
      </w:r>
      <w:r w:rsidR="0043698C">
        <w:rPr>
          <w:rFonts w:ascii="Bookman Old Style" w:hAnsi="Bookman Old Style"/>
          <w:sz w:val="28"/>
          <w:szCs w:val="28"/>
        </w:rPr>
        <w:t xml:space="preserve"> as they are distinct legal entities</w:t>
      </w:r>
      <w:r w:rsidRPr="002A6D9F">
        <w:rPr>
          <w:rFonts w:ascii="Bookman Old Style" w:hAnsi="Bookman Old Style"/>
          <w:sz w:val="28"/>
          <w:szCs w:val="28"/>
        </w:rPr>
        <w:t>.</w:t>
      </w:r>
    </w:p>
    <w:p w:rsidR="00276124" w:rsidRPr="002A6D9F" w:rsidRDefault="00276124" w:rsidP="00E30284">
      <w:pPr>
        <w:spacing w:line="360" w:lineRule="auto"/>
        <w:jc w:val="both"/>
        <w:rPr>
          <w:rFonts w:ascii="Bookman Old Style" w:hAnsi="Bookman Old Style"/>
          <w:sz w:val="28"/>
          <w:szCs w:val="28"/>
        </w:rPr>
      </w:pPr>
      <w:r w:rsidRPr="002A6D9F">
        <w:rPr>
          <w:rFonts w:ascii="Bookman Old Style" w:hAnsi="Bookman Old Style"/>
          <w:sz w:val="28"/>
          <w:szCs w:val="28"/>
        </w:rPr>
        <w:t xml:space="preserve">I </w:t>
      </w:r>
      <w:r w:rsidR="0043698C">
        <w:rPr>
          <w:rFonts w:ascii="Bookman Old Style" w:hAnsi="Bookman Old Style"/>
          <w:sz w:val="28"/>
          <w:szCs w:val="28"/>
        </w:rPr>
        <w:t xml:space="preserve">inclined to believe that this is the correct position based on the </w:t>
      </w:r>
      <w:r w:rsidRPr="002A6D9F">
        <w:rPr>
          <w:rFonts w:ascii="Bookman Old Style" w:hAnsi="Bookman Old Style"/>
          <w:sz w:val="28"/>
          <w:szCs w:val="28"/>
        </w:rPr>
        <w:t xml:space="preserve"> in</w:t>
      </w:r>
      <w:r w:rsidR="0043698C">
        <w:rPr>
          <w:rFonts w:ascii="Bookman Old Style" w:hAnsi="Bookman Old Style"/>
          <w:sz w:val="28"/>
          <w:szCs w:val="28"/>
        </w:rPr>
        <w:t xml:space="preserve"> decisions in </w:t>
      </w:r>
      <w:r w:rsidRPr="0043698C">
        <w:rPr>
          <w:rFonts w:ascii="Bookman Old Style" w:hAnsi="Bookman Old Style"/>
          <w:b/>
          <w:sz w:val="28"/>
          <w:szCs w:val="28"/>
        </w:rPr>
        <w:t>Robert Mwesigwa &amp; An</w:t>
      </w:r>
      <w:r w:rsidR="0043698C">
        <w:rPr>
          <w:rFonts w:ascii="Bookman Old Style" w:hAnsi="Bookman Old Style"/>
          <w:b/>
          <w:sz w:val="28"/>
          <w:szCs w:val="28"/>
        </w:rPr>
        <w:t>other versus</w:t>
      </w:r>
      <w:r w:rsidRPr="0043698C">
        <w:rPr>
          <w:rFonts w:ascii="Bookman Old Style" w:hAnsi="Bookman Old Style"/>
          <w:b/>
          <w:sz w:val="28"/>
          <w:szCs w:val="28"/>
        </w:rPr>
        <w:t xml:space="preserve"> Bank of Uganda HCCS 588/2003</w:t>
      </w:r>
      <w:r w:rsidR="0043698C">
        <w:rPr>
          <w:rFonts w:ascii="Bookman Old Style" w:hAnsi="Bookman Old Style"/>
          <w:b/>
          <w:sz w:val="28"/>
          <w:szCs w:val="28"/>
        </w:rPr>
        <w:t xml:space="preserve"> and Ngamita Pe</w:t>
      </w:r>
      <w:r w:rsidRPr="0043698C">
        <w:rPr>
          <w:rFonts w:ascii="Bookman Old Style" w:hAnsi="Bookman Old Style"/>
          <w:b/>
          <w:sz w:val="28"/>
          <w:szCs w:val="28"/>
        </w:rPr>
        <w:t>roza &amp; O</w:t>
      </w:r>
      <w:r w:rsidR="0043698C">
        <w:rPr>
          <w:rFonts w:ascii="Bookman Old Style" w:hAnsi="Bookman Old Style"/>
          <w:b/>
          <w:sz w:val="28"/>
          <w:szCs w:val="28"/>
        </w:rPr>
        <w:t>thers versus</w:t>
      </w:r>
      <w:r w:rsidRPr="0043698C">
        <w:rPr>
          <w:rFonts w:ascii="Bookman Old Style" w:hAnsi="Bookman Old Style"/>
          <w:b/>
          <w:sz w:val="28"/>
          <w:szCs w:val="28"/>
        </w:rPr>
        <w:t xml:space="preserve"> Bank of Uganda The Liquidator of The Co-operative Bank Ltd HCMA 695/2002</w:t>
      </w:r>
      <w:r w:rsidR="0043698C">
        <w:rPr>
          <w:rFonts w:ascii="Bookman Old Style" w:hAnsi="Bookman Old Style"/>
          <w:b/>
          <w:sz w:val="28"/>
          <w:szCs w:val="28"/>
        </w:rPr>
        <w:t>.</w:t>
      </w:r>
    </w:p>
    <w:p w:rsidR="005F14C2" w:rsidRPr="002A6D9F" w:rsidRDefault="0043698C" w:rsidP="005F14C2">
      <w:pPr>
        <w:spacing w:line="360" w:lineRule="auto"/>
        <w:jc w:val="both"/>
        <w:rPr>
          <w:rFonts w:ascii="Bookman Old Style" w:hAnsi="Bookman Old Style"/>
          <w:sz w:val="28"/>
          <w:szCs w:val="28"/>
        </w:rPr>
      </w:pPr>
      <w:r>
        <w:rPr>
          <w:rFonts w:ascii="Bookman Old Style" w:hAnsi="Bookman Old Style"/>
          <w:bCs/>
          <w:sz w:val="28"/>
          <w:szCs w:val="28"/>
        </w:rPr>
        <w:lastRenderedPageBreak/>
        <w:t xml:space="preserve">In conclusion, I would be inclined to believe the submission of counsel Kanyerezi and </w:t>
      </w:r>
      <w:r w:rsidR="005F14C2" w:rsidRPr="002A6D9F">
        <w:rPr>
          <w:rFonts w:ascii="Bookman Old Style" w:hAnsi="Bookman Old Style"/>
          <w:sz w:val="28"/>
          <w:szCs w:val="28"/>
        </w:rPr>
        <w:t>I</w:t>
      </w:r>
      <w:r w:rsidR="005F14C2">
        <w:rPr>
          <w:rFonts w:ascii="Bookman Old Style" w:hAnsi="Bookman Old Style"/>
          <w:sz w:val="28"/>
          <w:szCs w:val="28"/>
        </w:rPr>
        <w:t xml:space="preserve"> would </w:t>
      </w:r>
      <w:r w:rsidR="005F14C2" w:rsidRPr="002A6D9F">
        <w:rPr>
          <w:rFonts w:ascii="Bookman Old Style" w:hAnsi="Bookman Old Style"/>
          <w:sz w:val="28"/>
          <w:szCs w:val="28"/>
        </w:rPr>
        <w:t xml:space="preserve">uphold the preliminary objection.  </w:t>
      </w:r>
    </w:p>
    <w:p w:rsidR="00346083" w:rsidRDefault="005F14C2" w:rsidP="00276124">
      <w:pPr>
        <w:spacing w:line="360" w:lineRule="auto"/>
        <w:jc w:val="both"/>
        <w:rPr>
          <w:rFonts w:ascii="Bookman Old Style" w:hAnsi="Bookman Old Style"/>
          <w:sz w:val="28"/>
          <w:szCs w:val="28"/>
        </w:rPr>
      </w:pPr>
      <w:r>
        <w:rPr>
          <w:rFonts w:ascii="Bookman Old Style" w:hAnsi="Bookman Old Style"/>
          <w:bCs/>
          <w:sz w:val="28"/>
          <w:szCs w:val="28"/>
        </w:rPr>
        <w:t>Having made that</w:t>
      </w:r>
      <w:r w:rsidR="0043698C">
        <w:rPr>
          <w:rFonts w:ascii="Bookman Old Style" w:hAnsi="Bookman Old Style"/>
          <w:bCs/>
          <w:sz w:val="28"/>
          <w:szCs w:val="28"/>
        </w:rPr>
        <w:t xml:space="preserve"> </w:t>
      </w:r>
      <w:r>
        <w:rPr>
          <w:rFonts w:ascii="Bookman Old Style" w:hAnsi="Bookman Old Style"/>
          <w:bCs/>
          <w:sz w:val="28"/>
          <w:szCs w:val="28"/>
        </w:rPr>
        <w:t>hol</w:t>
      </w:r>
      <w:r w:rsidR="0043698C">
        <w:rPr>
          <w:rFonts w:ascii="Bookman Old Style" w:hAnsi="Bookman Old Style"/>
          <w:bCs/>
          <w:sz w:val="28"/>
          <w:szCs w:val="28"/>
        </w:rPr>
        <w:t>ding</w:t>
      </w:r>
      <w:r>
        <w:rPr>
          <w:rFonts w:ascii="Bookman Old Style" w:hAnsi="Bookman Old Style"/>
          <w:bCs/>
          <w:sz w:val="28"/>
          <w:szCs w:val="28"/>
        </w:rPr>
        <w:t>, then</w:t>
      </w:r>
      <w:r w:rsidR="0043698C">
        <w:rPr>
          <w:rFonts w:ascii="Bookman Old Style" w:hAnsi="Bookman Old Style"/>
          <w:bCs/>
          <w:sz w:val="28"/>
          <w:szCs w:val="28"/>
        </w:rPr>
        <w:t xml:space="preserve"> </w:t>
      </w:r>
      <w:r>
        <w:rPr>
          <w:rFonts w:ascii="Bookman Old Style" w:hAnsi="Bookman Old Style"/>
          <w:bCs/>
          <w:sz w:val="28"/>
          <w:szCs w:val="28"/>
        </w:rPr>
        <w:t xml:space="preserve">I would make a finding </w:t>
      </w:r>
      <w:r w:rsidR="0043698C">
        <w:rPr>
          <w:rFonts w:ascii="Bookman Old Style" w:hAnsi="Bookman Old Style"/>
          <w:bCs/>
          <w:sz w:val="28"/>
          <w:szCs w:val="28"/>
        </w:rPr>
        <w:t xml:space="preserve">that </w:t>
      </w:r>
      <w:r w:rsidR="00276124" w:rsidRPr="002A6D9F">
        <w:rPr>
          <w:rFonts w:ascii="Bookman Old Style" w:hAnsi="Bookman Old Style"/>
          <w:bCs/>
          <w:sz w:val="28"/>
          <w:szCs w:val="28"/>
        </w:rPr>
        <w:t xml:space="preserve">the Plaint </w:t>
      </w:r>
      <w:r>
        <w:rPr>
          <w:rFonts w:ascii="Bookman Old Style" w:hAnsi="Bookman Old Style"/>
          <w:bCs/>
          <w:sz w:val="28"/>
          <w:szCs w:val="28"/>
        </w:rPr>
        <w:t xml:space="preserve">as it is before me </w:t>
      </w:r>
      <w:r w:rsidR="00276124" w:rsidRPr="002A6D9F">
        <w:rPr>
          <w:rFonts w:ascii="Bookman Old Style" w:hAnsi="Bookman Old Style"/>
          <w:bCs/>
          <w:sz w:val="28"/>
          <w:szCs w:val="28"/>
        </w:rPr>
        <w:t xml:space="preserve">does not disclose a cause of action </w:t>
      </w:r>
      <w:r>
        <w:rPr>
          <w:rFonts w:ascii="Bookman Old Style" w:hAnsi="Bookman Old Style"/>
          <w:bCs/>
          <w:sz w:val="28"/>
          <w:szCs w:val="28"/>
        </w:rPr>
        <w:t xml:space="preserve">as </w:t>
      </w:r>
      <w:r w:rsidR="00276124" w:rsidRPr="002A6D9F">
        <w:rPr>
          <w:rFonts w:ascii="Bookman Old Style" w:hAnsi="Bookman Old Style"/>
          <w:bCs/>
          <w:sz w:val="28"/>
          <w:szCs w:val="28"/>
        </w:rPr>
        <w:t xml:space="preserve">against the </w:t>
      </w:r>
      <w:r>
        <w:rPr>
          <w:rFonts w:ascii="Bookman Old Style" w:hAnsi="Bookman Old Style"/>
          <w:bCs/>
          <w:sz w:val="28"/>
          <w:szCs w:val="28"/>
        </w:rPr>
        <w:t xml:space="preserve">instant </w:t>
      </w:r>
      <w:r w:rsidR="00276124" w:rsidRPr="002A6D9F">
        <w:rPr>
          <w:rFonts w:ascii="Bookman Old Style" w:hAnsi="Bookman Old Style"/>
          <w:bCs/>
          <w:sz w:val="28"/>
          <w:szCs w:val="28"/>
        </w:rPr>
        <w:t>Defendants</w:t>
      </w:r>
      <w:r>
        <w:rPr>
          <w:rFonts w:ascii="Bookman Old Style" w:hAnsi="Bookman Old Style"/>
          <w:bCs/>
          <w:sz w:val="28"/>
          <w:szCs w:val="28"/>
        </w:rPr>
        <w:t xml:space="preserve"> which would inevitably lead to the</w:t>
      </w:r>
      <w:r w:rsidR="00276124" w:rsidRPr="002A6D9F">
        <w:rPr>
          <w:rFonts w:ascii="Bookman Old Style" w:hAnsi="Bookman Old Style"/>
          <w:bCs/>
          <w:sz w:val="28"/>
          <w:szCs w:val="28"/>
        </w:rPr>
        <w:t xml:space="preserve"> </w:t>
      </w:r>
      <w:r>
        <w:rPr>
          <w:rFonts w:ascii="Bookman Old Style" w:hAnsi="Bookman Old Style"/>
          <w:bCs/>
          <w:sz w:val="28"/>
          <w:szCs w:val="28"/>
        </w:rPr>
        <w:t>dismissal of the instant suit</w:t>
      </w:r>
      <w:r w:rsidR="00276124" w:rsidRPr="002A6D9F">
        <w:rPr>
          <w:rFonts w:ascii="Bookman Old Style" w:hAnsi="Bookman Old Style"/>
          <w:bCs/>
          <w:sz w:val="28"/>
          <w:szCs w:val="28"/>
        </w:rPr>
        <w:t xml:space="preserve"> with costs to the Defendants.</w:t>
      </w:r>
      <w:r w:rsidR="00276124" w:rsidRPr="002A6D9F">
        <w:rPr>
          <w:rFonts w:ascii="Bookman Old Style" w:hAnsi="Bookman Old Style"/>
          <w:sz w:val="28"/>
          <w:szCs w:val="28"/>
        </w:rPr>
        <w:t xml:space="preserve"> </w:t>
      </w:r>
    </w:p>
    <w:p w:rsidR="00F47D46" w:rsidRPr="00F47D46" w:rsidRDefault="00F47D46" w:rsidP="00276124">
      <w:pPr>
        <w:spacing w:line="360" w:lineRule="auto"/>
        <w:jc w:val="both"/>
        <w:rPr>
          <w:rFonts w:ascii="Bookman Old Style" w:hAnsi="Bookman Old Style"/>
          <w:b/>
          <w:sz w:val="28"/>
          <w:szCs w:val="28"/>
        </w:rPr>
      </w:pPr>
      <w:r w:rsidRPr="00F47D46">
        <w:rPr>
          <w:rFonts w:ascii="Bookman Old Style" w:hAnsi="Bookman Old Style"/>
          <w:b/>
          <w:sz w:val="28"/>
          <w:szCs w:val="28"/>
        </w:rPr>
        <w:t>Orders</w:t>
      </w:r>
    </w:p>
    <w:p w:rsidR="00F47D46" w:rsidRDefault="00F47D46" w:rsidP="00276124">
      <w:pPr>
        <w:spacing w:line="360" w:lineRule="auto"/>
        <w:jc w:val="both"/>
        <w:rPr>
          <w:rFonts w:ascii="Bookman Old Style" w:hAnsi="Bookman Old Style"/>
          <w:sz w:val="28"/>
          <w:szCs w:val="28"/>
        </w:rPr>
      </w:pPr>
      <w:r>
        <w:rPr>
          <w:rFonts w:ascii="Bookman Old Style" w:hAnsi="Bookman Old Style"/>
          <w:sz w:val="28"/>
          <w:szCs w:val="28"/>
        </w:rPr>
        <w:t>I do order at Kampala, this 9</w:t>
      </w:r>
      <w:r w:rsidRPr="00F47D46">
        <w:rPr>
          <w:rFonts w:ascii="Bookman Old Style" w:hAnsi="Bookman Old Style"/>
          <w:sz w:val="28"/>
          <w:szCs w:val="28"/>
          <w:vertAlign w:val="superscript"/>
        </w:rPr>
        <w:t>th</w:t>
      </w:r>
      <w:r>
        <w:rPr>
          <w:rFonts w:ascii="Bookman Old Style" w:hAnsi="Bookman Old Style"/>
          <w:sz w:val="28"/>
          <w:szCs w:val="28"/>
        </w:rPr>
        <w:t xml:space="preserve"> day of May 2014, the dismissal of the suit with costs.</w:t>
      </w:r>
    </w:p>
    <w:p w:rsidR="00F47D46" w:rsidRDefault="00F47D46" w:rsidP="00276124">
      <w:pPr>
        <w:spacing w:line="360" w:lineRule="auto"/>
        <w:jc w:val="both"/>
        <w:rPr>
          <w:rFonts w:ascii="Bookman Old Style" w:hAnsi="Bookman Old Style"/>
          <w:sz w:val="28"/>
          <w:szCs w:val="28"/>
        </w:rPr>
      </w:pPr>
    </w:p>
    <w:p w:rsidR="00F47D46" w:rsidRDefault="00F47D46" w:rsidP="00276124">
      <w:pPr>
        <w:spacing w:line="360" w:lineRule="auto"/>
        <w:jc w:val="both"/>
        <w:rPr>
          <w:rFonts w:ascii="Bookman Old Style" w:hAnsi="Bookman Old Style"/>
          <w:sz w:val="28"/>
          <w:szCs w:val="28"/>
        </w:rPr>
      </w:pPr>
    </w:p>
    <w:p w:rsidR="00F47D46" w:rsidRDefault="00F47D46" w:rsidP="00F47D46">
      <w:pPr>
        <w:spacing w:line="360" w:lineRule="auto"/>
        <w:jc w:val="center"/>
        <w:rPr>
          <w:rFonts w:ascii="Bookman Old Style" w:hAnsi="Bookman Old Style"/>
          <w:b/>
          <w:sz w:val="28"/>
          <w:szCs w:val="28"/>
        </w:rPr>
      </w:pPr>
      <w:r w:rsidRPr="00F47D46">
        <w:rPr>
          <w:rFonts w:ascii="Bookman Old Style" w:hAnsi="Bookman Old Style"/>
          <w:b/>
          <w:sz w:val="28"/>
          <w:szCs w:val="28"/>
        </w:rPr>
        <w:t>Henry Peter Adonyo</w:t>
      </w:r>
    </w:p>
    <w:p w:rsidR="00F47D46" w:rsidRPr="00F47D46" w:rsidRDefault="00F47D46" w:rsidP="00F47D46">
      <w:pPr>
        <w:spacing w:line="360" w:lineRule="auto"/>
        <w:jc w:val="center"/>
        <w:rPr>
          <w:rFonts w:ascii="Bookman Old Style" w:hAnsi="Bookman Old Style"/>
          <w:b/>
          <w:sz w:val="28"/>
          <w:szCs w:val="28"/>
        </w:rPr>
      </w:pPr>
      <w:r>
        <w:rPr>
          <w:rFonts w:ascii="Bookman Old Style" w:hAnsi="Bookman Old Style"/>
          <w:b/>
          <w:sz w:val="28"/>
          <w:szCs w:val="28"/>
        </w:rPr>
        <w:t>JUDGE</w:t>
      </w:r>
    </w:p>
    <w:sectPr w:rsidR="00F47D46" w:rsidRPr="00F47D46" w:rsidSect="00C06288">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071" w:rsidRDefault="00680071" w:rsidP="008F3BAB">
      <w:pPr>
        <w:spacing w:after="0" w:line="240" w:lineRule="auto"/>
      </w:pPr>
      <w:r>
        <w:separator/>
      </w:r>
    </w:p>
  </w:endnote>
  <w:endnote w:type="continuationSeparator" w:id="1">
    <w:p w:rsidR="00680071" w:rsidRDefault="00680071" w:rsidP="008F3B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016"/>
      <w:docPartObj>
        <w:docPartGallery w:val="Page Numbers (Bottom of Page)"/>
        <w:docPartUnique/>
      </w:docPartObj>
    </w:sdtPr>
    <w:sdtContent>
      <w:p w:rsidR="0043698C" w:rsidRDefault="003742D2">
        <w:pPr>
          <w:pStyle w:val="Footer"/>
          <w:jc w:val="center"/>
        </w:pPr>
        <w:fldSimple w:instr=" PAGE   \* MERGEFORMAT ">
          <w:r w:rsidR="00167646">
            <w:rPr>
              <w:noProof/>
            </w:rPr>
            <w:t>1</w:t>
          </w:r>
        </w:fldSimple>
      </w:p>
    </w:sdtContent>
  </w:sdt>
  <w:p w:rsidR="0043698C" w:rsidRDefault="004369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071" w:rsidRDefault="00680071" w:rsidP="008F3BAB">
      <w:pPr>
        <w:spacing w:after="0" w:line="240" w:lineRule="auto"/>
      </w:pPr>
      <w:r>
        <w:separator/>
      </w:r>
    </w:p>
  </w:footnote>
  <w:footnote w:type="continuationSeparator" w:id="1">
    <w:p w:rsidR="00680071" w:rsidRDefault="00680071" w:rsidP="008F3B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F3BAB"/>
    <w:rsid w:val="00082172"/>
    <w:rsid w:val="0008555A"/>
    <w:rsid w:val="000C10E4"/>
    <w:rsid w:val="001565E5"/>
    <w:rsid w:val="001665D1"/>
    <w:rsid w:val="00167646"/>
    <w:rsid w:val="001747BB"/>
    <w:rsid w:val="00276124"/>
    <w:rsid w:val="002A6D9F"/>
    <w:rsid w:val="002F05C2"/>
    <w:rsid w:val="00346083"/>
    <w:rsid w:val="003742D2"/>
    <w:rsid w:val="003920BC"/>
    <w:rsid w:val="003B7797"/>
    <w:rsid w:val="003C243B"/>
    <w:rsid w:val="0043698C"/>
    <w:rsid w:val="00480F9C"/>
    <w:rsid w:val="004B38E8"/>
    <w:rsid w:val="004C49E3"/>
    <w:rsid w:val="004E236C"/>
    <w:rsid w:val="005852F9"/>
    <w:rsid w:val="005E1502"/>
    <w:rsid w:val="005F14C2"/>
    <w:rsid w:val="0061521C"/>
    <w:rsid w:val="0062236F"/>
    <w:rsid w:val="00680071"/>
    <w:rsid w:val="006D7DB7"/>
    <w:rsid w:val="007022D6"/>
    <w:rsid w:val="00866567"/>
    <w:rsid w:val="008F3BAB"/>
    <w:rsid w:val="008F65B3"/>
    <w:rsid w:val="009E55AD"/>
    <w:rsid w:val="00A6623E"/>
    <w:rsid w:val="00AC31DA"/>
    <w:rsid w:val="00B21C1E"/>
    <w:rsid w:val="00B561C5"/>
    <w:rsid w:val="00BF2C81"/>
    <w:rsid w:val="00C06288"/>
    <w:rsid w:val="00C66D5A"/>
    <w:rsid w:val="00CD01CB"/>
    <w:rsid w:val="00D803B5"/>
    <w:rsid w:val="00E30284"/>
    <w:rsid w:val="00E33844"/>
    <w:rsid w:val="00E45457"/>
    <w:rsid w:val="00EB4AAA"/>
    <w:rsid w:val="00F1563E"/>
    <w:rsid w:val="00F47D46"/>
    <w:rsid w:val="00F9504E"/>
    <w:rsid w:val="00FB4B57"/>
    <w:rsid w:val="00FD0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2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3B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3BAB"/>
  </w:style>
  <w:style w:type="paragraph" w:styleId="Footer">
    <w:name w:val="footer"/>
    <w:basedOn w:val="Normal"/>
    <w:link w:val="FooterChar"/>
    <w:uiPriority w:val="99"/>
    <w:unhideWhenUsed/>
    <w:rsid w:val="008F3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BAB"/>
  </w:style>
  <w:style w:type="paragraph" w:styleId="NormalWeb">
    <w:name w:val="Normal (Web)"/>
    <w:basedOn w:val="Normal"/>
    <w:uiPriority w:val="99"/>
    <w:semiHidden/>
    <w:unhideWhenUsed/>
    <w:rsid w:val="00F156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109712">
      <w:bodyDiv w:val="1"/>
      <w:marLeft w:val="0"/>
      <w:marRight w:val="0"/>
      <w:marTop w:val="0"/>
      <w:marBottom w:val="0"/>
      <w:divBdr>
        <w:top w:val="none" w:sz="0" w:space="0" w:color="auto"/>
        <w:left w:val="none" w:sz="0" w:space="0" w:color="auto"/>
        <w:bottom w:val="none" w:sz="0" w:space="0" w:color="auto"/>
        <w:right w:val="none" w:sz="0" w:space="0" w:color="auto"/>
      </w:divBdr>
    </w:div>
    <w:div w:id="818419234">
      <w:bodyDiv w:val="1"/>
      <w:marLeft w:val="0"/>
      <w:marRight w:val="0"/>
      <w:marTop w:val="0"/>
      <w:marBottom w:val="0"/>
      <w:divBdr>
        <w:top w:val="none" w:sz="0" w:space="0" w:color="auto"/>
        <w:left w:val="none" w:sz="0" w:space="0" w:color="auto"/>
        <w:bottom w:val="none" w:sz="0" w:space="0" w:color="auto"/>
        <w:right w:val="none" w:sz="0" w:space="0" w:color="auto"/>
      </w:divBdr>
    </w:div>
    <w:div w:id="1036663038">
      <w:bodyDiv w:val="1"/>
      <w:marLeft w:val="0"/>
      <w:marRight w:val="0"/>
      <w:marTop w:val="0"/>
      <w:marBottom w:val="0"/>
      <w:divBdr>
        <w:top w:val="none" w:sz="0" w:space="0" w:color="auto"/>
        <w:left w:val="none" w:sz="0" w:space="0" w:color="auto"/>
        <w:bottom w:val="none" w:sz="0" w:space="0" w:color="auto"/>
        <w:right w:val="none" w:sz="0" w:space="0" w:color="auto"/>
      </w:divBdr>
    </w:div>
    <w:div w:id="1403723381">
      <w:bodyDiv w:val="1"/>
      <w:marLeft w:val="0"/>
      <w:marRight w:val="0"/>
      <w:marTop w:val="0"/>
      <w:marBottom w:val="0"/>
      <w:divBdr>
        <w:top w:val="none" w:sz="0" w:space="0" w:color="auto"/>
        <w:left w:val="none" w:sz="0" w:space="0" w:color="auto"/>
        <w:bottom w:val="none" w:sz="0" w:space="0" w:color="auto"/>
        <w:right w:val="none" w:sz="0" w:space="0" w:color="auto"/>
      </w:divBdr>
    </w:div>
    <w:div w:id="1789199038">
      <w:bodyDiv w:val="1"/>
      <w:marLeft w:val="0"/>
      <w:marRight w:val="0"/>
      <w:marTop w:val="0"/>
      <w:marBottom w:val="0"/>
      <w:divBdr>
        <w:top w:val="none" w:sz="0" w:space="0" w:color="auto"/>
        <w:left w:val="none" w:sz="0" w:space="0" w:color="auto"/>
        <w:bottom w:val="none" w:sz="0" w:space="0" w:color="auto"/>
        <w:right w:val="none" w:sz="0" w:space="0" w:color="auto"/>
      </w:divBdr>
    </w:div>
    <w:div w:id="1875144429">
      <w:bodyDiv w:val="1"/>
      <w:marLeft w:val="0"/>
      <w:marRight w:val="0"/>
      <w:marTop w:val="0"/>
      <w:marBottom w:val="0"/>
      <w:divBdr>
        <w:top w:val="none" w:sz="0" w:space="0" w:color="auto"/>
        <w:left w:val="none" w:sz="0" w:space="0" w:color="auto"/>
        <w:bottom w:val="none" w:sz="0" w:space="0" w:color="auto"/>
        <w:right w:val="none" w:sz="0" w:space="0" w:color="auto"/>
      </w:divBdr>
    </w:div>
    <w:div w:id="207758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Commercial Court Division</Company>
  <LinksUpToDate>false</LinksUpToDate>
  <CharactersWithSpaces>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rkasula</dc:creator>
  <cp:lastModifiedBy>jmugala</cp:lastModifiedBy>
  <cp:revision>2</cp:revision>
  <cp:lastPrinted>2014-05-08T14:10:00Z</cp:lastPrinted>
  <dcterms:created xsi:type="dcterms:W3CDTF">2015-01-06T12:12:00Z</dcterms:created>
  <dcterms:modified xsi:type="dcterms:W3CDTF">2015-01-06T12:12:00Z</dcterms:modified>
</cp:coreProperties>
</file>