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A6" w:rsidRPr="00A72BA6" w:rsidRDefault="00A72BA6" w:rsidP="00A72BA6">
      <w:pPr>
        <w:pStyle w:val="Bodytext20"/>
        <w:shd w:val="clear" w:color="auto" w:fill="auto"/>
        <w:spacing w:after="215" w:line="360" w:lineRule="auto"/>
        <w:ind w:left="40"/>
        <w:jc w:val="both"/>
        <w:rPr>
          <w:rStyle w:val="Bodytext21"/>
          <w:b/>
          <w:bCs/>
          <w:sz w:val="24"/>
          <w:szCs w:val="24"/>
        </w:rPr>
      </w:pPr>
      <w:r w:rsidRPr="00A72BA6">
        <w:rPr>
          <w:rStyle w:val="Bodytext21"/>
          <w:b/>
          <w:bCs/>
          <w:sz w:val="24"/>
          <w:szCs w:val="24"/>
        </w:rPr>
        <w:t>THE REPUBLIC OF UGANDA</w:t>
      </w:r>
    </w:p>
    <w:p w:rsidR="00A72BA6" w:rsidRPr="00A72BA6" w:rsidRDefault="00A72BA6" w:rsidP="00A72BA6">
      <w:pPr>
        <w:pStyle w:val="Bodytext20"/>
        <w:shd w:val="clear" w:color="auto" w:fill="auto"/>
        <w:spacing w:after="253" w:line="360" w:lineRule="auto"/>
        <w:ind w:left="40"/>
        <w:jc w:val="both"/>
        <w:rPr>
          <w:rStyle w:val="Bodytext21"/>
          <w:b/>
          <w:bCs/>
          <w:sz w:val="24"/>
          <w:szCs w:val="24"/>
        </w:rPr>
      </w:pPr>
      <w:r w:rsidRPr="00A72BA6">
        <w:rPr>
          <w:rStyle w:val="Bodytext21"/>
          <w:b/>
          <w:bCs/>
          <w:sz w:val="24"/>
          <w:szCs w:val="24"/>
        </w:rPr>
        <w:t>CONSTITUTIONAL REFERENCE NO. 7 OF 2006</w:t>
      </w:r>
    </w:p>
    <w:p w:rsidR="00A72BA6" w:rsidRPr="00A72BA6" w:rsidRDefault="00A72BA6" w:rsidP="00A72BA6">
      <w:pPr>
        <w:pStyle w:val="Bodytext20"/>
        <w:shd w:val="clear" w:color="auto" w:fill="auto"/>
        <w:spacing w:after="283" w:line="360" w:lineRule="auto"/>
        <w:ind w:left="40"/>
        <w:jc w:val="both"/>
        <w:rPr>
          <w:sz w:val="24"/>
          <w:szCs w:val="24"/>
        </w:rPr>
      </w:pPr>
      <w:r w:rsidRPr="00A72BA6">
        <w:rPr>
          <w:rStyle w:val="Bodytext21"/>
          <w:b/>
          <w:bCs/>
          <w:sz w:val="24"/>
          <w:szCs w:val="24"/>
        </w:rPr>
        <w:t>CONSTITUTIONAL COURT (OKELLO, TWINOMUJUNI, KITUMBA AND KAVUMA, JJ.A)</w:t>
      </w:r>
    </w:p>
    <w:p w:rsidR="00A72BA6" w:rsidRPr="00A72BA6" w:rsidRDefault="00A72BA6" w:rsidP="00A72BA6">
      <w:pPr>
        <w:pStyle w:val="Bodytext20"/>
        <w:shd w:val="clear" w:color="auto" w:fill="auto"/>
        <w:spacing w:after="253" w:line="360" w:lineRule="auto"/>
        <w:ind w:left="40"/>
        <w:jc w:val="both"/>
        <w:rPr>
          <w:sz w:val="24"/>
          <w:szCs w:val="24"/>
        </w:rPr>
      </w:pPr>
    </w:p>
    <w:p w:rsidR="00A72BA6" w:rsidRPr="00A72BA6" w:rsidRDefault="00A27DF3" w:rsidP="00A72BA6">
      <w:pPr>
        <w:pStyle w:val="Bodytext20"/>
        <w:shd w:val="clear" w:color="auto" w:fill="auto"/>
        <w:spacing w:after="215" w:line="360" w:lineRule="auto"/>
        <w:ind w:left="40"/>
        <w:jc w:val="both"/>
        <w:rPr>
          <w:rStyle w:val="Bodytext21"/>
          <w:b/>
          <w:bCs/>
          <w:sz w:val="24"/>
          <w:szCs w:val="24"/>
        </w:rPr>
      </w:pPr>
      <w:r w:rsidRPr="00A72BA6">
        <w:rPr>
          <w:rStyle w:val="Bodytext21"/>
          <w:b/>
          <w:bCs/>
          <w:sz w:val="24"/>
          <w:szCs w:val="24"/>
        </w:rPr>
        <w:t>EMMANUEL NAGOLI</w:t>
      </w:r>
      <w:r w:rsidR="00A72BA6" w:rsidRPr="00A72BA6">
        <w:rPr>
          <w:rStyle w:val="Bodytext21"/>
          <w:b/>
          <w:bCs/>
          <w:sz w:val="24"/>
          <w:szCs w:val="24"/>
        </w:rPr>
        <w:t>;;;;;;;;;;;;;;;;;;;;;;;;;;;;;;;;;;;;;;;;;;;;;;;;;;APPLICANT</w:t>
      </w:r>
    </w:p>
    <w:p w:rsidR="00A72BA6" w:rsidRPr="00A72BA6" w:rsidRDefault="00A27DF3" w:rsidP="00A72BA6">
      <w:pPr>
        <w:pStyle w:val="Bodytext20"/>
        <w:shd w:val="clear" w:color="auto" w:fill="auto"/>
        <w:spacing w:after="215" w:line="360" w:lineRule="auto"/>
        <w:ind w:left="40"/>
        <w:jc w:val="both"/>
        <w:rPr>
          <w:rStyle w:val="Bodytext2Italic"/>
          <w:b/>
          <w:bCs/>
          <w:sz w:val="24"/>
          <w:szCs w:val="24"/>
        </w:rPr>
      </w:pPr>
      <w:r w:rsidRPr="00A72BA6">
        <w:rPr>
          <w:rStyle w:val="Bodytext21"/>
          <w:b/>
          <w:bCs/>
          <w:sz w:val="24"/>
          <w:szCs w:val="24"/>
        </w:rPr>
        <w:t xml:space="preserve"> </w:t>
      </w:r>
      <w:r w:rsidRPr="00A72BA6">
        <w:rPr>
          <w:rStyle w:val="Bodytext2Italic"/>
          <w:b/>
          <w:bCs/>
          <w:sz w:val="24"/>
          <w:szCs w:val="24"/>
        </w:rPr>
        <w:t>V</w:t>
      </w:r>
      <w:r w:rsidR="00A72BA6" w:rsidRPr="00A72BA6">
        <w:rPr>
          <w:rStyle w:val="Bodytext2Italic"/>
          <w:b/>
          <w:bCs/>
          <w:sz w:val="24"/>
          <w:szCs w:val="24"/>
        </w:rPr>
        <w:t>ERSES</w:t>
      </w:r>
    </w:p>
    <w:p w:rsidR="009E4C41" w:rsidRPr="00A72BA6" w:rsidRDefault="00A27DF3" w:rsidP="00A72BA6">
      <w:pPr>
        <w:pStyle w:val="Bodytext20"/>
        <w:shd w:val="clear" w:color="auto" w:fill="auto"/>
        <w:spacing w:after="215" w:line="360" w:lineRule="auto"/>
        <w:ind w:left="40"/>
        <w:jc w:val="both"/>
        <w:rPr>
          <w:sz w:val="24"/>
          <w:szCs w:val="24"/>
        </w:rPr>
      </w:pPr>
      <w:r w:rsidRPr="00A72BA6">
        <w:rPr>
          <w:rStyle w:val="Bodytext22"/>
          <w:b/>
          <w:bCs/>
          <w:sz w:val="24"/>
          <w:szCs w:val="24"/>
        </w:rPr>
        <w:t xml:space="preserve"> </w:t>
      </w:r>
      <w:r w:rsidR="00A72BA6">
        <w:rPr>
          <w:rStyle w:val="Bodytext21"/>
          <w:b/>
          <w:bCs/>
          <w:sz w:val="24"/>
          <w:szCs w:val="24"/>
        </w:rPr>
        <w:t>ATTORNEY</w:t>
      </w:r>
      <w:r>
        <w:rPr>
          <w:rStyle w:val="Bodytext21"/>
          <w:b/>
          <w:bCs/>
          <w:sz w:val="24"/>
          <w:szCs w:val="24"/>
        </w:rPr>
        <w:t xml:space="preserve"> </w:t>
      </w:r>
      <w:bookmarkStart w:id="0" w:name="_GoBack"/>
      <w:bookmarkEnd w:id="0"/>
      <w:r>
        <w:rPr>
          <w:rStyle w:val="Bodytext21"/>
          <w:b/>
          <w:bCs/>
          <w:sz w:val="24"/>
          <w:szCs w:val="24"/>
        </w:rPr>
        <w:t>GENERALAND A</w:t>
      </w:r>
      <w:r w:rsidRPr="00A72BA6">
        <w:rPr>
          <w:rStyle w:val="Bodytext21"/>
          <w:b/>
          <w:bCs/>
          <w:sz w:val="24"/>
          <w:szCs w:val="24"/>
        </w:rPr>
        <w:t>NOTHER</w:t>
      </w:r>
      <w:r w:rsidR="00A72BA6" w:rsidRPr="00A72BA6">
        <w:rPr>
          <w:rStyle w:val="Bodytext21"/>
          <w:b/>
          <w:bCs/>
          <w:sz w:val="24"/>
          <w:szCs w:val="24"/>
        </w:rPr>
        <w:t>;;;;;;;;;;;;;;;;;;;;;;;;;;;;;;;;;;;</w:t>
      </w:r>
      <w:proofErr w:type="gramStart"/>
      <w:r w:rsidR="00A72BA6" w:rsidRPr="00A72BA6">
        <w:rPr>
          <w:rStyle w:val="Bodytext21"/>
          <w:b/>
          <w:bCs/>
          <w:sz w:val="24"/>
          <w:szCs w:val="24"/>
        </w:rPr>
        <w:t>;RESPONDENT</w:t>
      </w:r>
      <w:proofErr w:type="gramEnd"/>
    </w:p>
    <w:p w:rsidR="009E4C41" w:rsidRPr="00A72BA6" w:rsidRDefault="00A27DF3" w:rsidP="00A72BA6">
      <w:pPr>
        <w:pStyle w:val="Bodytext30"/>
        <w:shd w:val="clear" w:color="auto" w:fill="auto"/>
        <w:spacing w:before="0" w:line="360" w:lineRule="auto"/>
        <w:ind w:left="20" w:right="80"/>
        <w:rPr>
          <w:sz w:val="24"/>
          <w:szCs w:val="24"/>
        </w:rPr>
      </w:pPr>
      <w:r w:rsidRPr="00A72BA6">
        <w:rPr>
          <w:rStyle w:val="Bodytext3Bold"/>
          <w:i/>
          <w:iCs/>
          <w:sz w:val="24"/>
          <w:szCs w:val="24"/>
        </w:rPr>
        <w:t>Constitutional Petitions</w:t>
      </w:r>
      <w:r w:rsidRPr="00A72BA6">
        <w:rPr>
          <w:rStyle w:val="Bodytext3NotItalic"/>
          <w:sz w:val="24"/>
          <w:szCs w:val="24"/>
        </w:rPr>
        <w:t>—</w:t>
      </w:r>
      <w:r w:rsidRPr="00A72BA6">
        <w:rPr>
          <w:rStyle w:val="Bodytext31"/>
          <w:i/>
          <w:iCs/>
          <w:sz w:val="24"/>
          <w:szCs w:val="24"/>
        </w:rPr>
        <w:t>Locus to file Reference</w:t>
      </w:r>
      <w:r w:rsidRPr="00A72BA6">
        <w:rPr>
          <w:rStyle w:val="Bodytext32"/>
          <w:i/>
          <w:iCs/>
          <w:sz w:val="24"/>
          <w:szCs w:val="24"/>
        </w:rPr>
        <w:t>—</w:t>
      </w:r>
      <w:r w:rsidRPr="00A72BA6">
        <w:rPr>
          <w:rStyle w:val="Bodytext31"/>
          <w:i/>
          <w:iCs/>
          <w:sz w:val="24"/>
          <w:szCs w:val="24"/>
        </w:rPr>
        <w:t>Pending contractual obligations</w:t>
      </w:r>
      <w:r w:rsidRPr="00A72BA6">
        <w:rPr>
          <w:rStyle w:val="Bodytext3NotItalic0"/>
          <w:sz w:val="24"/>
          <w:szCs w:val="24"/>
        </w:rPr>
        <w:t xml:space="preserve">— </w:t>
      </w:r>
      <w:r w:rsidRPr="00A72BA6">
        <w:rPr>
          <w:rStyle w:val="Bodytext32"/>
          <w:i/>
          <w:iCs/>
          <w:sz w:val="24"/>
          <w:szCs w:val="24"/>
        </w:rPr>
        <w:t xml:space="preserve">Constitutional Reference </w:t>
      </w:r>
      <w:r w:rsidRPr="00A72BA6">
        <w:rPr>
          <w:rStyle w:val="Bodytext31"/>
          <w:i/>
          <w:iCs/>
          <w:sz w:val="24"/>
          <w:szCs w:val="24"/>
        </w:rPr>
        <w:t xml:space="preserve">cannot </w:t>
      </w:r>
      <w:r w:rsidRPr="00A72BA6">
        <w:rPr>
          <w:rStyle w:val="Bodytext32"/>
          <w:i/>
          <w:iCs/>
          <w:sz w:val="24"/>
          <w:szCs w:val="24"/>
        </w:rPr>
        <w:t xml:space="preserve">be </w:t>
      </w:r>
      <w:r w:rsidRPr="00A72BA6">
        <w:rPr>
          <w:rStyle w:val="Bodytext31"/>
          <w:i/>
          <w:iCs/>
          <w:sz w:val="24"/>
          <w:szCs w:val="24"/>
        </w:rPr>
        <w:t xml:space="preserve">maintained in law if based on contractual issues that </w:t>
      </w:r>
      <w:r w:rsidRPr="00A72BA6">
        <w:rPr>
          <w:rStyle w:val="Bodytext32"/>
          <w:i/>
          <w:iCs/>
          <w:sz w:val="24"/>
          <w:szCs w:val="24"/>
        </w:rPr>
        <w:t>have not been determined by Court</w:t>
      </w:r>
    </w:p>
    <w:p w:rsidR="009E4C41" w:rsidRPr="00A72BA6" w:rsidRDefault="00A27DF3" w:rsidP="00A72BA6">
      <w:pPr>
        <w:pStyle w:val="BodyText4"/>
        <w:shd w:val="clear" w:color="auto" w:fill="auto"/>
        <w:spacing w:before="0" w:after="244" w:line="360" w:lineRule="auto"/>
        <w:ind w:left="20" w:right="80" w:firstLine="0"/>
        <w:rPr>
          <w:sz w:val="24"/>
          <w:szCs w:val="24"/>
        </w:rPr>
      </w:pPr>
      <w:r w:rsidRPr="00A72BA6">
        <w:rPr>
          <w:rStyle w:val="BodyText1"/>
          <w:sz w:val="24"/>
          <w:szCs w:val="24"/>
        </w:rPr>
        <w:t xml:space="preserve">This </w:t>
      </w:r>
      <w:r w:rsidRPr="00A72BA6">
        <w:rPr>
          <w:rStyle w:val="BodyText23"/>
          <w:sz w:val="24"/>
          <w:szCs w:val="24"/>
        </w:rPr>
        <w:t>was a Constitutional Reference from the High Court which during the hearing of a Civil Appeal No. HCT-04-CV-CA 0003/2003 decided</w:t>
      </w:r>
      <w:r w:rsidRPr="00A72BA6">
        <w:rPr>
          <w:rStyle w:val="BodyText23"/>
          <w:sz w:val="24"/>
          <w:szCs w:val="24"/>
        </w:rPr>
        <w:t xml:space="preserve"> on its own motion that substantial constitutional issues would arise during the trial which would require interpretation in accordance with Article 137 (5) of the Constitution of the Republic of Uganda, 1995. The Court framed the issues and referred them </w:t>
      </w:r>
      <w:r w:rsidRPr="00A72BA6">
        <w:rPr>
          <w:rStyle w:val="BodyText23"/>
          <w:sz w:val="24"/>
          <w:szCs w:val="24"/>
        </w:rPr>
        <w:t>to the Constitutional Court.</w:t>
      </w:r>
    </w:p>
    <w:p w:rsidR="009E4C41" w:rsidRPr="00A72BA6" w:rsidRDefault="00A27DF3" w:rsidP="00A72BA6">
      <w:pPr>
        <w:pStyle w:val="BodyText4"/>
        <w:shd w:val="clear" w:color="auto" w:fill="auto"/>
        <w:spacing w:before="0" w:line="360" w:lineRule="auto"/>
        <w:ind w:left="20" w:right="80" w:firstLine="0"/>
        <w:rPr>
          <w:sz w:val="24"/>
          <w:szCs w:val="24"/>
        </w:rPr>
      </w:pPr>
      <w:r w:rsidRPr="00A72BA6">
        <w:rPr>
          <w:rStyle w:val="BodyText1"/>
          <w:sz w:val="24"/>
          <w:szCs w:val="24"/>
        </w:rPr>
        <w:t xml:space="preserve">The </w:t>
      </w:r>
      <w:r w:rsidRPr="00A72BA6">
        <w:rPr>
          <w:rStyle w:val="BodyText23"/>
          <w:sz w:val="24"/>
          <w:szCs w:val="24"/>
        </w:rPr>
        <w:t>background to this reference is that the above mentioned Civil Appeal was still pending for hearing. The facts, which are disputed by both parties, appear to be that in 1995, the Ministry of Finance, Planning and Economic d</w:t>
      </w:r>
      <w:r w:rsidRPr="00A72BA6">
        <w:rPr>
          <w:rStyle w:val="BodyText23"/>
          <w:sz w:val="24"/>
          <w:szCs w:val="24"/>
        </w:rPr>
        <w:t xml:space="preserve">evelopment (MFPED) offered to the public for sale Plot </w:t>
      </w:r>
      <w:r w:rsidRPr="00A72BA6">
        <w:rPr>
          <w:rStyle w:val="BodyText1"/>
          <w:sz w:val="24"/>
          <w:szCs w:val="24"/>
        </w:rPr>
        <w:t xml:space="preserve">No. </w:t>
      </w:r>
      <w:r w:rsidRPr="00A72BA6">
        <w:rPr>
          <w:rStyle w:val="BodyText23"/>
          <w:sz w:val="24"/>
          <w:szCs w:val="24"/>
        </w:rPr>
        <w:t>21 Kumi Road in Mbale Municipality. The property was being administered by the Departed Asians Properties Custodian Board (DAPCB) under the authority of Section 9 of the Expropriated Properties Act</w:t>
      </w:r>
      <w:r w:rsidRPr="00A72BA6">
        <w:rPr>
          <w:rStyle w:val="BodyText23"/>
          <w:sz w:val="24"/>
          <w:szCs w:val="24"/>
        </w:rPr>
        <w:t xml:space="preserve"> of 1982 (now Cap 87) on behalf of MFPED.</w:t>
      </w:r>
    </w:p>
    <w:p w:rsidR="009E4C41" w:rsidRPr="00A72BA6" w:rsidRDefault="00A27DF3" w:rsidP="00A72BA6">
      <w:pPr>
        <w:pStyle w:val="BodyText4"/>
        <w:shd w:val="clear" w:color="auto" w:fill="auto"/>
        <w:spacing w:before="0" w:after="236" w:line="360" w:lineRule="auto"/>
        <w:ind w:left="20" w:right="80" w:firstLine="0"/>
        <w:rPr>
          <w:sz w:val="24"/>
          <w:szCs w:val="24"/>
        </w:rPr>
      </w:pPr>
      <w:r w:rsidRPr="00A72BA6">
        <w:rPr>
          <w:rStyle w:val="BodyText23"/>
          <w:sz w:val="24"/>
          <w:szCs w:val="24"/>
        </w:rPr>
        <w:t xml:space="preserve">The petitioner, who was then a sitting tenant of DAPCB, applied </w:t>
      </w:r>
      <w:r w:rsidRPr="00A72BA6">
        <w:rPr>
          <w:sz w:val="24"/>
          <w:szCs w:val="24"/>
        </w:rPr>
        <w:t xml:space="preserve">to </w:t>
      </w:r>
      <w:r w:rsidRPr="00A72BA6">
        <w:rPr>
          <w:rStyle w:val="BodyText23"/>
          <w:sz w:val="24"/>
          <w:szCs w:val="24"/>
        </w:rPr>
        <w:t xml:space="preserve">purchase the </w:t>
      </w:r>
      <w:r w:rsidRPr="00A72BA6">
        <w:rPr>
          <w:rStyle w:val="BodyText23"/>
          <w:sz w:val="24"/>
          <w:szCs w:val="24"/>
        </w:rPr>
        <w:lastRenderedPageBreak/>
        <w:t>property. On November 10, 1995 he signed an agreement with MFPED in which he agreed to pay Ug Shs 12,100,451/= for the property. He pa</w:t>
      </w:r>
      <w:r w:rsidRPr="00A72BA6">
        <w:rPr>
          <w:rStyle w:val="BodyText23"/>
          <w:sz w:val="24"/>
          <w:szCs w:val="24"/>
        </w:rPr>
        <w:t xml:space="preserve">id 10% of the purchase price and undertook to pay the balance within 60 days from the date of the agreement. According to the first respondent, despite several reminders and extensions </w:t>
      </w:r>
      <w:r w:rsidRPr="00A72BA6">
        <w:rPr>
          <w:rStyle w:val="BodyText1"/>
          <w:sz w:val="24"/>
          <w:szCs w:val="24"/>
        </w:rPr>
        <w:t xml:space="preserve">to </w:t>
      </w:r>
      <w:r w:rsidRPr="00A72BA6">
        <w:rPr>
          <w:rStyle w:val="BodyText23"/>
          <w:sz w:val="24"/>
          <w:szCs w:val="24"/>
        </w:rPr>
        <w:t>the petitioner to meet his contractual obligations, he failed to pay</w:t>
      </w:r>
      <w:r w:rsidRPr="00A72BA6">
        <w:rPr>
          <w:rStyle w:val="BodyText23"/>
          <w:sz w:val="24"/>
          <w:szCs w:val="24"/>
        </w:rPr>
        <w:t xml:space="preserve">. In 1998, MFPED terminated the sale agreement, offered to refund the 10% and resold </w:t>
      </w:r>
      <w:r w:rsidRPr="00A72BA6">
        <w:rPr>
          <w:sz w:val="24"/>
          <w:szCs w:val="24"/>
        </w:rPr>
        <w:t xml:space="preserve">the </w:t>
      </w:r>
      <w:r w:rsidRPr="00A72BA6">
        <w:rPr>
          <w:rStyle w:val="BodyText23"/>
          <w:sz w:val="24"/>
          <w:szCs w:val="24"/>
        </w:rPr>
        <w:t>property to the second respondent who became the registered owner thereof in 1999.</w:t>
      </w:r>
    </w:p>
    <w:p w:rsidR="009E4C41" w:rsidRPr="00A72BA6" w:rsidRDefault="00A27DF3" w:rsidP="00A72BA6">
      <w:pPr>
        <w:pStyle w:val="BodyText4"/>
        <w:shd w:val="clear" w:color="auto" w:fill="auto"/>
        <w:spacing w:before="0" w:after="0" w:line="360" w:lineRule="auto"/>
        <w:ind w:left="20" w:right="80" w:firstLine="0"/>
        <w:rPr>
          <w:sz w:val="24"/>
          <w:szCs w:val="24"/>
        </w:rPr>
      </w:pPr>
      <w:r w:rsidRPr="00A72BA6">
        <w:rPr>
          <w:rStyle w:val="BodyText23"/>
          <w:sz w:val="24"/>
          <w:szCs w:val="24"/>
        </w:rPr>
        <w:t xml:space="preserve">According to the petitioner, in 1998, the first respondent unilaterally terminated the sale agreement without giving him notice or hearing. He filed an appeal against </w:t>
      </w:r>
      <w:r w:rsidRPr="00A72BA6">
        <w:rPr>
          <w:rStyle w:val="BodyText1"/>
          <w:sz w:val="24"/>
          <w:szCs w:val="24"/>
        </w:rPr>
        <w:t xml:space="preserve">the </w:t>
      </w:r>
      <w:r w:rsidRPr="00A72BA6">
        <w:rPr>
          <w:rStyle w:val="BodyText23"/>
          <w:sz w:val="24"/>
          <w:szCs w:val="24"/>
        </w:rPr>
        <w:t>minister’s decision in accordance with Section 15 of the Expropriated Properties Act.</w:t>
      </w:r>
      <w:r w:rsidRPr="00A72BA6">
        <w:rPr>
          <w:rStyle w:val="BodyText23"/>
          <w:sz w:val="24"/>
          <w:szCs w:val="24"/>
        </w:rPr>
        <w:t xml:space="preserve"> The trial Judge then framed the following issues which, in his view, required interpretation, </w:t>
      </w:r>
      <w:r w:rsidRPr="00A72BA6">
        <w:rPr>
          <w:rStyle w:val="BodyText1"/>
          <w:sz w:val="24"/>
          <w:szCs w:val="24"/>
        </w:rPr>
        <w:t>namely;</w:t>
      </w:r>
    </w:p>
    <w:p w:rsidR="009E4C41" w:rsidRPr="00A72BA6" w:rsidRDefault="00A27DF3" w:rsidP="00A72BA6">
      <w:pPr>
        <w:pStyle w:val="BodyText4"/>
        <w:numPr>
          <w:ilvl w:val="0"/>
          <w:numId w:val="1"/>
        </w:numPr>
        <w:shd w:val="clear" w:color="auto" w:fill="auto"/>
        <w:tabs>
          <w:tab w:val="left" w:pos="765"/>
        </w:tabs>
        <w:spacing w:before="0" w:after="0" w:line="360" w:lineRule="auto"/>
        <w:ind w:left="800" w:right="80"/>
        <w:rPr>
          <w:sz w:val="24"/>
          <w:szCs w:val="24"/>
        </w:rPr>
      </w:pPr>
      <w:r w:rsidRPr="00A72BA6">
        <w:rPr>
          <w:rStyle w:val="BodyText1"/>
          <w:sz w:val="24"/>
          <w:szCs w:val="24"/>
        </w:rPr>
        <w:t xml:space="preserve">Whether the </w:t>
      </w:r>
      <w:r w:rsidRPr="00A72BA6">
        <w:rPr>
          <w:rStyle w:val="BodyText23"/>
          <w:sz w:val="24"/>
          <w:szCs w:val="24"/>
        </w:rPr>
        <w:t xml:space="preserve">Minister’s decision contravened the </w:t>
      </w:r>
      <w:r w:rsidRPr="00A72BA6">
        <w:rPr>
          <w:rStyle w:val="BodyText1"/>
          <w:sz w:val="24"/>
          <w:szCs w:val="24"/>
        </w:rPr>
        <w:t xml:space="preserve">principle of </w:t>
      </w:r>
      <w:r w:rsidRPr="00A72BA6">
        <w:rPr>
          <w:rStyle w:val="BodytextItalic"/>
          <w:sz w:val="24"/>
          <w:szCs w:val="24"/>
        </w:rPr>
        <w:t xml:space="preserve">Audi alteram parten </w:t>
      </w:r>
      <w:r w:rsidRPr="00A72BA6">
        <w:rPr>
          <w:rStyle w:val="BodyText1"/>
          <w:sz w:val="24"/>
          <w:szCs w:val="24"/>
        </w:rPr>
        <w:t xml:space="preserve">and </w:t>
      </w:r>
      <w:r w:rsidRPr="00A72BA6">
        <w:rPr>
          <w:rStyle w:val="BodyText23"/>
          <w:sz w:val="24"/>
          <w:szCs w:val="24"/>
        </w:rPr>
        <w:t xml:space="preserve">Articles 20 and 44 (c) </w:t>
      </w:r>
      <w:r w:rsidRPr="00A72BA6">
        <w:rPr>
          <w:rStyle w:val="BodyText1"/>
          <w:sz w:val="24"/>
          <w:szCs w:val="24"/>
        </w:rPr>
        <w:t xml:space="preserve">of </w:t>
      </w:r>
      <w:r w:rsidRPr="00A72BA6">
        <w:rPr>
          <w:rStyle w:val="BodyText23"/>
          <w:sz w:val="24"/>
          <w:szCs w:val="24"/>
        </w:rPr>
        <w:t>the Constitution</w:t>
      </w:r>
    </w:p>
    <w:p w:rsidR="009E4C41" w:rsidRPr="00A72BA6" w:rsidRDefault="00A27DF3" w:rsidP="00A72BA6">
      <w:pPr>
        <w:pStyle w:val="BodyText4"/>
        <w:numPr>
          <w:ilvl w:val="0"/>
          <w:numId w:val="1"/>
        </w:numPr>
        <w:shd w:val="clear" w:color="auto" w:fill="auto"/>
        <w:tabs>
          <w:tab w:val="left" w:pos="365"/>
        </w:tabs>
        <w:spacing w:before="0" w:after="0" w:line="360" w:lineRule="auto"/>
        <w:ind w:right="80" w:firstLine="0"/>
        <w:rPr>
          <w:sz w:val="24"/>
          <w:szCs w:val="24"/>
        </w:rPr>
      </w:pPr>
      <w:r w:rsidRPr="00A72BA6">
        <w:rPr>
          <w:rStyle w:val="BodyText23"/>
          <w:sz w:val="24"/>
          <w:szCs w:val="24"/>
        </w:rPr>
        <w:t>Whether the Minister acte</w:t>
      </w:r>
      <w:r w:rsidRPr="00A72BA6">
        <w:rPr>
          <w:rStyle w:val="BodyText23"/>
          <w:sz w:val="24"/>
          <w:szCs w:val="24"/>
        </w:rPr>
        <w:t xml:space="preserve">d arbitrarily contrary </w:t>
      </w:r>
      <w:r w:rsidRPr="00A72BA6">
        <w:rPr>
          <w:rStyle w:val="BodyText1"/>
          <w:sz w:val="24"/>
          <w:szCs w:val="24"/>
        </w:rPr>
        <w:t xml:space="preserve">to </w:t>
      </w:r>
      <w:r w:rsidRPr="00A72BA6">
        <w:rPr>
          <w:rStyle w:val="BodyText23"/>
          <w:sz w:val="24"/>
          <w:szCs w:val="24"/>
        </w:rPr>
        <w:t xml:space="preserve">Article </w:t>
      </w:r>
      <w:r w:rsidRPr="00A72BA6">
        <w:rPr>
          <w:rStyle w:val="BodyText1"/>
          <w:sz w:val="24"/>
          <w:szCs w:val="24"/>
        </w:rPr>
        <w:t>42 of the Constitution</w:t>
      </w:r>
    </w:p>
    <w:p w:rsidR="009E4C41" w:rsidRPr="00A72BA6" w:rsidRDefault="00A27DF3" w:rsidP="00A72BA6">
      <w:pPr>
        <w:pStyle w:val="BodyText4"/>
        <w:numPr>
          <w:ilvl w:val="0"/>
          <w:numId w:val="1"/>
        </w:numPr>
        <w:shd w:val="clear" w:color="auto" w:fill="auto"/>
        <w:tabs>
          <w:tab w:val="left" w:pos="1754"/>
        </w:tabs>
        <w:spacing w:before="0" w:after="0" w:line="360" w:lineRule="auto"/>
        <w:ind w:left="800" w:right="80"/>
        <w:rPr>
          <w:sz w:val="24"/>
          <w:szCs w:val="24"/>
        </w:rPr>
      </w:pPr>
      <w:r w:rsidRPr="00A72BA6">
        <w:rPr>
          <w:rStyle w:val="BodyText23"/>
          <w:sz w:val="24"/>
          <w:szCs w:val="24"/>
        </w:rPr>
        <w:t>Whether</w:t>
      </w:r>
      <w:r w:rsidRPr="00A72BA6">
        <w:rPr>
          <w:rStyle w:val="BodyText23"/>
          <w:sz w:val="24"/>
          <w:szCs w:val="24"/>
        </w:rPr>
        <w:tab/>
        <w:t xml:space="preserve">the Minister contravened </w:t>
      </w:r>
      <w:r w:rsidRPr="00A72BA6">
        <w:rPr>
          <w:rStyle w:val="BodyText1"/>
          <w:sz w:val="24"/>
          <w:szCs w:val="24"/>
        </w:rPr>
        <w:t xml:space="preserve">Articles 20, 21(1), (2) and </w:t>
      </w:r>
      <w:r w:rsidRPr="00A72BA6">
        <w:rPr>
          <w:rStyle w:val="BodyText33"/>
          <w:sz w:val="24"/>
          <w:szCs w:val="24"/>
        </w:rPr>
        <w:t xml:space="preserve">(3) of </w:t>
      </w:r>
      <w:r w:rsidRPr="00A72BA6">
        <w:rPr>
          <w:rStyle w:val="BodyText1"/>
          <w:sz w:val="24"/>
          <w:szCs w:val="24"/>
        </w:rPr>
        <w:t>the Constitution</w:t>
      </w:r>
    </w:p>
    <w:p w:rsidR="009E4C41" w:rsidRPr="00A72BA6" w:rsidRDefault="00A27DF3" w:rsidP="00A72BA6">
      <w:pPr>
        <w:pStyle w:val="Bodytext20"/>
        <w:shd w:val="clear" w:color="auto" w:fill="auto"/>
        <w:spacing w:after="0" w:line="360" w:lineRule="auto"/>
        <w:ind w:left="20"/>
        <w:jc w:val="both"/>
        <w:rPr>
          <w:sz w:val="24"/>
          <w:szCs w:val="24"/>
        </w:rPr>
      </w:pPr>
      <w:r w:rsidRPr="00A72BA6">
        <w:rPr>
          <w:rStyle w:val="Bodytext24"/>
          <w:b/>
          <w:bCs/>
          <w:sz w:val="24"/>
          <w:szCs w:val="24"/>
        </w:rPr>
        <w:t>HELD:</w:t>
      </w:r>
    </w:p>
    <w:p w:rsidR="009E4C41" w:rsidRPr="00A72BA6" w:rsidRDefault="00A27DF3" w:rsidP="00A72BA6">
      <w:pPr>
        <w:pStyle w:val="BodyText4"/>
        <w:shd w:val="clear" w:color="auto" w:fill="auto"/>
        <w:spacing w:before="0" w:line="360" w:lineRule="auto"/>
        <w:ind w:left="360" w:right="20" w:firstLine="0"/>
        <w:rPr>
          <w:sz w:val="24"/>
          <w:szCs w:val="24"/>
        </w:rPr>
      </w:pPr>
      <w:r w:rsidRPr="00A72BA6">
        <w:rPr>
          <w:rStyle w:val="BodyText33"/>
          <w:sz w:val="24"/>
          <w:szCs w:val="24"/>
        </w:rPr>
        <w:t xml:space="preserve">Although the reference discloses a cause of action within the meaning of Article 137 (5) of the </w:t>
      </w:r>
      <w:r w:rsidRPr="00A72BA6">
        <w:rPr>
          <w:rStyle w:val="BodyText33"/>
          <w:sz w:val="24"/>
          <w:szCs w:val="24"/>
        </w:rPr>
        <w:t xml:space="preserve">Constitution, it cannot be maintainable in law because the acts of the Minister complained of arise out of a written contract and until they have been determined in the Civil Appeal now pending in the High Court, they </w:t>
      </w:r>
      <w:r w:rsidR="00A72BA6" w:rsidRPr="00A72BA6">
        <w:rPr>
          <w:rStyle w:val="BodyText33"/>
          <w:sz w:val="24"/>
          <w:szCs w:val="24"/>
        </w:rPr>
        <w:t>cannot</w:t>
      </w:r>
      <w:r w:rsidRPr="00A72BA6">
        <w:rPr>
          <w:rStyle w:val="BodyText33"/>
          <w:sz w:val="24"/>
          <w:szCs w:val="24"/>
        </w:rPr>
        <w:t xml:space="preserve"> be challenged as illegal or un</w:t>
      </w:r>
      <w:r w:rsidRPr="00A72BA6">
        <w:rPr>
          <w:rStyle w:val="BodyText33"/>
          <w:sz w:val="24"/>
          <w:szCs w:val="24"/>
        </w:rPr>
        <w:t>constitutional. Thus the reference was pre-mature and cannot be maintained in law until those contractual issues have been determined.</w:t>
      </w:r>
    </w:p>
    <w:p w:rsidR="009E4C41" w:rsidRPr="00A72BA6" w:rsidRDefault="00A27DF3" w:rsidP="00A72BA6">
      <w:pPr>
        <w:pStyle w:val="Bodytext30"/>
        <w:shd w:val="clear" w:color="auto" w:fill="auto"/>
        <w:spacing w:before="0" w:line="360" w:lineRule="auto"/>
        <w:ind w:left="20" w:right="20"/>
        <w:rPr>
          <w:rStyle w:val="Bodytext34"/>
          <w:i/>
          <w:iCs/>
          <w:sz w:val="24"/>
          <w:szCs w:val="24"/>
        </w:rPr>
      </w:pPr>
      <w:r w:rsidRPr="00A72BA6">
        <w:rPr>
          <w:rStyle w:val="Bodytext34"/>
          <w:i/>
          <w:iCs/>
          <w:sz w:val="24"/>
          <w:szCs w:val="24"/>
        </w:rPr>
        <w:t xml:space="preserve">Respondent's point of law in opposition to reference allowed. </w:t>
      </w:r>
      <w:proofErr w:type="gramStart"/>
      <w:r w:rsidRPr="00A72BA6">
        <w:rPr>
          <w:rStyle w:val="Bodytext34"/>
          <w:i/>
          <w:iCs/>
          <w:sz w:val="24"/>
          <w:szCs w:val="24"/>
        </w:rPr>
        <w:t>Record of Civil Appeal No.</w:t>
      </w:r>
      <w:proofErr w:type="gramEnd"/>
      <w:r w:rsidRPr="00A72BA6">
        <w:rPr>
          <w:rStyle w:val="Bodytext34"/>
          <w:i/>
          <w:iCs/>
          <w:sz w:val="24"/>
          <w:szCs w:val="24"/>
        </w:rPr>
        <w:t xml:space="preserve"> HCT-04-CV-CA 0003/2003 </w:t>
      </w:r>
      <w:proofErr w:type="gramStart"/>
      <w:r w:rsidRPr="00A72BA6">
        <w:rPr>
          <w:rStyle w:val="Bodytext34"/>
          <w:i/>
          <w:iCs/>
          <w:sz w:val="24"/>
          <w:szCs w:val="24"/>
        </w:rPr>
        <w:t>be</w:t>
      </w:r>
      <w:proofErr w:type="gramEnd"/>
      <w:r w:rsidRPr="00A72BA6">
        <w:rPr>
          <w:rStyle w:val="Bodytext34"/>
          <w:i/>
          <w:iCs/>
          <w:sz w:val="24"/>
          <w:szCs w:val="24"/>
        </w:rPr>
        <w:t xml:space="preserve"> </w:t>
      </w:r>
      <w:r w:rsidRPr="00A72BA6">
        <w:rPr>
          <w:rStyle w:val="Bodytext34"/>
          <w:i/>
          <w:iCs/>
          <w:sz w:val="24"/>
          <w:szCs w:val="24"/>
        </w:rPr>
        <w:t>remitted to High Court to resolve contractual issues involved.</w:t>
      </w:r>
    </w:p>
    <w:p w:rsidR="00A72BA6" w:rsidRPr="00A72BA6" w:rsidRDefault="00A72BA6" w:rsidP="00A72BA6">
      <w:pPr>
        <w:pStyle w:val="Bodytext30"/>
        <w:shd w:val="clear" w:color="auto" w:fill="auto"/>
        <w:spacing w:before="0" w:line="360" w:lineRule="auto"/>
        <w:ind w:left="20" w:right="20"/>
        <w:rPr>
          <w:rStyle w:val="Bodytext34"/>
          <w:i/>
          <w:iCs/>
          <w:sz w:val="24"/>
          <w:szCs w:val="24"/>
        </w:rPr>
      </w:pPr>
      <w:r w:rsidRPr="00A72BA6">
        <w:rPr>
          <w:rStyle w:val="Bodytext34"/>
          <w:i/>
          <w:iCs/>
          <w:sz w:val="24"/>
          <w:szCs w:val="24"/>
        </w:rPr>
        <w:t>Dated this 24</w:t>
      </w:r>
      <w:r w:rsidRPr="00A72BA6">
        <w:rPr>
          <w:rStyle w:val="Bodytext34"/>
          <w:i/>
          <w:iCs/>
          <w:sz w:val="24"/>
          <w:szCs w:val="24"/>
          <w:vertAlign w:val="superscript"/>
        </w:rPr>
        <w:t>th</w:t>
      </w:r>
      <w:r w:rsidRPr="00A72BA6">
        <w:rPr>
          <w:rStyle w:val="Bodytext34"/>
          <w:i/>
          <w:iCs/>
          <w:sz w:val="24"/>
          <w:szCs w:val="24"/>
        </w:rPr>
        <w:t xml:space="preserve"> day of October 2006</w:t>
      </w:r>
    </w:p>
    <w:p w:rsidR="00A72BA6" w:rsidRPr="00A72BA6" w:rsidRDefault="00A72BA6" w:rsidP="00A72BA6">
      <w:pPr>
        <w:pStyle w:val="Bodytext30"/>
        <w:shd w:val="clear" w:color="auto" w:fill="auto"/>
        <w:spacing w:before="0" w:line="360" w:lineRule="auto"/>
        <w:ind w:left="20" w:right="20"/>
        <w:rPr>
          <w:rStyle w:val="Bodytext34"/>
          <w:i/>
          <w:iCs/>
          <w:sz w:val="24"/>
          <w:szCs w:val="24"/>
        </w:rPr>
      </w:pPr>
      <w:r w:rsidRPr="00A72BA6">
        <w:rPr>
          <w:rStyle w:val="Bodytext34"/>
          <w:i/>
          <w:iCs/>
          <w:sz w:val="24"/>
          <w:szCs w:val="24"/>
        </w:rPr>
        <w:lastRenderedPageBreak/>
        <w:t>OKELLO, JA</w:t>
      </w:r>
    </w:p>
    <w:p w:rsidR="00A72BA6" w:rsidRPr="00A72BA6" w:rsidRDefault="00A72BA6" w:rsidP="00A72BA6">
      <w:pPr>
        <w:pStyle w:val="Bodytext30"/>
        <w:shd w:val="clear" w:color="auto" w:fill="auto"/>
        <w:spacing w:before="0" w:line="360" w:lineRule="auto"/>
        <w:ind w:left="20" w:right="20"/>
        <w:rPr>
          <w:rStyle w:val="Bodytext34"/>
          <w:i/>
          <w:iCs/>
          <w:sz w:val="24"/>
          <w:szCs w:val="24"/>
        </w:rPr>
      </w:pPr>
      <w:r w:rsidRPr="00A72BA6">
        <w:rPr>
          <w:rStyle w:val="Bodytext34"/>
          <w:i/>
          <w:iCs/>
          <w:sz w:val="24"/>
          <w:szCs w:val="24"/>
        </w:rPr>
        <w:t>TWINOMUJUNI, JA</w:t>
      </w:r>
    </w:p>
    <w:p w:rsidR="00A72BA6" w:rsidRPr="00A72BA6" w:rsidRDefault="00A72BA6" w:rsidP="00A72BA6">
      <w:pPr>
        <w:pStyle w:val="Bodytext30"/>
        <w:shd w:val="clear" w:color="auto" w:fill="auto"/>
        <w:spacing w:before="0" w:line="360" w:lineRule="auto"/>
        <w:ind w:left="20" w:right="20"/>
        <w:rPr>
          <w:rStyle w:val="Bodytext34"/>
          <w:i/>
          <w:iCs/>
          <w:sz w:val="24"/>
          <w:szCs w:val="24"/>
        </w:rPr>
      </w:pPr>
      <w:r w:rsidRPr="00A72BA6">
        <w:rPr>
          <w:rStyle w:val="Bodytext34"/>
          <w:i/>
          <w:iCs/>
          <w:sz w:val="24"/>
          <w:szCs w:val="24"/>
        </w:rPr>
        <w:t>KITUMBA, JA</w:t>
      </w:r>
    </w:p>
    <w:p w:rsidR="00A72BA6" w:rsidRPr="00A72BA6" w:rsidRDefault="00A72BA6" w:rsidP="00A72BA6">
      <w:pPr>
        <w:pStyle w:val="Bodytext30"/>
        <w:shd w:val="clear" w:color="auto" w:fill="auto"/>
        <w:spacing w:before="0" w:line="360" w:lineRule="auto"/>
        <w:ind w:left="20" w:right="20"/>
        <w:rPr>
          <w:rStyle w:val="Bodytext34"/>
          <w:i/>
          <w:iCs/>
          <w:sz w:val="24"/>
          <w:szCs w:val="24"/>
        </w:rPr>
      </w:pPr>
      <w:r w:rsidRPr="00A72BA6">
        <w:rPr>
          <w:rStyle w:val="Bodytext34"/>
          <w:i/>
          <w:iCs/>
          <w:sz w:val="24"/>
          <w:szCs w:val="24"/>
        </w:rPr>
        <w:t>KAVUMA, JA</w:t>
      </w:r>
    </w:p>
    <w:p w:rsidR="00A72BA6" w:rsidRPr="00A72BA6" w:rsidRDefault="00A72BA6" w:rsidP="00A72BA6">
      <w:pPr>
        <w:pStyle w:val="Bodytext30"/>
        <w:shd w:val="clear" w:color="auto" w:fill="auto"/>
        <w:spacing w:before="0" w:line="360" w:lineRule="auto"/>
        <w:ind w:left="20" w:right="20"/>
        <w:rPr>
          <w:rStyle w:val="Bodytext34"/>
          <w:i/>
          <w:iCs/>
          <w:sz w:val="24"/>
          <w:szCs w:val="24"/>
        </w:rPr>
      </w:pPr>
    </w:p>
    <w:p w:rsidR="00A72BA6" w:rsidRPr="00A72BA6" w:rsidRDefault="00A72BA6" w:rsidP="00A72BA6">
      <w:pPr>
        <w:pStyle w:val="Bodytext30"/>
        <w:shd w:val="clear" w:color="auto" w:fill="auto"/>
        <w:spacing w:before="0" w:line="360" w:lineRule="auto"/>
        <w:ind w:left="20" w:right="20"/>
        <w:rPr>
          <w:rStyle w:val="Bodytext34"/>
          <w:i/>
          <w:iCs/>
          <w:sz w:val="24"/>
          <w:szCs w:val="24"/>
        </w:rPr>
      </w:pPr>
    </w:p>
    <w:p w:rsidR="00A72BA6" w:rsidRPr="00A72BA6" w:rsidRDefault="00A72BA6" w:rsidP="00A72BA6">
      <w:pPr>
        <w:pStyle w:val="Bodytext30"/>
        <w:shd w:val="clear" w:color="auto" w:fill="auto"/>
        <w:spacing w:before="0" w:line="360" w:lineRule="auto"/>
        <w:ind w:left="20" w:right="20"/>
        <w:rPr>
          <w:rStyle w:val="Bodytext34"/>
          <w:i/>
          <w:iCs/>
          <w:sz w:val="24"/>
          <w:szCs w:val="24"/>
        </w:rPr>
      </w:pPr>
    </w:p>
    <w:p w:rsidR="00A72BA6" w:rsidRPr="00A72BA6" w:rsidRDefault="00A72BA6" w:rsidP="00A72BA6">
      <w:pPr>
        <w:pStyle w:val="Bodytext30"/>
        <w:shd w:val="clear" w:color="auto" w:fill="auto"/>
        <w:spacing w:before="0" w:line="360" w:lineRule="auto"/>
        <w:ind w:left="20" w:right="20"/>
        <w:rPr>
          <w:rStyle w:val="Bodytext34"/>
          <w:i/>
          <w:iCs/>
          <w:sz w:val="24"/>
          <w:szCs w:val="24"/>
        </w:rPr>
      </w:pPr>
    </w:p>
    <w:p w:rsidR="00A72BA6" w:rsidRPr="00A72BA6" w:rsidRDefault="00A72BA6" w:rsidP="00A72BA6">
      <w:pPr>
        <w:pStyle w:val="Bodytext30"/>
        <w:shd w:val="clear" w:color="auto" w:fill="auto"/>
        <w:spacing w:before="0" w:line="360" w:lineRule="auto"/>
        <w:ind w:left="20" w:right="20"/>
        <w:rPr>
          <w:sz w:val="24"/>
          <w:szCs w:val="24"/>
        </w:rPr>
      </w:pPr>
    </w:p>
    <w:p w:rsidR="009E4C41" w:rsidRPr="00A72BA6" w:rsidRDefault="00A27DF3" w:rsidP="00A72BA6">
      <w:pPr>
        <w:pStyle w:val="Bodytext20"/>
        <w:shd w:val="clear" w:color="auto" w:fill="auto"/>
        <w:spacing w:after="0" w:line="360" w:lineRule="auto"/>
        <w:ind w:left="20"/>
        <w:jc w:val="both"/>
        <w:rPr>
          <w:sz w:val="24"/>
          <w:szCs w:val="24"/>
        </w:rPr>
      </w:pPr>
      <w:r w:rsidRPr="00A72BA6">
        <w:rPr>
          <w:rStyle w:val="Bodytext24"/>
          <w:b/>
          <w:bCs/>
          <w:sz w:val="24"/>
          <w:szCs w:val="24"/>
        </w:rPr>
        <w:t>Legislation considered:</w:t>
      </w:r>
    </w:p>
    <w:p w:rsidR="009E4C41" w:rsidRPr="00A72BA6" w:rsidRDefault="00A27DF3" w:rsidP="00A72BA6">
      <w:pPr>
        <w:pStyle w:val="BodyText4"/>
        <w:shd w:val="clear" w:color="auto" w:fill="auto"/>
        <w:spacing w:before="0" w:after="0" w:line="360" w:lineRule="auto"/>
        <w:ind w:left="20" w:firstLine="0"/>
        <w:rPr>
          <w:sz w:val="24"/>
          <w:szCs w:val="24"/>
        </w:rPr>
      </w:pPr>
      <w:r w:rsidRPr="00A72BA6">
        <w:rPr>
          <w:rStyle w:val="BodyText33"/>
          <w:sz w:val="24"/>
          <w:szCs w:val="24"/>
        </w:rPr>
        <w:t>Civil Procedure Rules, Cap 71, Order 6 rule 29</w:t>
      </w:r>
    </w:p>
    <w:p w:rsidR="009E4C41" w:rsidRPr="00A72BA6" w:rsidRDefault="00A27DF3" w:rsidP="00A72BA6">
      <w:pPr>
        <w:pStyle w:val="BodyText4"/>
        <w:shd w:val="clear" w:color="auto" w:fill="auto"/>
        <w:spacing w:before="0" w:line="360" w:lineRule="auto"/>
        <w:ind w:left="20" w:right="20" w:firstLine="0"/>
        <w:rPr>
          <w:sz w:val="24"/>
          <w:szCs w:val="24"/>
        </w:rPr>
      </w:pPr>
      <w:r w:rsidRPr="00A72BA6">
        <w:rPr>
          <w:rStyle w:val="BodyText33"/>
          <w:sz w:val="24"/>
          <w:szCs w:val="24"/>
        </w:rPr>
        <w:t>The Constitution of</w:t>
      </w:r>
      <w:r w:rsidRPr="00A72BA6">
        <w:rPr>
          <w:rStyle w:val="BodyText33"/>
          <w:sz w:val="24"/>
          <w:szCs w:val="24"/>
        </w:rPr>
        <w:t xml:space="preserve"> the Republic of Uganda, 1995, Articles 20, 21, 42, 44 and 137 Expropriated Properties Act of 1982 (now Cap 87), Sections 9, 15 The Constitutional Court (Petitions and References) Rules, 2005</w:t>
      </w:r>
    </w:p>
    <w:p w:rsidR="009E4C41" w:rsidRPr="00A72BA6" w:rsidRDefault="00A27DF3" w:rsidP="00A72BA6">
      <w:pPr>
        <w:pStyle w:val="Bodytext20"/>
        <w:shd w:val="clear" w:color="auto" w:fill="auto"/>
        <w:spacing w:after="0" w:line="360" w:lineRule="auto"/>
        <w:ind w:left="20"/>
        <w:jc w:val="both"/>
        <w:rPr>
          <w:sz w:val="24"/>
          <w:szCs w:val="24"/>
        </w:rPr>
      </w:pPr>
      <w:r w:rsidRPr="00A72BA6">
        <w:rPr>
          <w:rStyle w:val="Bodytext24"/>
          <w:b/>
          <w:bCs/>
          <w:sz w:val="24"/>
          <w:szCs w:val="24"/>
        </w:rPr>
        <w:t>Cases cited:</w:t>
      </w:r>
    </w:p>
    <w:p w:rsidR="009E4C41" w:rsidRPr="00A72BA6" w:rsidRDefault="00A27DF3" w:rsidP="00A72BA6">
      <w:pPr>
        <w:pStyle w:val="BodyText4"/>
        <w:shd w:val="clear" w:color="auto" w:fill="auto"/>
        <w:spacing w:before="0" w:after="0" w:line="360" w:lineRule="auto"/>
        <w:ind w:left="20" w:right="20" w:firstLine="0"/>
        <w:rPr>
          <w:sz w:val="24"/>
          <w:szCs w:val="24"/>
        </w:rPr>
        <w:sectPr w:rsidR="009E4C41" w:rsidRPr="00A72BA6">
          <w:type w:val="continuous"/>
          <w:pgSz w:w="12240" w:h="15840"/>
          <w:pgMar w:top="2028" w:right="672" w:bottom="1183" w:left="672" w:header="0" w:footer="3" w:gutter="2179"/>
          <w:cols w:space="720"/>
          <w:noEndnote/>
          <w:titlePg/>
          <w:rtlGutter/>
          <w:docGrid w:linePitch="360"/>
        </w:sectPr>
      </w:pPr>
      <w:r w:rsidRPr="00A72BA6">
        <w:rPr>
          <w:rStyle w:val="BodyText33"/>
          <w:sz w:val="24"/>
          <w:szCs w:val="24"/>
        </w:rPr>
        <w:t xml:space="preserve">Ismail Serugo </w:t>
      </w:r>
      <w:proofErr w:type="gramStart"/>
      <w:r w:rsidR="00A72BA6" w:rsidRPr="00A72BA6">
        <w:rPr>
          <w:rStyle w:val="BodytextItalic0"/>
          <w:sz w:val="24"/>
          <w:szCs w:val="24"/>
        </w:rPr>
        <w:t>Vs</w:t>
      </w:r>
      <w:proofErr w:type="gramEnd"/>
      <w:r w:rsidR="00A72BA6" w:rsidRPr="00A72BA6">
        <w:rPr>
          <w:rStyle w:val="BodytextItalic0"/>
          <w:sz w:val="24"/>
          <w:szCs w:val="24"/>
        </w:rPr>
        <w:t>.</w:t>
      </w:r>
      <w:r w:rsidRPr="00A72BA6">
        <w:rPr>
          <w:rStyle w:val="BodyText33"/>
          <w:sz w:val="24"/>
          <w:szCs w:val="24"/>
        </w:rPr>
        <w:t xml:space="preserve"> K.C.C and Another, Constitutional Appeal No.2 of 1998 Nurdin Ali Dewji and Others </w:t>
      </w:r>
      <w:r w:rsidR="00A72BA6" w:rsidRPr="00A72BA6">
        <w:rPr>
          <w:rStyle w:val="BodytextItalic0"/>
          <w:sz w:val="24"/>
          <w:szCs w:val="24"/>
        </w:rPr>
        <w:t>vs.</w:t>
      </w:r>
      <w:r w:rsidRPr="00A72BA6">
        <w:rPr>
          <w:rStyle w:val="BodyText33"/>
          <w:sz w:val="24"/>
          <w:szCs w:val="24"/>
        </w:rPr>
        <w:t xml:space="preserve"> Meghiji and Other (1953) 20 EACA 132 Wycliff Kiggundu Kato </w:t>
      </w:r>
      <w:r w:rsidR="00A72BA6" w:rsidRPr="00A72BA6">
        <w:rPr>
          <w:rStyle w:val="BodytextItalic0"/>
          <w:sz w:val="24"/>
          <w:szCs w:val="24"/>
        </w:rPr>
        <w:t>vs.</w:t>
      </w:r>
      <w:r w:rsidRPr="00A72BA6">
        <w:rPr>
          <w:rStyle w:val="BodyText33"/>
          <w:sz w:val="24"/>
          <w:szCs w:val="24"/>
        </w:rPr>
        <w:t xml:space="preserve"> Attorney General, Civil Appeal No.27 of 1993 (Supreme Court) (unreported)</w:t>
      </w:r>
    </w:p>
    <w:p w:rsidR="009E4C41" w:rsidRPr="00A72BA6" w:rsidRDefault="009E4C41" w:rsidP="00A72BA6">
      <w:pPr>
        <w:spacing w:line="360" w:lineRule="auto"/>
        <w:jc w:val="both"/>
        <w:rPr>
          <w:rFonts w:ascii="Times New Roman" w:hAnsi="Times New Roman" w:cs="Times New Roman"/>
        </w:rPr>
      </w:pPr>
    </w:p>
    <w:p w:rsidR="009E4C41" w:rsidRPr="00A72BA6" w:rsidRDefault="009E4C41" w:rsidP="00A72BA6">
      <w:pPr>
        <w:spacing w:line="360" w:lineRule="auto"/>
        <w:jc w:val="both"/>
        <w:rPr>
          <w:rFonts w:ascii="Times New Roman" w:hAnsi="Times New Roman" w:cs="Times New Roman"/>
        </w:rPr>
      </w:pPr>
    </w:p>
    <w:p w:rsidR="009E4C41" w:rsidRPr="00A72BA6" w:rsidRDefault="009E4C41" w:rsidP="00A72BA6">
      <w:pPr>
        <w:spacing w:line="360" w:lineRule="auto"/>
        <w:jc w:val="both"/>
        <w:rPr>
          <w:rFonts w:ascii="Times New Roman" w:hAnsi="Times New Roman" w:cs="Times New Roman"/>
        </w:rPr>
      </w:pPr>
    </w:p>
    <w:p w:rsidR="009E4C41" w:rsidRPr="00A72BA6" w:rsidRDefault="009E4C41" w:rsidP="00A72BA6">
      <w:pPr>
        <w:spacing w:before="89" w:after="89" w:line="360" w:lineRule="auto"/>
        <w:jc w:val="both"/>
        <w:rPr>
          <w:rFonts w:ascii="Times New Roman" w:hAnsi="Times New Roman" w:cs="Times New Roman"/>
        </w:rPr>
      </w:pPr>
    </w:p>
    <w:p w:rsidR="009E4C41" w:rsidRPr="00A72BA6" w:rsidRDefault="009E4C41" w:rsidP="00A72BA6">
      <w:pPr>
        <w:spacing w:line="360" w:lineRule="auto"/>
        <w:jc w:val="both"/>
        <w:rPr>
          <w:rFonts w:ascii="Times New Roman" w:hAnsi="Times New Roman" w:cs="Times New Roman"/>
        </w:rPr>
        <w:sectPr w:rsidR="009E4C41" w:rsidRPr="00A72BA6">
          <w:type w:val="continuous"/>
          <w:pgSz w:w="12240" w:h="15840"/>
          <w:pgMar w:top="0" w:right="0" w:bottom="0" w:left="0" w:header="0" w:footer="3" w:gutter="0"/>
          <w:cols w:space="720"/>
          <w:noEndnote/>
          <w:docGrid w:linePitch="360"/>
        </w:sectPr>
      </w:pPr>
    </w:p>
    <w:p w:rsidR="009E4C41" w:rsidRPr="00A72BA6" w:rsidRDefault="009E4C41" w:rsidP="00A72BA6">
      <w:pPr>
        <w:pStyle w:val="BodyText4"/>
        <w:shd w:val="clear" w:color="auto" w:fill="auto"/>
        <w:spacing w:before="0" w:after="0" w:line="360" w:lineRule="auto"/>
        <w:ind w:right="40" w:firstLine="0"/>
        <w:rPr>
          <w:sz w:val="24"/>
          <w:szCs w:val="24"/>
        </w:rPr>
      </w:pPr>
    </w:p>
    <w:sectPr w:rsidR="009E4C41" w:rsidRPr="00A72BA6">
      <w:type w:val="continuous"/>
      <w:pgSz w:w="12240" w:h="15840"/>
      <w:pgMar w:top="2648" w:right="10824" w:bottom="1798" w:left="6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A6" w:rsidRDefault="00A72BA6">
      <w:r>
        <w:separator/>
      </w:r>
    </w:p>
  </w:endnote>
  <w:endnote w:type="continuationSeparator" w:id="0">
    <w:p w:rsidR="00A72BA6" w:rsidRDefault="00A7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A6" w:rsidRDefault="00A72BA6"/>
  </w:footnote>
  <w:footnote w:type="continuationSeparator" w:id="0">
    <w:p w:rsidR="00A72BA6" w:rsidRDefault="00A72B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80FDA"/>
    <w:multiLevelType w:val="multilevel"/>
    <w:tmpl w:val="849A692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evenAndOddHeaders/>
  <w:drawingGridHorizontalSpacing w:val="181"/>
  <w:drawingGridVerticalSpacing w:val="181"/>
  <w:characterSpacingControl w:val="compressPunctuation"/>
  <w:hdrShapeDefaults>
    <o:shapedefaults v:ext="edit" spidmax="2052"/>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41"/>
    <w:rsid w:val="009E4C41"/>
    <w:rsid w:val="00A27DF3"/>
    <w:rsid w:val="00A7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BodytextExact1">
    <w:name w:val="Body text Exact"/>
    <w:basedOn w:val="Bodytext"/>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Italic">
    <w:name w:val="Body text (2) + 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erorfooterNotBold">
    <w:name w:val="Header or footer + Not Bold"/>
    <w:aliases w:val="Italic,Spacing -1 pt"/>
    <w:basedOn w:val="Headerorfooter"/>
    <w:rPr>
      <w:rFonts w:ascii="Times New Roman" w:eastAsia="Times New Roman" w:hAnsi="Times New Roman" w:cs="Times New Roman"/>
      <w:b/>
      <w:bCs/>
      <w:i/>
      <w:iCs/>
      <w:smallCaps w:val="0"/>
      <w:strike w:val="0"/>
      <w:color w:val="000000"/>
      <w:spacing w:val="-20"/>
      <w:w w:val="100"/>
      <w:position w:val="0"/>
      <w:sz w:val="22"/>
      <w:szCs w:val="22"/>
      <w:u w:val="single"/>
      <w:lang w:val="en-US"/>
    </w:rPr>
  </w:style>
  <w:style w:type="character" w:customStyle="1" w:styleId="HeaderorfooterNotBold0">
    <w:name w:val="Header or footer + Not Bold"/>
    <w:aliases w:val="Italic,Spacing -1 pt"/>
    <w:basedOn w:val="Headerorfooter"/>
    <w:rPr>
      <w:rFonts w:ascii="Times New Roman" w:eastAsia="Times New Roman" w:hAnsi="Times New Roman" w:cs="Times New Roman"/>
      <w:b/>
      <w:bCs/>
      <w:i/>
      <w:iCs/>
      <w:smallCaps w:val="0"/>
      <w:strike w:val="0"/>
      <w:color w:val="000000"/>
      <w:spacing w:val="-20"/>
      <w:w w:val="100"/>
      <w:position w:val="0"/>
      <w:sz w:val="22"/>
      <w:szCs w:val="22"/>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2"/>
      <w:szCs w:val="22"/>
      <w:u w:val="none"/>
    </w:rPr>
  </w:style>
  <w:style w:type="character" w:customStyle="1" w:styleId="Bodytext3Bold">
    <w:name w:val="Body text (3) + Bold"/>
    <w:basedOn w:val="Bodytext3"/>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2">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NotItalic0">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3">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4">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3">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4">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5">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NotBold1">
    <w:name w:val="Header or footer + Not Bold"/>
    <w:aliases w:val="Italic,Spacing -1 pt"/>
    <w:basedOn w:val="Headerorfooter"/>
    <w:rPr>
      <w:rFonts w:ascii="Times New Roman" w:eastAsia="Times New Roman" w:hAnsi="Times New Roman" w:cs="Times New Roman"/>
      <w:b/>
      <w:bCs/>
      <w:i/>
      <w:iCs/>
      <w:smallCaps w:val="0"/>
      <w:strike w:val="0"/>
      <w:color w:val="000000"/>
      <w:spacing w:val="-20"/>
      <w:w w:val="100"/>
      <w:position w:val="0"/>
      <w:sz w:val="22"/>
      <w:szCs w:val="22"/>
      <w:u w:val="none"/>
      <w:lang w:val="en-US"/>
    </w:rPr>
  </w:style>
  <w:style w:type="character" w:customStyle="1" w:styleId="Bodytext34">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Exact2">
    <w:name w:val="Body text Exact"/>
    <w:basedOn w:val="Bodytex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en-US"/>
    </w:rPr>
  </w:style>
  <w:style w:type="paragraph" w:customStyle="1" w:styleId="BodyText4">
    <w:name w:val="Body Text4"/>
    <w:basedOn w:val="Normal"/>
    <w:link w:val="Bodytext"/>
    <w:pPr>
      <w:shd w:val="clear" w:color="auto" w:fill="FFFFFF"/>
      <w:spacing w:before="240" w:after="240" w:line="278" w:lineRule="exact"/>
      <w:ind w:hanging="400"/>
      <w:jc w:val="both"/>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spacing w:after="300" w:line="0" w:lineRule="atLeast"/>
      <w:jc w:val="center"/>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spacing w:before="300" w:after="240" w:line="278" w:lineRule="exact"/>
      <w:jc w:val="both"/>
    </w:pPr>
    <w:rPr>
      <w:rFonts w:ascii="Times New Roman" w:eastAsia="Times New Roman" w:hAnsi="Times New Roman" w:cs="Times New Roman"/>
      <w:i/>
      <w:iCs/>
      <w:sz w:val="22"/>
      <w:szCs w:val="22"/>
    </w:rPr>
  </w:style>
  <w:style w:type="paragraph" w:styleId="Footer">
    <w:name w:val="footer"/>
    <w:basedOn w:val="Normal"/>
    <w:link w:val="FooterChar"/>
    <w:uiPriority w:val="99"/>
    <w:unhideWhenUsed/>
    <w:rsid w:val="00A72BA6"/>
    <w:pPr>
      <w:tabs>
        <w:tab w:val="center" w:pos="4680"/>
        <w:tab w:val="right" w:pos="9360"/>
      </w:tabs>
    </w:pPr>
  </w:style>
  <w:style w:type="character" w:customStyle="1" w:styleId="FooterChar">
    <w:name w:val="Footer Char"/>
    <w:basedOn w:val="DefaultParagraphFont"/>
    <w:link w:val="Footer"/>
    <w:uiPriority w:val="99"/>
    <w:rsid w:val="00A72BA6"/>
    <w:rPr>
      <w:color w:val="000000"/>
    </w:rPr>
  </w:style>
  <w:style w:type="paragraph" w:styleId="Header">
    <w:name w:val="header"/>
    <w:basedOn w:val="Normal"/>
    <w:link w:val="HeaderChar"/>
    <w:uiPriority w:val="99"/>
    <w:unhideWhenUsed/>
    <w:rsid w:val="00A72BA6"/>
    <w:pPr>
      <w:tabs>
        <w:tab w:val="center" w:pos="4680"/>
        <w:tab w:val="right" w:pos="9360"/>
      </w:tabs>
    </w:pPr>
  </w:style>
  <w:style w:type="character" w:customStyle="1" w:styleId="HeaderChar">
    <w:name w:val="Header Char"/>
    <w:basedOn w:val="DefaultParagraphFont"/>
    <w:link w:val="Header"/>
    <w:uiPriority w:val="99"/>
    <w:rsid w:val="00A72BA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BodytextExact1">
    <w:name w:val="Body text Exact"/>
    <w:basedOn w:val="Bodytext"/>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Italic">
    <w:name w:val="Body text (2) + 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erorfooterNotBold">
    <w:name w:val="Header or footer + Not Bold"/>
    <w:aliases w:val="Italic,Spacing -1 pt"/>
    <w:basedOn w:val="Headerorfooter"/>
    <w:rPr>
      <w:rFonts w:ascii="Times New Roman" w:eastAsia="Times New Roman" w:hAnsi="Times New Roman" w:cs="Times New Roman"/>
      <w:b/>
      <w:bCs/>
      <w:i/>
      <w:iCs/>
      <w:smallCaps w:val="0"/>
      <w:strike w:val="0"/>
      <w:color w:val="000000"/>
      <w:spacing w:val="-20"/>
      <w:w w:val="100"/>
      <w:position w:val="0"/>
      <w:sz w:val="22"/>
      <w:szCs w:val="22"/>
      <w:u w:val="single"/>
      <w:lang w:val="en-US"/>
    </w:rPr>
  </w:style>
  <w:style w:type="character" w:customStyle="1" w:styleId="HeaderorfooterNotBold0">
    <w:name w:val="Header or footer + Not Bold"/>
    <w:aliases w:val="Italic,Spacing -1 pt"/>
    <w:basedOn w:val="Headerorfooter"/>
    <w:rPr>
      <w:rFonts w:ascii="Times New Roman" w:eastAsia="Times New Roman" w:hAnsi="Times New Roman" w:cs="Times New Roman"/>
      <w:b/>
      <w:bCs/>
      <w:i/>
      <w:iCs/>
      <w:smallCaps w:val="0"/>
      <w:strike w:val="0"/>
      <w:color w:val="000000"/>
      <w:spacing w:val="-20"/>
      <w:w w:val="100"/>
      <w:position w:val="0"/>
      <w:sz w:val="22"/>
      <w:szCs w:val="22"/>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2"/>
      <w:szCs w:val="22"/>
      <w:u w:val="none"/>
    </w:rPr>
  </w:style>
  <w:style w:type="character" w:customStyle="1" w:styleId="Bodytext3Bold">
    <w:name w:val="Body text (3) + Bold"/>
    <w:basedOn w:val="Bodytext3"/>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2">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NotItalic0">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3">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4">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3">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4">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5">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NotBold1">
    <w:name w:val="Header or footer + Not Bold"/>
    <w:aliases w:val="Italic,Spacing -1 pt"/>
    <w:basedOn w:val="Headerorfooter"/>
    <w:rPr>
      <w:rFonts w:ascii="Times New Roman" w:eastAsia="Times New Roman" w:hAnsi="Times New Roman" w:cs="Times New Roman"/>
      <w:b/>
      <w:bCs/>
      <w:i/>
      <w:iCs/>
      <w:smallCaps w:val="0"/>
      <w:strike w:val="0"/>
      <w:color w:val="000000"/>
      <w:spacing w:val="-20"/>
      <w:w w:val="100"/>
      <w:position w:val="0"/>
      <w:sz w:val="22"/>
      <w:szCs w:val="22"/>
      <w:u w:val="none"/>
      <w:lang w:val="en-US"/>
    </w:rPr>
  </w:style>
  <w:style w:type="character" w:customStyle="1" w:styleId="Bodytext34">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Exact2">
    <w:name w:val="Body text Exact"/>
    <w:basedOn w:val="Bodytex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en-US"/>
    </w:rPr>
  </w:style>
  <w:style w:type="paragraph" w:customStyle="1" w:styleId="BodyText4">
    <w:name w:val="Body Text4"/>
    <w:basedOn w:val="Normal"/>
    <w:link w:val="Bodytext"/>
    <w:pPr>
      <w:shd w:val="clear" w:color="auto" w:fill="FFFFFF"/>
      <w:spacing w:before="240" w:after="240" w:line="278" w:lineRule="exact"/>
      <w:ind w:hanging="400"/>
      <w:jc w:val="both"/>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spacing w:after="300" w:line="0" w:lineRule="atLeast"/>
      <w:jc w:val="center"/>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spacing w:before="300" w:after="240" w:line="278" w:lineRule="exact"/>
      <w:jc w:val="both"/>
    </w:pPr>
    <w:rPr>
      <w:rFonts w:ascii="Times New Roman" w:eastAsia="Times New Roman" w:hAnsi="Times New Roman" w:cs="Times New Roman"/>
      <w:i/>
      <w:iCs/>
      <w:sz w:val="22"/>
      <w:szCs w:val="22"/>
    </w:rPr>
  </w:style>
  <w:style w:type="paragraph" w:styleId="Footer">
    <w:name w:val="footer"/>
    <w:basedOn w:val="Normal"/>
    <w:link w:val="FooterChar"/>
    <w:uiPriority w:val="99"/>
    <w:unhideWhenUsed/>
    <w:rsid w:val="00A72BA6"/>
    <w:pPr>
      <w:tabs>
        <w:tab w:val="center" w:pos="4680"/>
        <w:tab w:val="right" w:pos="9360"/>
      </w:tabs>
    </w:pPr>
  </w:style>
  <w:style w:type="character" w:customStyle="1" w:styleId="FooterChar">
    <w:name w:val="Footer Char"/>
    <w:basedOn w:val="DefaultParagraphFont"/>
    <w:link w:val="Footer"/>
    <w:uiPriority w:val="99"/>
    <w:rsid w:val="00A72BA6"/>
    <w:rPr>
      <w:color w:val="000000"/>
    </w:rPr>
  </w:style>
  <w:style w:type="paragraph" w:styleId="Header">
    <w:name w:val="header"/>
    <w:basedOn w:val="Normal"/>
    <w:link w:val="HeaderChar"/>
    <w:uiPriority w:val="99"/>
    <w:unhideWhenUsed/>
    <w:rsid w:val="00A72BA6"/>
    <w:pPr>
      <w:tabs>
        <w:tab w:val="center" w:pos="4680"/>
        <w:tab w:val="right" w:pos="9360"/>
      </w:tabs>
    </w:pPr>
  </w:style>
  <w:style w:type="character" w:customStyle="1" w:styleId="HeaderChar">
    <w:name w:val="Header Char"/>
    <w:basedOn w:val="DefaultParagraphFont"/>
    <w:link w:val="Header"/>
    <w:uiPriority w:val="99"/>
    <w:rsid w:val="00A72BA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2016-06-06T08:31:00Z</dcterms:created>
  <dcterms:modified xsi:type="dcterms:W3CDTF">2016-06-06T08:50:00Z</dcterms:modified>
</cp:coreProperties>
</file>