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DE" w:rsidRPr="002919D5" w:rsidRDefault="00621D77" w:rsidP="002919D5">
      <w:pPr>
        <w:pStyle w:val="Headerorfooter0"/>
        <w:shd w:val="clear" w:color="auto" w:fill="auto"/>
        <w:spacing w:line="360" w:lineRule="auto"/>
        <w:ind w:left="20"/>
        <w:jc w:val="both"/>
        <w:rPr>
          <w:rFonts w:ascii="Times New Roman" w:hAnsi="Times New Roman" w:cs="Times New Roman"/>
        </w:rPr>
      </w:pPr>
      <w:r w:rsidRPr="002919D5">
        <w:rPr>
          <w:rFonts w:ascii="Times New Roman" w:hAnsi="Times New Roman" w:cs="Times New Roman"/>
        </w:rPr>
        <w:t xml:space="preserve">                                                                      </w:t>
      </w:r>
      <w:r w:rsidR="0098672A" w:rsidRPr="002919D5">
        <w:rPr>
          <w:rFonts w:ascii="Times New Roman" w:hAnsi="Times New Roman" w:cs="Times New Roman"/>
        </w:rPr>
        <w:t>THE REPUBLIC OF UGANDA</w:t>
      </w:r>
    </w:p>
    <w:p w:rsidR="001468DE" w:rsidRPr="002919D5" w:rsidRDefault="0098672A" w:rsidP="002919D5">
      <w:pPr>
        <w:pStyle w:val="Bodytext20"/>
        <w:shd w:val="clear" w:color="auto" w:fill="auto"/>
        <w:spacing w:after="200" w:line="360" w:lineRule="auto"/>
        <w:ind w:left="2480" w:firstLine="0"/>
        <w:jc w:val="both"/>
        <w:rPr>
          <w:rFonts w:ascii="Times New Roman" w:hAnsi="Times New Roman" w:cs="Times New Roman"/>
        </w:rPr>
      </w:pPr>
      <w:r w:rsidRPr="002919D5">
        <w:rPr>
          <w:rFonts w:ascii="Times New Roman" w:hAnsi="Times New Roman" w:cs="Times New Roman"/>
        </w:rPr>
        <w:t>IN THE COURT APPEAL OF UGANDA (COA) AT KAMPALA</w:t>
      </w:r>
    </w:p>
    <w:p w:rsidR="001468DE" w:rsidRPr="002919D5" w:rsidRDefault="0098672A" w:rsidP="002919D5">
      <w:pPr>
        <w:pStyle w:val="Bodytext20"/>
        <w:shd w:val="clear" w:color="auto" w:fill="auto"/>
        <w:spacing w:after="0" w:line="360" w:lineRule="auto"/>
        <w:ind w:left="2960" w:right="2020" w:firstLine="0"/>
        <w:jc w:val="both"/>
        <w:rPr>
          <w:rFonts w:ascii="Times New Roman" w:hAnsi="Times New Roman" w:cs="Times New Roman"/>
        </w:rPr>
      </w:pPr>
      <w:r w:rsidRPr="002919D5">
        <w:rPr>
          <w:rFonts w:ascii="Times New Roman" w:hAnsi="Times New Roman" w:cs="Times New Roman"/>
        </w:rPr>
        <w:t>Miscellaneou</w:t>
      </w:r>
      <w:bookmarkStart w:id="0" w:name="_GoBack"/>
      <w:bookmarkEnd w:id="0"/>
      <w:r w:rsidRPr="002919D5">
        <w:rPr>
          <w:rFonts w:ascii="Times New Roman" w:hAnsi="Times New Roman" w:cs="Times New Roman"/>
        </w:rPr>
        <w:t>s Application. No. 213 of 2015 (Arising from Civil Application no.36 of 2011)</w:t>
      </w:r>
    </w:p>
    <w:p w:rsidR="00621D77" w:rsidRPr="002919D5" w:rsidRDefault="00621D77" w:rsidP="002919D5">
      <w:pPr>
        <w:pStyle w:val="Bodytext20"/>
        <w:shd w:val="clear" w:color="auto" w:fill="auto"/>
        <w:spacing w:after="0" w:line="360" w:lineRule="auto"/>
        <w:ind w:left="2960" w:right="2020" w:firstLine="0"/>
        <w:jc w:val="both"/>
        <w:rPr>
          <w:rFonts w:ascii="Times New Roman" w:hAnsi="Times New Roman" w:cs="Times New Roman"/>
        </w:rPr>
      </w:pPr>
    </w:p>
    <w:p w:rsidR="001468DE" w:rsidRPr="002919D5" w:rsidRDefault="0098672A" w:rsidP="002919D5">
      <w:pPr>
        <w:pStyle w:val="Bodytext20"/>
        <w:shd w:val="clear" w:color="auto" w:fill="auto"/>
        <w:tabs>
          <w:tab w:val="left" w:leader="hyphen" w:pos="7617"/>
        </w:tabs>
        <w:spacing w:after="252" w:line="360" w:lineRule="auto"/>
        <w:ind w:left="220" w:firstLine="0"/>
        <w:jc w:val="both"/>
        <w:rPr>
          <w:rFonts w:ascii="Times New Roman" w:hAnsi="Times New Roman" w:cs="Times New Roman"/>
        </w:rPr>
      </w:pPr>
      <w:r w:rsidRPr="002919D5">
        <w:rPr>
          <w:rFonts w:ascii="Times New Roman" w:hAnsi="Times New Roman" w:cs="Times New Roman"/>
        </w:rPr>
        <w:t>WALANYIRA GEORGE DAVID</w:t>
      </w:r>
      <w:r w:rsidRPr="002919D5">
        <w:rPr>
          <w:rFonts w:ascii="Times New Roman" w:hAnsi="Times New Roman" w:cs="Times New Roman"/>
        </w:rPr>
        <w:tab/>
        <w:t>APPLICANT</w:t>
      </w:r>
    </w:p>
    <w:p w:rsidR="001468DE" w:rsidRPr="002919D5" w:rsidRDefault="0098672A" w:rsidP="002919D5">
      <w:pPr>
        <w:pStyle w:val="Bodytext20"/>
        <w:shd w:val="clear" w:color="auto" w:fill="auto"/>
        <w:spacing w:after="14" w:line="360" w:lineRule="auto"/>
        <w:ind w:left="220" w:firstLine="0"/>
        <w:jc w:val="both"/>
        <w:rPr>
          <w:rFonts w:ascii="Times New Roman" w:hAnsi="Times New Roman" w:cs="Times New Roman"/>
        </w:rPr>
      </w:pPr>
      <w:r w:rsidRPr="002919D5">
        <w:rPr>
          <w:rFonts w:ascii="Times New Roman" w:hAnsi="Times New Roman" w:cs="Times New Roman"/>
        </w:rPr>
        <w:t>VERSUS</w:t>
      </w:r>
    </w:p>
    <w:p w:rsidR="001468DE" w:rsidRPr="002919D5" w:rsidRDefault="0098672A" w:rsidP="002919D5">
      <w:pPr>
        <w:pStyle w:val="Bodytext20"/>
        <w:numPr>
          <w:ilvl w:val="0"/>
          <w:numId w:val="1"/>
        </w:numPr>
        <w:shd w:val="clear" w:color="auto" w:fill="auto"/>
        <w:tabs>
          <w:tab w:val="left" w:pos="874"/>
        </w:tabs>
        <w:spacing w:after="0" w:line="360" w:lineRule="auto"/>
        <w:ind w:left="20" w:firstLine="580"/>
        <w:jc w:val="both"/>
        <w:rPr>
          <w:rFonts w:ascii="Times New Roman" w:hAnsi="Times New Roman" w:cs="Times New Roman"/>
        </w:rPr>
      </w:pPr>
      <w:r w:rsidRPr="002919D5">
        <w:rPr>
          <w:rFonts w:ascii="Times New Roman" w:hAnsi="Times New Roman" w:cs="Times New Roman"/>
        </w:rPr>
        <w:t>KAVUYA BEN</w:t>
      </w:r>
    </w:p>
    <w:p w:rsidR="001468DE" w:rsidRPr="002919D5" w:rsidRDefault="0098672A" w:rsidP="002919D5">
      <w:pPr>
        <w:pStyle w:val="Bodytext20"/>
        <w:numPr>
          <w:ilvl w:val="0"/>
          <w:numId w:val="1"/>
        </w:numPr>
        <w:shd w:val="clear" w:color="auto" w:fill="auto"/>
        <w:tabs>
          <w:tab w:val="left" w:pos="869"/>
        </w:tabs>
        <w:spacing w:after="0" w:line="360" w:lineRule="auto"/>
        <w:ind w:left="20" w:firstLine="580"/>
        <w:jc w:val="both"/>
        <w:rPr>
          <w:rFonts w:ascii="Times New Roman" w:hAnsi="Times New Roman" w:cs="Times New Roman"/>
        </w:rPr>
      </w:pPr>
      <w:r w:rsidRPr="002919D5">
        <w:rPr>
          <w:rFonts w:ascii="Times New Roman" w:hAnsi="Times New Roman" w:cs="Times New Roman"/>
        </w:rPr>
        <w:t>GLOBAL CAPITAL SAVE 2004 LTD.</w:t>
      </w:r>
    </w:p>
    <w:p w:rsidR="001468DE" w:rsidRPr="002919D5" w:rsidRDefault="00621D77" w:rsidP="002919D5">
      <w:pPr>
        <w:pStyle w:val="Bodytext20"/>
        <w:shd w:val="clear" w:color="auto" w:fill="auto"/>
        <w:tabs>
          <w:tab w:val="left" w:leader="hyphen" w:pos="8151"/>
        </w:tabs>
        <w:spacing w:after="658" w:line="360" w:lineRule="auto"/>
        <w:ind w:left="600" w:hanging="580"/>
        <w:jc w:val="both"/>
        <w:rPr>
          <w:rFonts w:ascii="Times New Roman" w:hAnsi="Times New Roman" w:cs="Times New Roman"/>
        </w:rPr>
      </w:pPr>
      <w:r w:rsidRPr="002919D5">
        <w:rPr>
          <w:rFonts w:ascii="Times New Roman" w:hAnsi="Times New Roman" w:cs="Times New Roman"/>
        </w:rPr>
        <w:t xml:space="preserve">           </w:t>
      </w:r>
      <w:r w:rsidR="0098672A" w:rsidRPr="002919D5">
        <w:rPr>
          <w:rFonts w:ascii="Times New Roman" w:hAnsi="Times New Roman" w:cs="Times New Roman"/>
        </w:rPr>
        <w:t>3. RUTUNGU PROPERTIES LTD.</w:t>
      </w:r>
      <w:r w:rsidR="0098672A" w:rsidRPr="002919D5">
        <w:rPr>
          <w:rFonts w:ascii="Times New Roman" w:hAnsi="Times New Roman" w:cs="Times New Roman"/>
        </w:rPr>
        <w:tab/>
        <w:t>RESPONDENTS</w:t>
      </w:r>
    </w:p>
    <w:p w:rsidR="001468DE" w:rsidRPr="002919D5" w:rsidRDefault="0098672A" w:rsidP="002919D5">
      <w:pPr>
        <w:pStyle w:val="Bodytext20"/>
        <w:shd w:val="clear" w:color="auto" w:fill="auto"/>
        <w:spacing w:after="252" w:line="360" w:lineRule="auto"/>
        <w:ind w:left="20" w:firstLine="580"/>
        <w:jc w:val="both"/>
        <w:rPr>
          <w:rFonts w:ascii="Times New Roman" w:hAnsi="Times New Roman" w:cs="Times New Roman"/>
        </w:rPr>
      </w:pPr>
      <w:r w:rsidRPr="002919D5">
        <w:rPr>
          <w:rFonts w:ascii="Times New Roman" w:hAnsi="Times New Roman" w:cs="Times New Roman"/>
        </w:rPr>
        <w:t>CORAM: HON. MR. JUSTICE RICHARD BUTEERA</w:t>
      </w:r>
      <w:r w:rsidR="00621D77" w:rsidRPr="002919D5">
        <w:rPr>
          <w:rFonts w:ascii="Times New Roman" w:hAnsi="Times New Roman" w:cs="Times New Roman"/>
        </w:rPr>
        <w:t xml:space="preserve"> [</w:t>
      </w:r>
      <w:r w:rsidRPr="002919D5">
        <w:rPr>
          <w:rFonts w:ascii="Times New Roman" w:hAnsi="Times New Roman" w:cs="Times New Roman"/>
        </w:rPr>
        <w:t>SINGLE JUSTICE.</w:t>
      </w:r>
      <w:r w:rsidR="00621D77" w:rsidRPr="002919D5">
        <w:rPr>
          <w:rFonts w:ascii="Times New Roman" w:hAnsi="Times New Roman" w:cs="Times New Roman"/>
        </w:rPr>
        <w:t>]</w:t>
      </w:r>
    </w:p>
    <w:p w:rsidR="001468DE" w:rsidRPr="002919D5" w:rsidRDefault="00621D77" w:rsidP="002919D5">
      <w:pPr>
        <w:pStyle w:val="BodyText1"/>
        <w:shd w:val="clear" w:color="auto" w:fill="auto"/>
        <w:spacing w:before="0" w:after="216" w:line="360" w:lineRule="auto"/>
        <w:ind w:left="600" w:right="60"/>
        <w:jc w:val="both"/>
        <w:rPr>
          <w:rFonts w:ascii="Times New Roman" w:hAnsi="Times New Roman" w:cs="Times New Roman"/>
        </w:rPr>
      </w:pPr>
      <w:r w:rsidRPr="002919D5">
        <w:rPr>
          <w:rStyle w:val="Bodytext10pt0"/>
          <w:rFonts w:ascii="Times New Roman" w:hAnsi="Times New Roman" w:cs="Times New Roman"/>
          <w:sz w:val="24"/>
          <w:szCs w:val="24"/>
        </w:rPr>
        <w:t xml:space="preserve">        </w:t>
      </w:r>
      <w:r w:rsidR="0098672A" w:rsidRPr="002919D5">
        <w:rPr>
          <w:rStyle w:val="Bodytext10pt0"/>
          <w:rFonts w:ascii="Times New Roman" w:hAnsi="Times New Roman" w:cs="Times New Roman"/>
          <w:sz w:val="24"/>
          <w:szCs w:val="24"/>
        </w:rPr>
        <w:t xml:space="preserve"> </w:t>
      </w:r>
      <w:r w:rsidR="0098672A" w:rsidRPr="002919D5">
        <w:rPr>
          <w:rFonts w:ascii="Times New Roman" w:hAnsi="Times New Roman" w:cs="Times New Roman"/>
        </w:rPr>
        <w:t>This is an application brought by Notice of Motion under rules 30, 31, and 43(1) and (2) of the Judicature (Court of Appeal Rules) Directions).</w:t>
      </w:r>
    </w:p>
    <w:p w:rsidR="001468DE" w:rsidRPr="002919D5" w:rsidRDefault="0098672A" w:rsidP="002919D5">
      <w:pPr>
        <w:pStyle w:val="BodyText1"/>
        <w:shd w:val="clear" w:color="auto" w:fill="auto"/>
        <w:spacing w:before="0" w:after="158" w:line="360" w:lineRule="auto"/>
        <w:ind w:left="20" w:firstLine="580"/>
        <w:jc w:val="both"/>
        <w:rPr>
          <w:rFonts w:ascii="Times New Roman" w:hAnsi="Times New Roman" w:cs="Times New Roman"/>
        </w:rPr>
      </w:pPr>
      <w:r w:rsidRPr="002919D5">
        <w:rPr>
          <w:rFonts w:ascii="Times New Roman" w:hAnsi="Times New Roman" w:cs="Times New Roman"/>
        </w:rPr>
        <w:t>The applicant</w:t>
      </w:r>
      <w:r w:rsidRPr="002919D5">
        <w:rPr>
          <w:rFonts w:ascii="Times New Roman" w:hAnsi="Times New Roman" w:cs="Times New Roman"/>
        </w:rPr>
        <w:t xml:space="preserve"> is seeking for orders that:</w:t>
      </w:r>
    </w:p>
    <w:p w:rsidR="001468DE" w:rsidRPr="002919D5" w:rsidRDefault="0098672A" w:rsidP="002919D5">
      <w:pPr>
        <w:pStyle w:val="Bodytext20"/>
        <w:shd w:val="clear" w:color="auto" w:fill="auto"/>
        <w:tabs>
          <w:tab w:val="left" w:pos="2022"/>
        </w:tabs>
        <w:spacing w:after="224" w:line="360" w:lineRule="auto"/>
        <w:ind w:left="20" w:right="60" w:firstLine="1300"/>
        <w:jc w:val="both"/>
        <w:rPr>
          <w:rFonts w:ascii="Times New Roman" w:hAnsi="Times New Roman" w:cs="Times New Roman"/>
        </w:rPr>
      </w:pPr>
      <w:r w:rsidRPr="002919D5">
        <w:rPr>
          <w:rFonts w:ascii="Times New Roman" w:hAnsi="Times New Roman" w:cs="Times New Roman"/>
        </w:rPr>
        <w:t xml:space="preserve">" a) This honourable court in its discretion, for sufficient reason, take additional evidence or direct that additional evidence be taken by </w:t>
      </w:r>
      <w:r w:rsidRPr="002919D5">
        <w:rPr>
          <w:rFonts w:ascii="Times New Roman" w:hAnsi="Times New Roman" w:cs="Times New Roman"/>
        </w:rPr>
        <w:t>the trial court or by a commissioner.</w:t>
      </w:r>
    </w:p>
    <w:p w:rsidR="001468DE" w:rsidRPr="002919D5" w:rsidRDefault="0098672A" w:rsidP="002919D5">
      <w:pPr>
        <w:pStyle w:val="Bodytext20"/>
        <w:shd w:val="clear" w:color="auto" w:fill="auto"/>
        <w:spacing w:after="166" w:line="360" w:lineRule="auto"/>
        <w:ind w:left="20" w:firstLine="1300"/>
        <w:jc w:val="both"/>
        <w:rPr>
          <w:rFonts w:ascii="Times New Roman" w:hAnsi="Times New Roman" w:cs="Times New Roman"/>
        </w:rPr>
      </w:pPr>
      <w:r w:rsidRPr="002919D5">
        <w:rPr>
          <w:rFonts w:ascii="Times New Roman" w:hAnsi="Times New Roman" w:cs="Times New Roman"/>
        </w:rPr>
        <w:t>b) Such other order or orders as the honorabl</w:t>
      </w:r>
      <w:r w:rsidRPr="002919D5">
        <w:rPr>
          <w:rFonts w:ascii="Times New Roman" w:hAnsi="Times New Roman" w:cs="Times New Roman"/>
        </w:rPr>
        <w:t>e court may deem fit."</w:t>
      </w:r>
    </w:p>
    <w:p w:rsidR="001468DE" w:rsidRPr="002919D5" w:rsidRDefault="0098672A" w:rsidP="002919D5">
      <w:pPr>
        <w:pStyle w:val="BodyText1"/>
        <w:shd w:val="clear" w:color="auto" w:fill="auto"/>
        <w:spacing w:before="0" w:after="90" w:line="360" w:lineRule="auto"/>
        <w:ind w:left="20" w:right="60" w:firstLine="580"/>
        <w:jc w:val="both"/>
        <w:rPr>
          <w:rFonts w:ascii="Times New Roman" w:hAnsi="Times New Roman" w:cs="Times New Roman"/>
        </w:rPr>
      </w:pPr>
      <w:r w:rsidRPr="002919D5">
        <w:rPr>
          <w:rFonts w:ascii="Times New Roman" w:hAnsi="Times New Roman" w:cs="Times New Roman"/>
        </w:rPr>
        <w:t>The grounds for the application are set out in the Notice of Motion which is supported by an affidavit of Wakanyira George David, the applicant. The affidavit sets out the grounds in more detail. The grounds as per the Notice of moti</w:t>
      </w:r>
      <w:r w:rsidRPr="002919D5">
        <w:rPr>
          <w:rFonts w:ascii="Times New Roman" w:hAnsi="Times New Roman" w:cs="Times New Roman"/>
        </w:rPr>
        <w:t xml:space="preserve">on are </w:t>
      </w:r>
      <w:r w:rsidRPr="002919D5">
        <w:rPr>
          <w:rFonts w:ascii="Times New Roman" w:hAnsi="Times New Roman" w:cs="Times New Roman"/>
        </w:rPr>
        <w:t>the following:</w:t>
      </w:r>
    </w:p>
    <w:p w:rsidR="00621D77" w:rsidRPr="002919D5" w:rsidRDefault="0098672A" w:rsidP="002919D5">
      <w:pPr>
        <w:pStyle w:val="Bodytext20"/>
        <w:shd w:val="clear" w:color="auto" w:fill="auto"/>
        <w:spacing w:after="0" w:line="360" w:lineRule="auto"/>
        <w:ind w:left="600" w:right="60" w:firstLine="0"/>
        <w:jc w:val="both"/>
        <w:rPr>
          <w:rFonts w:ascii="Times New Roman" w:hAnsi="Times New Roman" w:cs="Times New Roman"/>
        </w:rPr>
      </w:pPr>
      <w:r w:rsidRPr="002919D5">
        <w:rPr>
          <w:rFonts w:ascii="Times New Roman" w:hAnsi="Times New Roman" w:cs="Times New Roman"/>
        </w:rPr>
        <w:t>"1. There is sufficient reason requiring the adducing of new evidence in the Appeal herein.</w:t>
      </w:r>
    </w:p>
    <w:p w:rsidR="001468DE" w:rsidRPr="002919D5" w:rsidRDefault="00621D77" w:rsidP="002919D5">
      <w:pPr>
        <w:pStyle w:val="Bodytext20"/>
        <w:shd w:val="clear" w:color="auto" w:fill="auto"/>
        <w:spacing w:after="0" w:line="360" w:lineRule="auto"/>
        <w:ind w:left="600" w:right="60" w:firstLine="0"/>
        <w:jc w:val="both"/>
        <w:rPr>
          <w:rFonts w:ascii="Times New Roman" w:hAnsi="Times New Roman" w:cs="Times New Roman"/>
        </w:rPr>
      </w:pPr>
      <w:r w:rsidRPr="002919D5">
        <w:rPr>
          <w:rFonts w:ascii="Times New Roman" w:hAnsi="Times New Roman" w:cs="Times New Roman"/>
        </w:rPr>
        <w:t>2.</w:t>
      </w:r>
      <w:r w:rsidR="0098672A" w:rsidRPr="002919D5">
        <w:rPr>
          <w:rFonts w:ascii="Times New Roman" w:hAnsi="Times New Roman" w:cs="Times New Roman"/>
        </w:rPr>
        <w:t>There are grounds for this Honourable Court to examine reports of the handwriting expert dated 25</w:t>
      </w:r>
      <w:r w:rsidR="0098672A" w:rsidRPr="002919D5">
        <w:rPr>
          <w:rFonts w:ascii="Times New Roman" w:hAnsi="Times New Roman" w:cs="Times New Roman"/>
          <w:vertAlign w:val="superscript"/>
        </w:rPr>
        <w:t>th</w:t>
      </w:r>
      <w:r w:rsidR="0098672A" w:rsidRPr="002919D5">
        <w:rPr>
          <w:rFonts w:ascii="Times New Roman" w:hAnsi="Times New Roman" w:cs="Times New Roman"/>
        </w:rPr>
        <w:t xml:space="preserve"> day of May 2014 and the 9</w:t>
      </w:r>
      <w:r w:rsidR="0098672A" w:rsidRPr="002919D5">
        <w:rPr>
          <w:rFonts w:ascii="Times New Roman" w:hAnsi="Times New Roman" w:cs="Times New Roman"/>
          <w:vertAlign w:val="superscript"/>
        </w:rPr>
        <w:t>th</w:t>
      </w:r>
      <w:r w:rsidR="0098672A" w:rsidRPr="002919D5">
        <w:rPr>
          <w:rFonts w:ascii="Times New Roman" w:hAnsi="Times New Roman" w:cs="Times New Roman"/>
        </w:rPr>
        <w:t xml:space="preserve"> day of September 2014, and the report of the Auditor to Police dated the 19</w:t>
      </w:r>
      <w:r w:rsidR="0098672A" w:rsidRPr="002919D5">
        <w:rPr>
          <w:rFonts w:ascii="Times New Roman" w:hAnsi="Times New Roman" w:cs="Times New Roman"/>
          <w:vertAlign w:val="superscript"/>
        </w:rPr>
        <w:t>th</w:t>
      </w:r>
      <w:r w:rsidR="0098672A" w:rsidRPr="002919D5">
        <w:rPr>
          <w:rFonts w:ascii="Times New Roman" w:hAnsi="Times New Roman" w:cs="Times New Roman"/>
        </w:rPr>
        <w:t xml:space="preserve"> day of December 2014 that the applicant only accessed in July 2015, so as to conclusively determine the</w:t>
      </w:r>
      <w:r w:rsidR="0098672A" w:rsidRPr="002919D5">
        <w:rPr>
          <w:rStyle w:val="Bodytext2NotBold"/>
          <w:rFonts w:ascii="Times New Roman" w:hAnsi="Times New Roman" w:cs="Times New Roman"/>
        </w:rPr>
        <w:t xml:space="preserve"> </w:t>
      </w:r>
      <w:r w:rsidR="0098672A" w:rsidRPr="002919D5">
        <w:rPr>
          <w:rFonts w:ascii="Times New Roman" w:hAnsi="Times New Roman" w:cs="Times New Roman"/>
        </w:rPr>
        <w:t>whether the was fraud committed by the firs</w:t>
      </w:r>
      <w:r w:rsidR="0098672A" w:rsidRPr="002919D5">
        <w:rPr>
          <w:rFonts w:ascii="Times New Roman" w:hAnsi="Times New Roman" w:cs="Times New Roman"/>
        </w:rPr>
        <w:t xml:space="preserve">t respondent </w:t>
      </w:r>
      <w:r w:rsidR="0098672A" w:rsidRPr="002919D5">
        <w:rPr>
          <w:rStyle w:val="Bodytext2NotBold"/>
          <w:rFonts w:ascii="Times New Roman" w:hAnsi="Times New Roman" w:cs="Times New Roman"/>
        </w:rPr>
        <w:t>(sic).</w:t>
      </w:r>
    </w:p>
    <w:p w:rsidR="001468DE" w:rsidRPr="002919D5" w:rsidRDefault="00621D77" w:rsidP="002919D5">
      <w:pPr>
        <w:pStyle w:val="Bodytext20"/>
        <w:shd w:val="clear" w:color="auto" w:fill="auto"/>
        <w:tabs>
          <w:tab w:val="left" w:pos="879"/>
        </w:tabs>
        <w:spacing w:after="226" w:line="360" w:lineRule="auto"/>
        <w:ind w:firstLine="0"/>
        <w:jc w:val="both"/>
        <w:rPr>
          <w:rFonts w:ascii="Times New Roman" w:hAnsi="Times New Roman" w:cs="Times New Roman"/>
        </w:rPr>
      </w:pPr>
      <w:r w:rsidRPr="002919D5">
        <w:rPr>
          <w:rFonts w:ascii="Times New Roman" w:hAnsi="Times New Roman" w:cs="Times New Roman"/>
        </w:rPr>
        <w:t xml:space="preserve">         3.</w:t>
      </w:r>
      <w:r w:rsidR="0098672A" w:rsidRPr="002919D5">
        <w:rPr>
          <w:rFonts w:ascii="Times New Roman" w:hAnsi="Times New Roman" w:cs="Times New Roman"/>
        </w:rPr>
        <w:t>The applicant will suffer irreparable damage if this application is not granted.</w:t>
      </w:r>
    </w:p>
    <w:p w:rsidR="001468DE" w:rsidRPr="002919D5" w:rsidRDefault="00621D77" w:rsidP="002919D5">
      <w:pPr>
        <w:pStyle w:val="Bodytext20"/>
        <w:shd w:val="clear" w:color="auto" w:fill="auto"/>
        <w:tabs>
          <w:tab w:val="left" w:pos="898"/>
        </w:tabs>
        <w:spacing w:after="125" w:line="360" w:lineRule="auto"/>
        <w:ind w:firstLine="0"/>
        <w:jc w:val="both"/>
        <w:rPr>
          <w:rFonts w:ascii="Times New Roman" w:hAnsi="Times New Roman" w:cs="Times New Roman"/>
        </w:rPr>
      </w:pPr>
      <w:r w:rsidRPr="002919D5">
        <w:rPr>
          <w:rFonts w:ascii="Times New Roman" w:hAnsi="Times New Roman" w:cs="Times New Roman"/>
        </w:rPr>
        <w:t xml:space="preserve">         4.</w:t>
      </w:r>
      <w:r w:rsidR="0098672A" w:rsidRPr="002919D5">
        <w:rPr>
          <w:rFonts w:ascii="Times New Roman" w:hAnsi="Times New Roman" w:cs="Times New Roman"/>
        </w:rPr>
        <w:t>And any other ground to be addressed at the hearing."</w:t>
      </w:r>
    </w:p>
    <w:p w:rsidR="001468DE" w:rsidRPr="002919D5" w:rsidRDefault="0098672A" w:rsidP="002919D5">
      <w:pPr>
        <w:pStyle w:val="BodyText1"/>
        <w:shd w:val="clear" w:color="auto" w:fill="auto"/>
        <w:spacing w:before="0" w:after="216" w:line="360" w:lineRule="auto"/>
        <w:ind w:left="620" w:right="100" w:firstLine="0"/>
        <w:jc w:val="both"/>
        <w:rPr>
          <w:rFonts w:ascii="Times New Roman" w:hAnsi="Times New Roman" w:cs="Times New Roman"/>
        </w:rPr>
      </w:pPr>
      <w:r w:rsidRPr="002919D5">
        <w:rPr>
          <w:rFonts w:ascii="Times New Roman" w:hAnsi="Times New Roman" w:cs="Times New Roman"/>
        </w:rPr>
        <w:t xml:space="preserve">At the hearing of the application the applicant was represented by learned Counsel, Mr. Dalton Oponya. The respondents did not appear to defend the application nor </w:t>
      </w:r>
      <w:r w:rsidRPr="002919D5">
        <w:rPr>
          <w:rFonts w:ascii="Times New Roman" w:hAnsi="Times New Roman" w:cs="Times New Roman"/>
        </w:rPr>
        <w:t>did their advocates. There was evidence on Court record, however, that the respondent's a</w:t>
      </w:r>
      <w:r w:rsidRPr="002919D5">
        <w:rPr>
          <w:rFonts w:ascii="Times New Roman" w:hAnsi="Times New Roman" w:cs="Times New Roman"/>
        </w:rPr>
        <w:t xml:space="preserve">dvocates were served for the hearing. The applicants Counsel applied to proceed exparte which Court </w:t>
      </w:r>
      <w:r w:rsidRPr="002919D5">
        <w:rPr>
          <w:rStyle w:val="Bodytext10pt2"/>
          <w:rFonts w:ascii="Times New Roman" w:hAnsi="Times New Roman" w:cs="Times New Roman"/>
          <w:sz w:val="24"/>
          <w:szCs w:val="24"/>
        </w:rPr>
        <w:t xml:space="preserve">granted </w:t>
      </w:r>
      <w:r w:rsidRPr="002919D5">
        <w:rPr>
          <w:rFonts w:ascii="Times New Roman" w:hAnsi="Times New Roman" w:cs="Times New Roman"/>
        </w:rPr>
        <w:t xml:space="preserve">since there was evidence of effective service and the respondents and their counsel were not in court and there was no explanation for their </w:t>
      </w:r>
      <w:r w:rsidRPr="002919D5">
        <w:rPr>
          <w:rFonts w:ascii="Times New Roman" w:hAnsi="Times New Roman" w:cs="Times New Roman"/>
        </w:rPr>
        <w:t>absence.</w:t>
      </w:r>
    </w:p>
    <w:p w:rsidR="001468DE" w:rsidRPr="002919D5" w:rsidRDefault="005873A0" w:rsidP="002919D5">
      <w:pPr>
        <w:pStyle w:val="BodyText1"/>
        <w:shd w:val="clear" w:color="auto" w:fill="auto"/>
        <w:spacing w:before="0" w:after="135" w:line="360" w:lineRule="auto"/>
        <w:ind w:left="60" w:firstLine="0"/>
        <w:jc w:val="both"/>
        <w:rPr>
          <w:rFonts w:ascii="Times New Roman" w:hAnsi="Times New Roman" w:cs="Times New Roman"/>
        </w:rPr>
      </w:pPr>
      <w:r w:rsidRPr="002919D5">
        <w:rPr>
          <w:rFonts w:ascii="Times New Roman" w:hAnsi="Times New Roman" w:cs="Times New Roman"/>
        </w:rPr>
        <w:lastRenderedPageBreak/>
        <w:t xml:space="preserve">           </w:t>
      </w:r>
      <w:r w:rsidR="0098672A" w:rsidRPr="002919D5">
        <w:rPr>
          <w:rFonts w:ascii="Times New Roman" w:hAnsi="Times New Roman" w:cs="Times New Roman"/>
        </w:rPr>
        <w:t xml:space="preserve"> The background facts to this application are the following:</w:t>
      </w:r>
    </w:p>
    <w:p w:rsidR="001468DE" w:rsidRPr="002919D5" w:rsidRDefault="0098672A" w:rsidP="002919D5">
      <w:pPr>
        <w:pStyle w:val="BodyText1"/>
        <w:shd w:val="clear" w:color="auto" w:fill="auto"/>
        <w:spacing w:before="0" w:after="113" w:line="360" w:lineRule="auto"/>
        <w:ind w:left="60" w:right="100" w:firstLine="560"/>
        <w:jc w:val="both"/>
        <w:rPr>
          <w:rFonts w:ascii="Times New Roman" w:hAnsi="Times New Roman" w:cs="Times New Roman"/>
        </w:rPr>
      </w:pPr>
      <w:r w:rsidRPr="002919D5">
        <w:rPr>
          <w:rFonts w:ascii="Times New Roman" w:hAnsi="Times New Roman" w:cs="Times New Roman"/>
        </w:rPr>
        <w:t>On the 18</w:t>
      </w:r>
      <w:r w:rsidRPr="002919D5">
        <w:rPr>
          <w:rFonts w:ascii="Times New Roman" w:hAnsi="Times New Roman" w:cs="Times New Roman"/>
          <w:vertAlign w:val="superscript"/>
        </w:rPr>
        <w:t>th</w:t>
      </w:r>
      <w:r w:rsidRPr="002919D5">
        <w:rPr>
          <w:rFonts w:ascii="Times New Roman" w:hAnsi="Times New Roman" w:cs="Times New Roman"/>
        </w:rPr>
        <w:t xml:space="preserve"> of January 2007, the applicant borrowed </w:t>
      </w:r>
      <w:proofErr w:type="spellStart"/>
      <w:r w:rsidRPr="002919D5">
        <w:rPr>
          <w:rFonts w:ascii="Times New Roman" w:hAnsi="Times New Roman" w:cs="Times New Roman"/>
        </w:rPr>
        <w:t>shs</w:t>
      </w:r>
      <w:proofErr w:type="spellEnd"/>
      <w:r w:rsidRPr="002919D5">
        <w:rPr>
          <w:rFonts w:ascii="Times New Roman" w:hAnsi="Times New Roman" w:cs="Times New Roman"/>
        </w:rPr>
        <w:t>. 170,000,000/= from the 2</w:t>
      </w:r>
      <w:r w:rsidRPr="002919D5">
        <w:rPr>
          <w:rFonts w:ascii="Times New Roman" w:hAnsi="Times New Roman" w:cs="Times New Roman"/>
          <w:vertAlign w:val="superscript"/>
        </w:rPr>
        <w:t>nd</w:t>
      </w:r>
      <w:r w:rsidRPr="002919D5">
        <w:rPr>
          <w:rFonts w:ascii="Times New Roman" w:hAnsi="Times New Roman" w:cs="Times New Roman"/>
        </w:rPr>
        <w:t xml:space="preserve"> respondent at an interest rate of 10% per month for six months. The applicant and the 1</w:t>
      </w:r>
      <w:r w:rsidRPr="002919D5">
        <w:rPr>
          <w:rFonts w:ascii="Times New Roman" w:hAnsi="Times New Roman" w:cs="Times New Roman"/>
          <w:vertAlign w:val="superscript"/>
        </w:rPr>
        <w:t>st</w:t>
      </w:r>
      <w:r w:rsidRPr="002919D5">
        <w:rPr>
          <w:rFonts w:ascii="Times New Roman" w:hAnsi="Times New Roman" w:cs="Times New Roman"/>
        </w:rPr>
        <w:t xml:space="preserve"> and 2</w:t>
      </w:r>
      <w:r w:rsidRPr="002919D5">
        <w:rPr>
          <w:rFonts w:ascii="Times New Roman" w:hAnsi="Times New Roman" w:cs="Times New Roman"/>
          <w:vertAlign w:val="superscript"/>
        </w:rPr>
        <w:t>nd</w:t>
      </w:r>
      <w:r w:rsidRPr="002919D5">
        <w:rPr>
          <w:rFonts w:ascii="Times New Roman" w:hAnsi="Times New Roman" w:cs="Times New Roman"/>
        </w:rPr>
        <w:t xml:space="preserve"> re</w:t>
      </w:r>
      <w:r w:rsidRPr="002919D5">
        <w:rPr>
          <w:rFonts w:ascii="Times New Roman" w:hAnsi="Times New Roman" w:cs="Times New Roman"/>
        </w:rPr>
        <w:t>spondent signed a sale agreement for two properties in respect of this transaction. The 1</w:t>
      </w:r>
      <w:r w:rsidRPr="002919D5">
        <w:rPr>
          <w:rFonts w:ascii="Times New Roman" w:hAnsi="Times New Roman" w:cs="Times New Roman"/>
          <w:vertAlign w:val="superscript"/>
        </w:rPr>
        <w:t>st</w:t>
      </w:r>
      <w:r w:rsidRPr="002919D5">
        <w:rPr>
          <w:rFonts w:ascii="Times New Roman" w:hAnsi="Times New Roman" w:cs="Times New Roman"/>
        </w:rPr>
        <w:t xml:space="preserve"> and 2</w:t>
      </w:r>
      <w:r w:rsidRPr="002919D5">
        <w:rPr>
          <w:rFonts w:ascii="Times New Roman" w:hAnsi="Times New Roman" w:cs="Times New Roman"/>
          <w:vertAlign w:val="superscript"/>
        </w:rPr>
        <w:t>nd</w:t>
      </w:r>
      <w:r w:rsidRPr="002919D5">
        <w:rPr>
          <w:rFonts w:ascii="Times New Roman" w:hAnsi="Times New Roman" w:cs="Times New Roman"/>
        </w:rPr>
        <w:t xml:space="preserve"> respondents later transferred the two </w:t>
      </w:r>
      <w:r w:rsidRPr="002919D5">
        <w:rPr>
          <w:rFonts w:ascii="Times New Roman" w:hAnsi="Times New Roman" w:cs="Times New Roman"/>
        </w:rPr>
        <w:t>properties to the 3</w:t>
      </w:r>
      <w:r w:rsidRPr="002919D5">
        <w:rPr>
          <w:rFonts w:ascii="Times New Roman" w:hAnsi="Times New Roman" w:cs="Times New Roman"/>
          <w:vertAlign w:val="superscript"/>
        </w:rPr>
        <w:t>rd</w:t>
      </w:r>
      <w:r w:rsidRPr="002919D5">
        <w:rPr>
          <w:rFonts w:ascii="Times New Roman" w:hAnsi="Times New Roman" w:cs="Times New Roman"/>
        </w:rPr>
        <w:t xml:space="preserve"> respondent, without the consent of the applicant.</w:t>
      </w:r>
    </w:p>
    <w:p w:rsidR="001468DE" w:rsidRPr="002919D5" w:rsidRDefault="0098672A" w:rsidP="002919D5">
      <w:pPr>
        <w:pStyle w:val="BodyText1"/>
        <w:shd w:val="clear" w:color="auto" w:fill="auto"/>
        <w:spacing w:before="0" w:after="124" w:line="360" w:lineRule="auto"/>
        <w:ind w:left="620" w:right="100" w:firstLine="0"/>
        <w:jc w:val="both"/>
        <w:rPr>
          <w:rFonts w:ascii="Times New Roman" w:hAnsi="Times New Roman" w:cs="Times New Roman"/>
        </w:rPr>
      </w:pPr>
      <w:r w:rsidRPr="002919D5">
        <w:rPr>
          <w:rFonts w:ascii="Times New Roman" w:hAnsi="Times New Roman" w:cs="Times New Roman"/>
        </w:rPr>
        <w:t>The applicant then sued the two in the High</w:t>
      </w:r>
      <w:r w:rsidRPr="002919D5">
        <w:rPr>
          <w:rFonts w:ascii="Times New Roman" w:hAnsi="Times New Roman" w:cs="Times New Roman"/>
        </w:rPr>
        <w:t xml:space="preserve"> Court (Commercial Division) under Civil Suit No. 560 of 2007. The High Court decided against the appellant.</w:t>
      </w:r>
    </w:p>
    <w:p w:rsidR="001468DE" w:rsidRPr="002919D5" w:rsidRDefault="0098672A" w:rsidP="002919D5">
      <w:pPr>
        <w:pStyle w:val="BodyText1"/>
        <w:shd w:val="clear" w:color="auto" w:fill="auto"/>
        <w:spacing w:before="0" w:after="116" w:line="360" w:lineRule="auto"/>
        <w:ind w:left="60" w:right="100" w:firstLine="0"/>
        <w:jc w:val="both"/>
        <w:rPr>
          <w:rFonts w:ascii="Times New Roman" w:hAnsi="Times New Roman" w:cs="Times New Roman"/>
        </w:rPr>
      </w:pPr>
      <w:r w:rsidRPr="002919D5">
        <w:rPr>
          <w:rFonts w:ascii="Times New Roman" w:hAnsi="Times New Roman" w:cs="Times New Roman"/>
        </w:rPr>
        <w:t>In July 2015, after the High Court suit was determined the appellant obtained reports of the handwriting expert dated 25</w:t>
      </w:r>
      <w:r w:rsidRPr="002919D5">
        <w:rPr>
          <w:rFonts w:ascii="Times New Roman" w:hAnsi="Times New Roman" w:cs="Times New Roman"/>
          <w:vertAlign w:val="superscript"/>
        </w:rPr>
        <w:t>th</w:t>
      </w:r>
      <w:r w:rsidRPr="002919D5">
        <w:rPr>
          <w:rFonts w:ascii="Times New Roman" w:hAnsi="Times New Roman" w:cs="Times New Roman"/>
        </w:rPr>
        <w:t xml:space="preserve"> March 2014 and 9</w:t>
      </w:r>
      <w:r w:rsidRPr="002919D5">
        <w:rPr>
          <w:rFonts w:ascii="Times New Roman" w:hAnsi="Times New Roman" w:cs="Times New Roman"/>
          <w:vertAlign w:val="superscript"/>
        </w:rPr>
        <w:t>th</w:t>
      </w:r>
      <w:r w:rsidRPr="002919D5">
        <w:rPr>
          <w:rFonts w:ascii="Times New Roman" w:hAnsi="Times New Roman" w:cs="Times New Roman"/>
        </w:rPr>
        <w:t xml:space="preserve"> September 2014. </w:t>
      </w:r>
      <w:r w:rsidRPr="002919D5">
        <w:rPr>
          <w:rFonts w:ascii="Times New Roman" w:hAnsi="Times New Roman" w:cs="Times New Roman"/>
        </w:rPr>
        <w:t>In January 2015 he accessed a report of the Auditor to police dated 19</w:t>
      </w:r>
      <w:r w:rsidRPr="002919D5">
        <w:rPr>
          <w:rFonts w:ascii="Times New Roman" w:hAnsi="Times New Roman" w:cs="Times New Roman"/>
          <w:vertAlign w:val="superscript"/>
        </w:rPr>
        <w:t>th</w:t>
      </w:r>
      <w:r w:rsidRPr="002919D5">
        <w:rPr>
          <w:rFonts w:ascii="Times New Roman" w:hAnsi="Times New Roman" w:cs="Times New Roman"/>
        </w:rPr>
        <w:t xml:space="preserve"> December 2014 all of which indicated that the 1</w:t>
      </w:r>
      <w:r w:rsidRPr="002919D5">
        <w:rPr>
          <w:rFonts w:ascii="Times New Roman" w:hAnsi="Times New Roman" w:cs="Times New Roman"/>
          <w:vertAlign w:val="superscript"/>
        </w:rPr>
        <w:t>st</w:t>
      </w:r>
      <w:r w:rsidRPr="002919D5">
        <w:rPr>
          <w:rFonts w:ascii="Times New Roman" w:hAnsi="Times New Roman" w:cs="Times New Roman"/>
        </w:rPr>
        <w:t xml:space="preserve"> respondent had committed fraud in the safe and transfer of the two suit properties.</w:t>
      </w:r>
    </w:p>
    <w:p w:rsidR="001468DE" w:rsidRPr="002919D5" w:rsidRDefault="0098672A" w:rsidP="002919D5">
      <w:pPr>
        <w:pStyle w:val="BodyText1"/>
        <w:shd w:val="clear" w:color="auto" w:fill="auto"/>
        <w:spacing w:before="0" w:after="0" w:line="360" w:lineRule="auto"/>
        <w:ind w:left="60" w:right="100" w:firstLine="560"/>
        <w:jc w:val="both"/>
        <w:rPr>
          <w:rFonts w:ascii="Times New Roman" w:hAnsi="Times New Roman" w:cs="Times New Roman"/>
        </w:rPr>
      </w:pPr>
      <w:r w:rsidRPr="002919D5">
        <w:rPr>
          <w:rFonts w:ascii="Times New Roman" w:hAnsi="Times New Roman" w:cs="Times New Roman"/>
        </w:rPr>
        <w:t>Counsel Dalton Oponya, for th</w:t>
      </w:r>
      <w:r w:rsidRPr="002919D5">
        <w:rPr>
          <w:rFonts w:ascii="Times New Roman" w:hAnsi="Times New Roman" w:cs="Times New Roman"/>
        </w:rPr>
        <w:t xml:space="preserve">e applicant submitted that the applicant was not in possession of the two reports of the handwriting expert and the report of </w:t>
      </w:r>
      <w:r w:rsidR="005873A0" w:rsidRPr="002919D5">
        <w:rPr>
          <w:rFonts w:ascii="Times New Roman" w:hAnsi="Times New Roman" w:cs="Times New Roman"/>
        </w:rPr>
        <w:t>the Auditor</w:t>
      </w:r>
      <w:r w:rsidRPr="002919D5">
        <w:rPr>
          <w:rFonts w:ascii="Times New Roman" w:hAnsi="Times New Roman" w:cs="Times New Roman"/>
        </w:rPr>
        <w:t xml:space="preserve"> by the time the High Court heard and determined the suit between the appellant and the respondents.</w:t>
      </w:r>
    </w:p>
    <w:p w:rsidR="001468DE" w:rsidRPr="002919D5" w:rsidRDefault="0098672A" w:rsidP="002919D5">
      <w:pPr>
        <w:pStyle w:val="BodyText1"/>
        <w:shd w:val="clear" w:color="auto" w:fill="auto"/>
        <w:spacing w:before="0" w:after="220" w:line="360" w:lineRule="auto"/>
        <w:ind w:left="600" w:right="80" w:firstLine="0"/>
        <w:jc w:val="both"/>
        <w:rPr>
          <w:rFonts w:ascii="Times New Roman" w:hAnsi="Times New Roman" w:cs="Times New Roman"/>
        </w:rPr>
      </w:pPr>
      <w:r w:rsidRPr="002919D5">
        <w:rPr>
          <w:rFonts w:ascii="Times New Roman" w:hAnsi="Times New Roman" w:cs="Times New Roman"/>
        </w:rPr>
        <w:t xml:space="preserve">He contended that the </w:t>
      </w:r>
      <w:r w:rsidRPr="002919D5">
        <w:rPr>
          <w:rStyle w:val="Bodytext10pt3"/>
          <w:rFonts w:ascii="Times New Roman" w:hAnsi="Times New Roman" w:cs="Times New Roman"/>
          <w:sz w:val="24"/>
          <w:szCs w:val="24"/>
        </w:rPr>
        <w:t xml:space="preserve">appellant </w:t>
      </w:r>
      <w:r w:rsidRPr="002919D5">
        <w:rPr>
          <w:rFonts w:ascii="Times New Roman" w:hAnsi="Times New Roman" w:cs="Times New Roman"/>
        </w:rPr>
        <w:t>accessed the new evidence after the case was determined but the evidence was relevant as it revered fraud in the transaction. He contended further that since the new evidence was not available to the appel</w:t>
      </w:r>
      <w:r w:rsidRPr="002919D5">
        <w:rPr>
          <w:rFonts w:ascii="Times New Roman" w:hAnsi="Times New Roman" w:cs="Times New Roman"/>
        </w:rPr>
        <w:t xml:space="preserve">lant at the time of trial there was no way he would have adduced it </w:t>
      </w:r>
      <w:r w:rsidR="005873A0" w:rsidRPr="002919D5">
        <w:rPr>
          <w:rFonts w:ascii="Times New Roman" w:hAnsi="Times New Roman" w:cs="Times New Roman"/>
        </w:rPr>
        <w:t xml:space="preserve">before </w:t>
      </w:r>
      <w:r w:rsidR="005873A0" w:rsidRPr="002919D5">
        <w:rPr>
          <w:rStyle w:val="Bodytext10pt0"/>
          <w:rFonts w:ascii="Times New Roman" w:hAnsi="Times New Roman" w:cs="Times New Roman"/>
          <w:sz w:val="24"/>
          <w:szCs w:val="24"/>
        </w:rPr>
        <w:t>the</w:t>
      </w:r>
      <w:r w:rsidRPr="002919D5">
        <w:rPr>
          <w:rFonts w:ascii="Times New Roman" w:hAnsi="Times New Roman" w:cs="Times New Roman"/>
        </w:rPr>
        <w:t xml:space="preserve"> High Court. Counsel urged this Court to admit on court record the new evidence as additional evidence for consideration at the hearing of the instant appeal.</w:t>
      </w:r>
    </w:p>
    <w:p w:rsidR="001468DE" w:rsidRPr="002919D5" w:rsidRDefault="0098672A" w:rsidP="002919D5">
      <w:pPr>
        <w:pStyle w:val="Bodytext20"/>
        <w:shd w:val="clear" w:color="auto" w:fill="auto"/>
        <w:spacing w:after="204" w:line="360" w:lineRule="auto"/>
        <w:ind w:left="600" w:firstLine="0"/>
        <w:jc w:val="both"/>
        <w:rPr>
          <w:rFonts w:ascii="Times New Roman" w:hAnsi="Times New Roman" w:cs="Times New Roman"/>
        </w:rPr>
      </w:pPr>
      <w:r w:rsidRPr="002919D5">
        <w:rPr>
          <w:rFonts w:ascii="Times New Roman" w:hAnsi="Times New Roman" w:cs="Times New Roman"/>
        </w:rPr>
        <w:t>The Decision of C</w:t>
      </w:r>
      <w:r w:rsidRPr="002919D5">
        <w:rPr>
          <w:rFonts w:ascii="Times New Roman" w:hAnsi="Times New Roman" w:cs="Times New Roman"/>
        </w:rPr>
        <w:t>ourt</w:t>
      </w:r>
    </w:p>
    <w:p w:rsidR="001468DE" w:rsidRPr="002919D5" w:rsidRDefault="0098672A" w:rsidP="002919D5">
      <w:pPr>
        <w:pStyle w:val="BodyText1"/>
        <w:shd w:val="clear" w:color="auto" w:fill="auto"/>
        <w:spacing w:before="0" w:after="216" w:line="360" w:lineRule="auto"/>
        <w:ind w:left="600" w:right="80" w:firstLine="0"/>
        <w:jc w:val="both"/>
        <w:rPr>
          <w:rFonts w:ascii="Times New Roman" w:hAnsi="Times New Roman" w:cs="Times New Roman"/>
        </w:rPr>
      </w:pPr>
      <w:r w:rsidRPr="002919D5">
        <w:rPr>
          <w:rFonts w:ascii="Times New Roman" w:hAnsi="Times New Roman" w:cs="Times New Roman"/>
        </w:rPr>
        <w:t>The admission of additional evidence by this court is governed by Rule 30 (1) (b) of the Rules of this Court which provides:</w:t>
      </w:r>
    </w:p>
    <w:p w:rsidR="001468DE" w:rsidRPr="002919D5" w:rsidRDefault="005873A0" w:rsidP="002919D5">
      <w:pPr>
        <w:pStyle w:val="Bodytext20"/>
        <w:shd w:val="clear" w:color="auto" w:fill="auto"/>
        <w:spacing w:after="178" w:line="360" w:lineRule="auto"/>
        <w:ind w:left="40" w:firstLine="0"/>
        <w:jc w:val="both"/>
        <w:rPr>
          <w:rFonts w:ascii="Times New Roman" w:hAnsi="Times New Roman" w:cs="Times New Roman"/>
        </w:rPr>
      </w:pPr>
      <w:r w:rsidRPr="002919D5">
        <w:rPr>
          <w:rFonts w:ascii="Times New Roman" w:hAnsi="Times New Roman" w:cs="Times New Roman"/>
        </w:rPr>
        <w:t xml:space="preserve">         </w:t>
      </w:r>
      <w:r w:rsidR="0098672A" w:rsidRPr="002919D5">
        <w:rPr>
          <w:rFonts w:ascii="Times New Roman" w:hAnsi="Times New Roman" w:cs="Times New Roman"/>
        </w:rPr>
        <w:t xml:space="preserve"> "30. Power to reappraise evidence and to take additional evidence.</w:t>
      </w:r>
    </w:p>
    <w:p w:rsidR="001468DE" w:rsidRPr="002919D5" w:rsidRDefault="0098672A" w:rsidP="002919D5">
      <w:pPr>
        <w:pStyle w:val="Bodytext20"/>
        <w:shd w:val="clear" w:color="auto" w:fill="auto"/>
        <w:spacing w:after="208" w:line="360" w:lineRule="auto"/>
        <w:ind w:left="600" w:right="80" w:firstLine="0"/>
        <w:jc w:val="both"/>
        <w:rPr>
          <w:rFonts w:ascii="Times New Roman" w:hAnsi="Times New Roman" w:cs="Times New Roman"/>
        </w:rPr>
      </w:pPr>
      <w:r w:rsidRPr="002919D5">
        <w:rPr>
          <w:rFonts w:ascii="Times New Roman" w:hAnsi="Times New Roman" w:cs="Times New Roman"/>
        </w:rPr>
        <w:t xml:space="preserve">(1) On any appeal from a decision of the High Court acting in the exercise of its original jurisdiction, the </w:t>
      </w:r>
      <w:r w:rsidRPr="002919D5">
        <w:rPr>
          <w:rStyle w:val="Bodytext2SegoeUI"/>
          <w:rFonts w:ascii="Times New Roman" w:hAnsi="Times New Roman" w:cs="Times New Roman"/>
          <w:b/>
          <w:bCs/>
          <w:sz w:val="24"/>
          <w:szCs w:val="24"/>
        </w:rPr>
        <w:t xml:space="preserve">court </w:t>
      </w:r>
      <w:r w:rsidRPr="002919D5">
        <w:rPr>
          <w:rFonts w:ascii="Times New Roman" w:hAnsi="Times New Roman" w:cs="Times New Roman"/>
        </w:rPr>
        <w:t>may_</w:t>
      </w:r>
    </w:p>
    <w:p w:rsidR="001468DE" w:rsidRPr="002919D5" w:rsidRDefault="0098672A" w:rsidP="002919D5">
      <w:pPr>
        <w:pStyle w:val="Bodytext20"/>
        <w:numPr>
          <w:ilvl w:val="0"/>
          <w:numId w:val="3"/>
        </w:numPr>
        <w:shd w:val="clear" w:color="auto" w:fill="auto"/>
        <w:tabs>
          <w:tab w:val="left" w:pos="965"/>
          <w:tab w:val="left" w:leader="hyphen" w:pos="1027"/>
          <w:tab w:val="left" w:leader="hyphen" w:pos="1536"/>
        </w:tabs>
        <w:spacing w:after="171" w:line="360" w:lineRule="auto"/>
        <w:ind w:left="600" w:firstLine="0"/>
        <w:jc w:val="both"/>
        <w:rPr>
          <w:rFonts w:ascii="Times New Roman" w:hAnsi="Times New Roman" w:cs="Times New Roman"/>
        </w:rPr>
      </w:pPr>
      <w:r w:rsidRPr="002919D5">
        <w:rPr>
          <w:rFonts w:ascii="Times New Roman" w:hAnsi="Times New Roman" w:cs="Times New Roman"/>
        </w:rPr>
        <w:tab/>
      </w:r>
      <w:r w:rsidRPr="002919D5">
        <w:rPr>
          <w:rFonts w:ascii="Times New Roman" w:hAnsi="Times New Roman" w:cs="Times New Roman"/>
        </w:rPr>
        <w:tab/>
      </w:r>
    </w:p>
    <w:p w:rsidR="001468DE" w:rsidRPr="002919D5" w:rsidRDefault="005873A0" w:rsidP="002919D5">
      <w:pPr>
        <w:pStyle w:val="Bodytext20"/>
        <w:numPr>
          <w:ilvl w:val="0"/>
          <w:numId w:val="3"/>
        </w:numPr>
        <w:shd w:val="clear" w:color="auto" w:fill="auto"/>
        <w:tabs>
          <w:tab w:val="left" w:pos="1005"/>
        </w:tabs>
        <w:spacing w:after="660" w:line="360" w:lineRule="auto"/>
        <w:ind w:left="40" w:right="80" w:firstLine="540"/>
        <w:jc w:val="both"/>
        <w:rPr>
          <w:rFonts w:ascii="Times New Roman" w:hAnsi="Times New Roman" w:cs="Times New Roman"/>
        </w:rPr>
      </w:pPr>
      <w:r w:rsidRPr="002919D5">
        <w:rPr>
          <w:rFonts w:ascii="Times New Roman" w:hAnsi="Times New Roman" w:cs="Times New Roman"/>
        </w:rPr>
        <w:t>In</w:t>
      </w:r>
      <w:r w:rsidR="0098672A" w:rsidRPr="002919D5">
        <w:rPr>
          <w:rFonts w:ascii="Times New Roman" w:hAnsi="Times New Roman" w:cs="Times New Roman"/>
        </w:rPr>
        <w:t xml:space="preserve"> its discretion, for sufficient reason, take additional or direct that additional </w:t>
      </w:r>
      <w:r w:rsidR="0098672A" w:rsidRPr="002919D5">
        <w:rPr>
          <w:rFonts w:ascii="Times New Roman" w:hAnsi="Times New Roman" w:cs="Times New Roman"/>
        </w:rPr>
        <w:t>evidence be taken by the trail court or by a c</w:t>
      </w:r>
      <w:r w:rsidR="0098672A" w:rsidRPr="002919D5">
        <w:rPr>
          <w:rFonts w:ascii="Times New Roman" w:hAnsi="Times New Roman" w:cs="Times New Roman"/>
        </w:rPr>
        <w:t>ommissioner. "</w:t>
      </w:r>
    </w:p>
    <w:p w:rsidR="001468DE" w:rsidRPr="002919D5" w:rsidRDefault="0098672A" w:rsidP="002919D5">
      <w:pPr>
        <w:pStyle w:val="Bodytext20"/>
        <w:shd w:val="clear" w:color="auto" w:fill="auto"/>
        <w:spacing w:after="113" w:line="360" w:lineRule="auto"/>
        <w:ind w:left="600" w:right="80" w:firstLine="0"/>
        <w:jc w:val="both"/>
        <w:rPr>
          <w:rFonts w:ascii="Times New Roman" w:hAnsi="Times New Roman" w:cs="Times New Roman"/>
        </w:rPr>
      </w:pPr>
      <w:r w:rsidRPr="002919D5">
        <w:rPr>
          <w:rStyle w:val="Bodytext2NotBold"/>
          <w:rFonts w:ascii="Times New Roman" w:hAnsi="Times New Roman" w:cs="Times New Roman"/>
        </w:rPr>
        <w:t xml:space="preserve">The principles and conditions that this court follows in the admission of additional evidence were stated by the Supreme Court in two cases that this court relied upon in </w:t>
      </w:r>
      <w:r w:rsidRPr="002919D5">
        <w:rPr>
          <w:rFonts w:ascii="Times New Roman" w:hAnsi="Times New Roman" w:cs="Times New Roman"/>
        </w:rPr>
        <w:t xml:space="preserve">Civil Application No. 133 of 2014 (Arising from Civil Appeal No. 122 of 2013) </w:t>
      </w:r>
      <w:r w:rsidR="005873A0" w:rsidRPr="002919D5">
        <w:rPr>
          <w:rFonts w:ascii="Times New Roman" w:hAnsi="Times New Roman" w:cs="Times New Roman"/>
        </w:rPr>
        <w:t>,</w:t>
      </w:r>
      <w:r w:rsidRPr="002919D5">
        <w:rPr>
          <w:rStyle w:val="Bodytext2NotBold"/>
          <w:rFonts w:ascii="Times New Roman" w:hAnsi="Times New Roman" w:cs="Times New Roman"/>
        </w:rPr>
        <w:t xml:space="preserve"> </w:t>
      </w:r>
      <w:proofErr w:type="spellStart"/>
      <w:r w:rsidRPr="002919D5">
        <w:rPr>
          <w:rFonts w:ascii="Times New Roman" w:hAnsi="Times New Roman" w:cs="Times New Roman"/>
        </w:rPr>
        <w:t>Makubuya</w:t>
      </w:r>
      <w:proofErr w:type="spellEnd"/>
      <w:r w:rsidRPr="002919D5">
        <w:rPr>
          <w:rFonts w:ascii="Times New Roman" w:hAnsi="Times New Roman" w:cs="Times New Roman"/>
        </w:rPr>
        <w:t xml:space="preserve"> </w:t>
      </w:r>
      <w:proofErr w:type="spellStart"/>
      <w:r w:rsidRPr="002919D5">
        <w:rPr>
          <w:rFonts w:ascii="Times New Roman" w:hAnsi="Times New Roman" w:cs="Times New Roman"/>
        </w:rPr>
        <w:t>Enock</w:t>
      </w:r>
      <w:proofErr w:type="spellEnd"/>
      <w:r w:rsidRPr="002919D5">
        <w:rPr>
          <w:rFonts w:ascii="Times New Roman" w:hAnsi="Times New Roman" w:cs="Times New Roman"/>
        </w:rPr>
        <w:t xml:space="preserve"> William T/a Polly Post versus </w:t>
      </w:r>
      <w:proofErr w:type="spellStart"/>
      <w:r w:rsidRPr="002919D5">
        <w:rPr>
          <w:rFonts w:ascii="Times New Roman" w:hAnsi="Times New Roman" w:cs="Times New Roman"/>
        </w:rPr>
        <w:t>Bulaim</w:t>
      </w:r>
      <w:proofErr w:type="spellEnd"/>
      <w:r w:rsidRPr="002919D5">
        <w:rPr>
          <w:rFonts w:ascii="Times New Roman" w:hAnsi="Times New Roman" w:cs="Times New Roman"/>
        </w:rPr>
        <w:t xml:space="preserve"> </w:t>
      </w:r>
      <w:proofErr w:type="spellStart"/>
      <w:r w:rsidRPr="002919D5">
        <w:rPr>
          <w:rFonts w:ascii="Times New Roman" w:hAnsi="Times New Roman" w:cs="Times New Roman"/>
        </w:rPr>
        <w:t>Muwanga</w:t>
      </w:r>
      <w:proofErr w:type="spellEnd"/>
      <w:r w:rsidRPr="002919D5">
        <w:rPr>
          <w:rFonts w:ascii="Times New Roman" w:hAnsi="Times New Roman" w:cs="Times New Roman"/>
        </w:rPr>
        <w:t xml:space="preserve"> </w:t>
      </w:r>
      <w:proofErr w:type="spellStart"/>
      <w:r w:rsidRPr="002919D5">
        <w:rPr>
          <w:rFonts w:ascii="Times New Roman" w:hAnsi="Times New Roman" w:cs="Times New Roman"/>
        </w:rPr>
        <w:t>Klbirige</w:t>
      </w:r>
      <w:proofErr w:type="spellEnd"/>
      <w:r w:rsidRPr="002919D5">
        <w:rPr>
          <w:rFonts w:ascii="Times New Roman" w:hAnsi="Times New Roman" w:cs="Times New Roman"/>
        </w:rPr>
        <w:t xml:space="preserve"> T/A </w:t>
      </w:r>
      <w:proofErr w:type="spellStart"/>
      <w:r w:rsidRPr="002919D5">
        <w:rPr>
          <w:rFonts w:ascii="Times New Roman" w:hAnsi="Times New Roman" w:cs="Times New Roman"/>
        </w:rPr>
        <w:t>kowloon</w:t>
      </w:r>
      <w:proofErr w:type="spellEnd"/>
      <w:r w:rsidRPr="002919D5">
        <w:rPr>
          <w:rFonts w:ascii="Times New Roman" w:hAnsi="Times New Roman" w:cs="Times New Roman"/>
        </w:rPr>
        <w:t xml:space="preserve"> Garment Industry, </w:t>
      </w:r>
      <w:r w:rsidRPr="002919D5">
        <w:rPr>
          <w:rStyle w:val="Bodytext2NotBold"/>
          <w:rFonts w:ascii="Times New Roman" w:hAnsi="Times New Roman" w:cs="Times New Roman"/>
        </w:rPr>
        <w:t xml:space="preserve">to which counsel for the appellant referred the court. The Supreme Court in </w:t>
      </w:r>
      <w:r w:rsidRPr="002919D5">
        <w:rPr>
          <w:rFonts w:ascii="Times New Roman" w:hAnsi="Times New Roman" w:cs="Times New Roman"/>
        </w:rPr>
        <w:t xml:space="preserve">Hon. </w:t>
      </w:r>
      <w:proofErr w:type="spellStart"/>
      <w:r w:rsidRPr="002919D5">
        <w:rPr>
          <w:rFonts w:ascii="Times New Roman" w:hAnsi="Times New Roman" w:cs="Times New Roman"/>
        </w:rPr>
        <w:t>Bangirana</w:t>
      </w:r>
      <w:proofErr w:type="spellEnd"/>
      <w:r w:rsidRPr="002919D5">
        <w:rPr>
          <w:rFonts w:ascii="Times New Roman" w:hAnsi="Times New Roman" w:cs="Times New Roman"/>
        </w:rPr>
        <w:t xml:space="preserve"> </w:t>
      </w:r>
      <w:proofErr w:type="spellStart"/>
      <w:r w:rsidRPr="002919D5">
        <w:rPr>
          <w:rFonts w:ascii="Times New Roman" w:hAnsi="Times New Roman" w:cs="Times New Roman"/>
        </w:rPr>
        <w:t>Kawoya</w:t>
      </w:r>
      <w:proofErr w:type="spellEnd"/>
      <w:r w:rsidRPr="002919D5">
        <w:rPr>
          <w:rFonts w:ascii="Times New Roman" w:hAnsi="Times New Roman" w:cs="Times New Roman"/>
        </w:rPr>
        <w:t xml:space="preserve"> vs. National Council for Higher Education Misc. Application. No. 8 of 2013. </w:t>
      </w:r>
      <w:r w:rsidRPr="002919D5">
        <w:rPr>
          <w:rStyle w:val="Bodytext2NotBold"/>
          <w:rFonts w:ascii="Times New Roman" w:hAnsi="Times New Roman" w:cs="Times New Roman"/>
        </w:rPr>
        <w:t xml:space="preserve">Quoted with </w:t>
      </w:r>
      <w:r w:rsidRPr="002919D5">
        <w:rPr>
          <w:rStyle w:val="Bodytext2NotBold"/>
          <w:rFonts w:ascii="Times New Roman" w:hAnsi="Times New Roman" w:cs="Times New Roman"/>
        </w:rPr>
        <w:lastRenderedPageBreak/>
        <w:t xml:space="preserve">approval its earlier decision of </w:t>
      </w:r>
      <w:r w:rsidRPr="002919D5">
        <w:rPr>
          <w:rFonts w:ascii="Times New Roman" w:hAnsi="Times New Roman" w:cs="Times New Roman"/>
        </w:rPr>
        <w:t xml:space="preserve">The Attorney General vs. Paul </w:t>
      </w:r>
      <w:proofErr w:type="spellStart"/>
      <w:r w:rsidRPr="002919D5">
        <w:rPr>
          <w:rFonts w:ascii="Times New Roman" w:hAnsi="Times New Roman" w:cs="Times New Roman"/>
        </w:rPr>
        <w:t>Kawanga</w:t>
      </w:r>
      <w:proofErr w:type="spellEnd"/>
      <w:r w:rsidRPr="002919D5">
        <w:rPr>
          <w:rFonts w:ascii="Times New Roman" w:hAnsi="Times New Roman" w:cs="Times New Roman"/>
        </w:rPr>
        <w:t xml:space="preserve"> </w:t>
      </w:r>
      <w:proofErr w:type="spellStart"/>
      <w:r w:rsidRPr="002919D5">
        <w:rPr>
          <w:rFonts w:ascii="Times New Roman" w:hAnsi="Times New Roman" w:cs="Times New Roman"/>
        </w:rPr>
        <w:t>Ssemwogerere</w:t>
      </w:r>
      <w:proofErr w:type="spellEnd"/>
      <w:r w:rsidRPr="002919D5">
        <w:rPr>
          <w:rFonts w:ascii="Times New Roman" w:hAnsi="Times New Roman" w:cs="Times New Roman"/>
        </w:rPr>
        <w:t xml:space="preserve"> and others, </w:t>
      </w:r>
      <w:r w:rsidRPr="002919D5">
        <w:rPr>
          <w:rStyle w:val="Bodytext210pt1"/>
          <w:rFonts w:ascii="Times New Roman" w:hAnsi="Times New Roman" w:cs="Times New Roman"/>
          <w:sz w:val="24"/>
          <w:szCs w:val="24"/>
        </w:rPr>
        <w:t xml:space="preserve"> </w:t>
      </w:r>
      <w:r w:rsidRPr="002919D5">
        <w:rPr>
          <w:rFonts w:ascii="Times New Roman" w:hAnsi="Times New Roman" w:cs="Times New Roman"/>
        </w:rPr>
        <w:t>Constitutional Application No. 2 of 2004 (SCC 2</w:t>
      </w:r>
      <w:r w:rsidRPr="002919D5">
        <w:rPr>
          <w:rFonts w:ascii="Times New Roman" w:hAnsi="Times New Roman" w:cs="Times New Roman"/>
        </w:rPr>
        <w:t xml:space="preserve">/2004) </w:t>
      </w:r>
      <w:r w:rsidRPr="002919D5">
        <w:rPr>
          <w:rStyle w:val="Bodytext2NotBold"/>
          <w:rFonts w:ascii="Times New Roman" w:hAnsi="Times New Roman" w:cs="Times New Roman"/>
        </w:rPr>
        <w:t>unreported. It held:</w:t>
      </w:r>
    </w:p>
    <w:p w:rsidR="001468DE" w:rsidRPr="002919D5" w:rsidRDefault="0098672A" w:rsidP="002919D5">
      <w:pPr>
        <w:pStyle w:val="Bodytext20"/>
        <w:shd w:val="clear" w:color="auto" w:fill="auto"/>
        <w:spacing w:after="112" w:line="360" w:lineRule="auto"/>
        <w:ind w:left="1060" w:right="80" w:firstLine="0"/>
        <w:jc w:val="both"/>
        <w:rPr>
          <w:rFonts w:ascii="Times New Roman" w:hAnsi="Times New Roman" w:cs="Times New Roman"/>
        </w:rPr>
      </w:pPr>
      <w:r w:rsidRPr="002919D5">
        <w:rPr>
          <w:rFonts w:ascii="Times New Roman" w:hAnsi="Times New Roman" w:cs="Times New Roman"/>
        </w:rPr>
        <w:t>"A summary of these authorities is that an appellate court may exercise its discretion to admit additional evidence only in exceptional circumstances, which include:</w:t>
      </w:r>
    </w:p>
    <w:p w:rsidR="002919D5" w:rsidRDefault="005873A0" w:rsidP="002919D5">
      <w:pPr>
        <w:pStyle w:val="Bodytext20"/>
        <w:shd w:val="clear" w:color="auto" w:fill="auto"/>
        <w:tabs>
          <w:tab w:val="left" w:pos="1691"/>
          <w:tab w:val="left" w:pos="1701"/>
        </w:tabs>
        <w:spacing w:after="0" w:line="360" w:lineRule="auto"/>
        <w:ind w:left="1060" w:right="80" w:firstLine="0"/>
        <w:jc w:val="both"/>
        <w:rPr>
          <w:rFonts w:ascii="Times New Roman" w:hAnsi="Times New Roman" w:cs="Times New Roman"/>
        </w:rPr>
      </w:pPr>
      <w:r w:rsidRPr="002919D5">
        <w:rPr>
          <w:rFonts w:ascii="Times New Roman" w:hAnsi="Times New Roman" w:cs="Times New Roman"/>
        </w:rPr>
        <w:t>i. Discovery</w:t>
      </w:r>
      <w:r w:rsidR="0098672A" w:rsidRPr="002919D5">
        <w:rPr>
          <w:rFonts w:ascii="Times New Roman" w:hAnsi="Times New Roman" w:cs="Times New Roman"/>
        </w:rPr>
        <w:t xml:space="preserve"> of new and important matters of evidence which, afte</w:t>
      </w:r>
      <w:r w:rsidR="0098672A" w:rsidRPr="002919D5">
        <w:rPr>
          <w:rFonts w:ascii="Times New Roman" w:hAnsi="Times New Roman" w:cs="Times New Roman"/>
        </w:rPr>
        <w:t xml:space="preserve">r the </w:t>
      </w:r>
      <w:r w:rsidR="0098672A" w:rsidRPr="002919D5">
        <w:rPr>
          <w:rFonts w:ascii="Times New Roman" w:hAnsi="Times New Roman" w:cs="Times New Roman"/>
        </w:rPr>
        <w:t>exercise of due diligence, was not within the knowledge of, or could not</w:t>
      </w:r>
      <w:r w:rsidRPr="002919D5">
        <w:rPr>
          <w:rFonts w:ascii="Times New Roman" w:hAnsi="Times New Roman" w:cs="Times New Roman"/>
        </w:rPr>
        <w:t xml:space="preserve"> have been produced at the time of the suit or petition </w:t>
      </w:r>
      <w:proofErr w:type="gramStart"/>
      <w:r w:rsidRPr="002919D5">
        <w:rPr>
          <w:rFonts w:ascii="Times New Roman" w:hAnsi="Times New Roman" w:cs="Times New Roman"/>
        </w:rPr>
        <w:t>by ,the</w:t>
      </w:r>
      <w:proofErr w:type="gramEnd"/>
      <w:r w:rsidRPr="002919D5">
        <w:rPr>
          <w:rFonts w:ascii="Times New Roman" w:hAnsi="Times New Roman" w:cs="Times New Roman"/>
        </w:rPr>
        <w:t xml:space="preserve"> party seeking to adduce the additional evidence. </w:t>
      </w:r>
    </w:p>
    <w:p w:rsidR="001468DE" w:rsidRPr="002919D5" w:rsidRDefault="002919D5" w:rsidP="002919D5">
      <w:pPr>
        <w:pStyle w:val="Bodytext20"/>
        <w:shd w:val="clear" w:color="auto" w:fill="auto"/>
        <w:tabs>
          <w:tab w:val="left" w:pos="1691"/>
          <w:tab w:val="left" w:pos="1701"/>
        </w:tabs>
        <w:spacing w:after="0" w:line="360" w:lineRule="auto"/>
        <w:ind w:left="1060" w:right="80" w:firstLine="0"/>
        <w:jc w:val="both"/>
        <w:rPr>
          <w:rFonts w:ascii="Times New Roman" w:hAnsi="Times New Roman" w:cs="Times New Roman"/>
        </w:rPr>
      </w:pPr>
      <w:r>
        <w:rPr>
          <w:rFonts w:ascii="Times New Roman" w:hAnsi="Times New Roman" w:cs="Times New Roman"/>
        </w:rPr>
        <w:t xml:space="preserve">   </w:t>
      </w:r>
      <w:r w:rsidR="005873A0" w:rsidRPr="002919D5">
        <w:rPr>
          <w:rFonts w:ascii="Times New Roman" w:hAnsi="Times New Roman" w:cs="Times New Roman"/>
        </w:rPr>
        <w:t xml:space="preserve">    </w:t>
      </w:r>
      <w:proofErr w:type="gramStart"/>
      <w:r>
        <w:rPr>
          <w:rFonts w:ascii="Times New Roman" w:hAnsi="Times New Roman" w:cs="Times New Roman"/>
        </w:rPr>
        <w:t>i</w:t>
      </w:r>
      <w:r w:rsidR="005873A0" w:rsidRPr="002919D5">
        <w:rPr>
          <w:rFonts w:ascii="Times New Roman" w:hAnsi="Times New Roman" w:cs="Times New Roman"/>
        </w:rPr>
        <w:t>i</w:t>
      </w:r>
      <w:proofErr w:type="gramEnd"/>
      <w:r>
        <w:rPr>
          <w:rFonts w:ascii="Times New Roman" w:hAnsi="Times New Roman" w:cs="Times New Roman"/>
        </w:rPr>
        <w:t xml:space="preserve"> </w:t>
      </w:r>
      <w:r w:rsidR="005873A0" w:rsidRPr="002919D5">
        <w:rPr>
          <w:rFonts w:ascii="Times New Roman" w:hAnsi="Times New Roman" w:cs="Times New Roman"/>
        </w:rPr>
        <w:t>.</w:t>
      </w:r>
      <w:r w:rsidR="0098672A" w:rsidRPr="002919D5">
        <w:rPr>
          <w:rFonts w:ascii="Times New Roman" w:hAnsi="Times New Roman" w:cs="Times New Roman"/>
        </w:rPr>
        <w:t xml:space="preserve">It must be evidence relevant to the </w:t>
      </w:r>
      <w:r w:rsidR="0098672A" w:rsidRPr="002919D5">
        <w:rPr>
          <w:rFonts w:ascii="Times New Roman" w:hAnsi="Times New Roman" w:cs="Times New Roman"/>
        </w:rPr>
        <w:t>issues:</w:t>
      </w:r>
    </w:p>
    <w:p w:rsidR="001468DE" w:rsidRPr="002919D5" w:rsidRDefault="005873A0" w:rsidP="002919D5">
      <w:pPr>
        <w:pStyle w:val="Bodytext20"/>
        <w:shd w:val="clear" w:color="auto" w:fill="auto"/>
        <w:tabs>
          <w:tab w:val="left" w:pos="1676"/>
        </w:tabs>
        <w:spacing w:after="0" w:line="360" w:lineRule="auto"/>
        <w:ind w:right="60" w:firstLine="0"/>
        <w:jc w:val="both"/>
        <w:rPr>
          <w:rFonts w:ascii="Times New Roman" w:hAnsi="Times New Roman" w:cs="Times New Roman"/>
        </w:rPr>
      </w:pPr>
      <w:r w:rsidRPr="002919D5">
        <w:rPr>
          <w:rFonts w:ascii="Times New Roman" w:hAnsi="Times New Roman" w:cs="Times New Roman"/>
        </w:rPr>
        <w:t xml:space="preserve">                        iii.</w:t>
      </w:r>
      <w:r w:rsidR="002919D5">
        <w:rPr>
          <w:rFonts w:ascii="Times New Roman" w:hAnsi="Times New Roman" w:cs="Times New Roman"/>
        </w:rPr>
        <w:t xml:space="preserve"> </w:t>
      </w:r>
      <w:r w:rsidR="0098672A" w:rsidRPr="002919D5">
        <w:rPr>
          <w:rFonts w:ascii="Times New Roman" w:hAnsi="Times New Roman" w:cs="Times New Roman"/>
        </w:rPr>
        <w:t>It must be evidence which is credible in the sense that it is capable of</w:t>
      </w:r>
      <w:r w:rsidR="002919D5">
        <w:rPr>
          <w:rFonts w:ascii="Times New Roman" w:hAnsi="Times New Roman" w:cs="Times New Roman"/>
        </w:rPr>
        <w:t xml:space="preserve"> </w:t>
      </w:r>
      <w:r w:rsidR="0098672A" w:rsidRPr="002919D5">
        <w:rPr>
          <w:rFonts w:ascii="Times New Roman" w:hAnsi="Times New Roman" w:cs="Times New Roman"/>
        </w:rPr>
        <w:t>belief;</w:t>
      </w:r>
    </w:p>
    <w:p w:rsidR="001468DE" w:rsidRPr="002919D5" w:rsidRDefault="002919D5" w:rsidP="002919D5">
      <w:pPr>
        <w:pStyle w:val="Bodytext20"/>
        <w:shd w:val="clear" w:color="auto" w:fill="auto"/>
        <w:tabs>
          <w:tab w:val="left" w:pos="1594"/>
        </w:tabs>
        <w:spacing w:after="0" w:line="360" w:lineRule="auto"/>
        <w:ind w:right="60" w:firstLine="0"/>
        <w:jc w:val="both"/>
        <w:rPr>
          <w:rFonts w:ascii="Times New Roman" w:hAnsi="Times New Roman" w:cs="Times New Roman"/>
        </w:rPr>
      </w:pPr>
      <w:r w:rsidRPr="002919D5">
        <w:rPr>
          <w:rFonts w:ascii="Times New Roman" w:hAnsi="Times New Roman" w:cs="Times New Roman"/>
        </w:rPr>
        <w:t xml:space="preserve">                        </w:t>
      </w:r>
      <w:r w:rsidR="005873A0" w:rsidRPr="002919D5">
        <w:rPr>
          <w:rFonts w:ascii="Times New Roman" w:hAnsi="Times New Roman" w:cs="Times New Roman"/>
        </w:rPr>
        <w:t>i</w:t>
      </w:r>
      <w:r w:rsidRPr="002919D5">
        <w:rPr>
          <w:rFonts w:ascii="Times New Roman" w:hAnsi="Times New Roman" w:cs="Times New Roman"/>
        </w:rPr>
        <w:t>v.</w:t>
      </w:r>
      <w:r w:rsidR="0098672A" w:rsidRPr="002919D5">
        <w:rPr>
          <w:rFonts w:ascii="Times New Roman" w:hAnsi="Times New Roman" w:cs="Times New Roman"/>
        </w:rPr>
        <w:t>The evidence must be such that, if given, it would probably have</w:t>
      </w:r>
      <w:r>
        <w:rPr>
          <w:rFonts w:ascii="Times New Roman" w:hAnsi="Times New Roman" w:cs="Times New Roman"/>
        </w:rPr>
        <w:t xml:space="preserve"> </w:t>
      </w:r>
      <w:r w:rsidR="0098672A" w:rsidRPr="002919D5">
        <w:rPr>
          <w:rFonts w:ascii="Times New Roman" w:hAnsi="Times New Roman" w:cs="Times New Roman"/>
        </w:rPr>
        <w:t>influence on the result of the case, although it need not be decisive;</w:t>
      </w:r>
    </w:p>
    <w:p w:rsidR="001468DE" w:rsidRPr="002919D5" w:rsidRDefault="002919D5" w:rsidP="002919D5">
      <w:pPr>
        <w:pStyle w:val="Bodytext20"/>
        <w:shd w:val="clear" w:color="auto" w:fill="auto"/>
        <w:tabs>
          <w:tab w:val="left" w:pos="1532"/>
        </w:tabs>
        <w:spacing w:after="0" w:line="360" w:lineRule="auto"/>
        <w:ind w:right="60" w:firstLine="0"/>
        <w:jc w:val="both"/>
        <w:rPr>
          <w:rFonts w:ascii="Times New Roman" w:hAnsi="Times New Roman" w:cs="Times New Roman"/>
        </w:rPr>
      </w:pPr>
      <w:r w:rsidRPr="002919D5">
        <w:rPr>
          <w:rFonts w:ascii="Times New Roman" w:hAnsi="Times New Roman" w:cs="Times New Roman"/>
        </w:rPr>
        <w:t xml:space="preserve">                        V.The</w:t>
      </w:r>
      <w:r w:rsidR="0098672A" w:rsidRPr="002919D5">
        <w:rPr>
          <w:rFonts w:ascii="Times New Roman" w:hAnsi="Times New Roman" w:cs="Times New Roman"/>
        </w:rPr>
        <w:t xml:space="preserve"> affidavit in support of an </w:t>
      </w:r>
      <w:r w:rsidR="0098672A" w:rsidRPr="002919D5">
        <w:rPr>
          <w:rFonts w:ascii="Times New Roman" w:hAnsi="Times New Roman" w:cs="Times New Roman"/>
        </w:rPr>
        <w:t>application to admit additional evidence</w:t>
      </w:r>
      <w:r>
        <w:rPr>
          <w:rFonts w:ascii="Times New Roman" w:hAnsi="Times New Roman" w:cs="Times New Roman"/>
        </w:rPr>
        <w:t xml:space="preserve"> </w:t>
      </w:r>
      <w:r w:rsidR="0098672A" w:rsidRPr="002919D5">
        <w:rPr>
          <w:rFonts w:ascii="Times New Roman" w:hAnsi="Times New Roman" w:cs="Times New Roman"/>
        </w:rPr>
        <w:t>should have attached to it, proof of evidence sought to be given;</w:t>
      </w:r>
    </w:p>
    <w:p w:rsidR="001468DE" w:rsidRPr="002919D5" w:rsidRDefault="002919D5" w:rsidP="002919D5">
      <w:pPr>
        <w:pStyle w:val="Bodytext20"/>
        <w:shd w:val="clear" w:color="auto" w:fill="auto"/>
        <w:tabs>
          <w:tab w:val="left" w:pos="1545"/>
        </w:tabs>
        <w:spacing w:after="0" w:line="360" w:lineRule="auto"/>
        <w:ind w:right="60" w:firstLine="0"/>
        <w:jc w:val="both"/>
        <w:rPr>
          <w:rFonts w:ascii="Times New Roman" w:hAnsi="Times New Roman" w:cs="Times New Roman"/>
        </w:rPr>
      </w:pPr>
      <w:r w:rsidRPr="002919D5">
        <w:rPr>
          <w:rFonts w:ascii="Times New Roman" w:hAnsi="Times New Roman" w:cs="Times New Roman"/>
        </w:rPr>
        <w:t xml:space="preserve">                       vi.</w:t>
      </w:r>
      <w:r>
        <w:rPr>
          <w:rFonts w:ascii="Times New Roman" w:hAnsi="Times New Roman" w:cs="Times New Roman"/>
        </w:rPr>
        <w:t xml:space="preserve"> </w:t>
      </w:r>
      <w:r w:rsidR="0098672A" w:rsidRPr="002919D5">
        <w:rPr>
          <w:rFonts w:ascii="Times New Roman" w:hAnsi="Times New Roman" w:cs="Times New Roman"/>
        </w:rPr>
        <w:t>The application to admit additional evidence must be brought without</w:t>
      </w:r>
      <w:r>
        <w:rPr>
          <w:rFonts w:ascii="Times New Roman" w:hAnsi="Times New Roman" w:cs="Times New Roman"/>
        </w:rPr>
        <w:t xml:space="preserve"> </w:t>
      </w:r>
      <w:r w:rsidR="0098672A" w:rsidRPr="002919D5">
        <w:rPr>
          <w:rFonts w:ascii="Times New Roman" w:hAnsi="Times New Roman" w:cs="Times New Roman"/>
        </w:rPr>
        <w:t>undue delay.</w:t>
      </w:r>
    </w:p>
    <w:p w:rsidR="001468DE" w:rsidRPr="002919D5" w:rsidRDefault="0098672A" w:rsidP="002919D5">
      <w:pPr>
        <w:pStyle w:val="Bodytext20"/>
        <w:shd w:val="clear" w:color="auto" w:fill="auto"/>
        <w:spacing w:after="0" w:line="360" w:lineRule="auto"/>
        <w:ind w:left="20" w:right="60" w:firstLine="0"/>
        <w:jc w:val="both"/>
        <w:rPr>
          <w:rFonts w:ascii="Times New Roman" w:hAnsi="Times New Roman" w:cs="Times New Roman"/>
        </w:rPr>
      </w:pPr>
      <w:r w:rsidRPr="002919D5">
        <w:rPr>
          <w:rFonts w:ascii="Times New Roman" w:hAnsi="Times New Roman" w:cs="Times New Roman"/>
        </w:rPr>
        <w:t>These have remained the stand taken by the courts, for obvious reas</w:t>
      </w:r>
      <w:r w:rsidRPr="002919D5">
        <w:rPr>
          <w:rFonts w:ascii="Times New Roman" w:hAnsi="Times New Roman" w:cs="Times New Roman"/>
        </w:rPr>
        <w:t xml:space="preserve">ons that there would be no end to litigation unless a court can expect a party to put its full case before the Court. We must stress that for the same </w:t>
      </w:r>
      <w:proofErr w:type="gramStart"/>
      <w:r w:rsidRPr="002919D5">
        <w:rPr>
          <w:rFonts w:ascii="Times New Roman" w:hAnsi="Times New Roman" w:cs="Times New Roman"/>
        </w:rPr>
        <w:t>reason,</w:t>
      </w:r>
      <w:proofErr w:type="gramEnd"/>
      <w:r w:rsidRPr="002919D5">
        <w:rPr>
          <w:rFonts w:ascii="Times New Roman" w:hAnsi="Times New Roman" w:cs="Times New Roman"/>
        </w:rPr>
        <w:t xml:space="preserve"> courts </w:t>
      </w:r>
      <w:r w:rsidRPr="002919D5">
        <w:rPr>
          <w:rFonts w:ascii="Times New Roman" w:hAnsi="Times New Roman" w:cs="Times New Roman"/>
        </w:rPr>
        <w:t>should be even more stringent to allow a party to adduce additional evidence to re-open</w:t>
      </w:r>
      <w:r w:rsidRPr="002919D5">
        <w:rPr>
          <w:rFonts w:ascii="Times New Roman" w:hAnsi="Times New Roman" w:cs="Times New Roman"/>
        </w:rPr>
        <w:t xml:space="preserve"> a case, which has already been completed on appeal."</w:t>
      </w:r>
    </w:p>
    <w:p w:rsidR="001468DE" w:rsidRPr="002919D5" w:rsidRDefault="0098672A" w:rsidP="002919D5">
      <w:pPr>
        <w:pStyle w:val="BodyText1"/>
        <w:shd w:val="clear" w:color="auto" w:fill="auto"/>
        <w:spacing w:before="0" w:after="116" w:line="360" w:lineRule="auto"/>
        <w:ind w:left="620" w:right="60" w:firstLine="0"/>
        <w:jc w:val="both"/>
        <w:rPr>
          <w:rFonts w:ascii="Times New Roman" w:hAnsi="Times New Roman" w:cs="Times New Roman"/>
        </w:rPr>
      </w:pPr>
      <w:r w:rsidRPr="002919D5">
        <w:rPr>
          <w:rFonts w:ascii="Times New Roman" w:hAnsi="Times New Roman" w:cs="Times New Roman"/>
        </w:rPr>
        <w:t xml:space="preserve">I have considered the conditions and standards above quoted which this court has to follow for admission of additional evidence. I have also had opportunity </w:t>
      </w:r>
      <w:r w:rsidR="002919D5" w:rsidRPr="002919D5">
        <w:rPr>
          <w:rFonts w:ascii="Times New Roman" w:hAnsi="Times New Roman" w:cs="Times New Roman"/>
        </w:rPr>
        <w:t>to consider</w:t>
      </w:r>
      <w:r w:rsidRPr="002919D5">
        <w:rPr>
          <w:rFonts w:ascii="Times New Roman" w:hAnsi="Times New Roman" w:cs="Times New Roman"/>
        </w:rPr>
        <w:t xml:space="preserve"> and re-consider the provisions</w:t>
      </w:r>
      <w:r w:rsidRPr="002919D5">
        <w:rPr>
          <w:rFonts w:ascii="Times New Roman" w:hAnsi="Times New Roman" w:cs="Times New Roman"/>
        </w:rPr>
        <w:t xml:space="preserve"> of Rule 30 of the Rules of this Court. I note that the admission of additional evidence is done on the exercise of discretion by the court. I also note that the admission of additional evidence is done for sufficient reason. These are important considerat</w:t>
      </w:r>
      <w:r w:rsidRPr="002919D5">
        <w:rPr>
          <w:rFonts w:ascii="Times New Roman" w:hAnsi="Times New Roman" w:cs="Times New Roman"/>
        </w:rPr>
        <w:t>ions.</w:t>
      </w:r>
    </w:p>
    <w:p w:rsidR="001468DE" w:rsidRPr="002919D5" w:rsidRDefault="0098672A" w:rsidP="002919D5">
      <w:pPr>
        <w:pStyle w:val="BodyText1"/>
        <w:shd w:val="clear" w:color="auto" w:fill="auto"/>
        <w:spacing w:before="0" w:after="116" w:line="360" w:lineRule="auto"/>
        <w:ind w:left="620" w:right="60" w:firstLine="0"/>
        <w:jc w:val="both"/>
        <w:rPr>
          <w:rFonts w:ascii="Times New Roman" w:hAnsi="Times New Roman" w:cs="Times New Roman"/>
        </w:rPr>
      </w:pPr>
      <w:r w:rsidRPr="002919D5">
        <w:rPr>
          <w:rFonts w:ascii="Times New Roman" w:hAnsi="Times New Roman" w:cs="Times New Roman"/>
        </w:rPr>
        <w:t xml:space="preserve">In the instant application the main ground of the application for admission of new </w:t>
      </w:r>
      <w:r w:rsidRPr="002919D5">
        <w:rPr>
          <w:rFonts w:ascii="Times New Roman" w:hAnsi="Times New Roman" w:cs="Times New Roman"/>
        </w:rPr>
        <w:t>evidence is that the applicant obtained new evidence indicating the commission of fraud by the 1</w:t>
      </w:r>
      <w:r w:rsidRPr="002919D5">
        <w:rPr>
          <w:rFonts w:ascii="Times New Roman" w:hAnsi="Times New Roman" w:cs="Times New Roman"/>
          <w:vertAlign w:val="superscript"/>
        </w:rPr>
        <w:t>st</w:t>
      </w:r>
      <w:r w:rsidRPr="002919D5">
        <w:rPr>
          <w:rFonts w:ascii="Times New Roman" w:hAnsi="Times New Roman" w:cs="Times New Roman"/>
        </w:rPr>
        <w:t xml:space="preserve"> and 2</w:t>
      </w:r>
      <w:r w:rsidRPr="002919D5">
        <w:rPr>
          <w:rFonts w:ascii="Times New Roman" w:hAnsi="Times New Roman" w:cs="Times New Roman"/>
          <w:vertAlign w:val="superscript"/>
        </w:rPr>
        <w:t>nd</w:t>
      </w:r>
      <w:r w:rsidRPr="002919D5">
        <w:rPr>
          <w:rFonts w:ascii="Times New Roman" w:hAnsi="Times New Roman" w:cs="Times New Roman"/>
        </w:rPr>
        <w:t xml:space="preserve"> respondents. The respondent allegedly obtained the evidence after the trial court had delivered its Judgment. My observation is that the nature of the evidence sought to be admitted as new evidence and the impact of its admission are critical issues to th</w:t>
      </w:r>
      <w:r w:rsidRPr="002919D5">
        <w:rPr>
          <w:rFonts w:ascii="Times New Roman" w:hAnsi="Times New Roman" w:cs="Times New Roman"/>
        </w:rPr>
        <w:t xml:space="preserve">e whole appeal that the Court is set to hear </w:t>
      </w:r>
      <w:r w:rsidRPr="002919D5">
        <w:rPr>
          <w:rFonts w:ascii="Times New Roman" w:hAnsi="Times New Roman" w:cs="Times New Roman"/>
        </w:rPr>
        <w:t>and determine.</w:t>
      </w:r>
    </w:p>
    <w:p w:rsidR="001468DE" w:rsidRPr="002919D5" w:rsidRDefault="0098672A" w:rsidP="002919D5">
      <w:pPr>
        <w:pStyle w:val="BodyText1"/>
        <w:shd w:val="clear" w:color="auto" w:fill="auto"/>
        <w:spacing w:before="0" w:after="0" w:line="360" w:lineRule="auto"/>
        <w:ind w:left="620" w:right="60" w:firstLine="0"/>
        <w:jc w:val="both"/>
        <w:rPr>
          <w:rFonts w:ascii="Times New Roman" w:hAnsi="Times New Roman" w:cs="Times New Roman"/>
        </w:rPr>
      </w:pPr>
      <w:r w:rsidRPr="002919D5">
        <w:rPr>
          <w:rFonts w:ascii="Times New Roman" w:hAnsi="Times New Roman" w:cs="Times New Roman"/>
        </w:rPr>
        <w:t>The exercise of the discretion to admit or not to admit the additional evidence is of such great importance to the whole appeal, that in my view, such discretion should be exercised by the full</w:t>
      </w:r>
      <w:r w:rsidRPr="002919D5">
        <w:rPr>
          <w:rFonts w:ascii="Times New Roman" w:hAnsi="Times New Roman" w:cs="Times New Roman"/>
        </w:rPr>
        <w:t xml:space="preserve"> Court set up to hear and determine the substantial appeal</w:t>
      </w:r>
      <w:r w:rsidR="002919D5" w:rsidRPr="002919D5">
        <w:rPr>
          <w:rFonts w:ascii="Times New Roman" w:hAnsi="Times New Roman" w:cs="Times New Roman"/>
        </w:rPr>
        <w:t xml:space="preserve"> </w:t>
      </w:r>
      <w:r w:rsidRPr="002919D5">
        <w:rPr>
          <w:rFonts w:ascii="Times New Roman" w:hAnsi="Times New Roman" w:cs="Times New Roman"/>
        </w:rPr>
        <w:t>rather than a single Justice in circumstances that would not allow me as a single Justice in the circumstances of this case, to fully investigate the matter.</w:t>
      </w:r>
    </w:p>
    <w:p w:rsidR="001468DE" w:rsidRPr="002919D5" w:rsidRDefault="0098672A" w:rsidP="002919D5">
      <w:pPr>
        <w:pStyle w:val="BodyText1"/>
        <w:shd w:val="clear" w:color="auto" w:fill="auto"/>
        <w:spacing w:before="0" w:after="224" w:line="360" w:lineRule="auto"/>
        <w:ind w:left="540" w:right="260" w:firstLine="0"/>
        <w:jc w:val="both"/>
        <w:rPr>
          <w:rFonts w:ascii="Times New Roman" w:hAnsi="Times New Roman" w:cs="Times New Roman"/>
        </w:rPr>
      </w:pPr>
      <w:r w:rsidRPr="002919D5">
        <w:rPr>
          <w:rFonts w:ascii="Times New Roman" w:hAnsi="Times New Roman" w:cs="Times New Roman"/>
        </w:rPr>
        <w:t xml:space="preserve">I therefore adjourn </w:t>
      </w:r>
      <w:r w:rsidRPr="002919D5">
        <w:rPr>
          <w:rFonts w:ascii="Times New Roman" w:hAnsi="Times New Roman" w:cs="Times New Roman"/>
        </w:rPr>
        <w:t>the application under Rule 53(1) of the rules of this Court for the same to be heard and determined by the full Court hearing the appeal.</w:t>
      </w:r>
    </w:p>
    <w:p w:rsidR="001468DE" w:rsidRPr="002919D5" w:rsidRDefault="002919D5" w:rsidP="002919D5">
      <w:pPr>
        <w:pStyle w:val="BodyText1"/>
        <w:shd w:val="clear" w:color="auto" w:fill="auto"/>
        <w:spacing w:before="0" w:after="0" w:line="360" w:lineRule="auto"/>
        <w:ind w:left="40" w:firstLine="0"/>
        <w:jc w:val="both"/>
        <w:rPr>
          <w:rFonts w:ascii="Times New Roman" w:hAnsi="Times New Roman" w:cs="Times New Roman"/>
        </w:rPr>
      </w:pPr>
      <w:r w:rsidRPr="002919D5">
        <w:rPr>
          <w:rFonts w:ascii="Times New Roman" w:hAnsi="Times New Roman" w:cs="Times New Roman"/>
        </w:rPr>
        <w:t xml:space="preserve">    </w:t>
      </w:r>
      <w:r w:rsidR="0098672A" w:rsidRPr="002919D5">
        <w:rPr>
          <w:rFonts w:ascii="Times New Roman" w:hAnsi="Times New Roman" w:cs="Times New Roman"/>
        </w:rPr>
        <w:t xml:space="preserve"> The costs of this application shall abide the outcome of the main appeal.</w:t>
      </w:r>
    </w:p>
    <w:p w:rsidR="002919D5" w:rsidRPr="002919D5" w:rsidRDefault="002919D5" w:rsidP="002919D5">
      <w:pPr>
        <w:pStyle w:val="BodyText1"/>
        <w:shd w:val="clear" w:color="auto" w:fill="auto"/>
        <w:spacing w:before="0" w:after="0" w:line="360" w:lineRule="auto"/>
        <w:ind w:left="40" w:firstLine="0"/>
        <w:jc w:val="both"/>
        <w:rPr>
          <w:rFonts w:ascii="Times New Roman" w:hAnsi="Times New Roman" w:cs="Times New Roman"/>
        </w:rPr>
      </w:pPr>
    </w:p>
    <w:p w:rsidR="002919D5" w:rsidRPr="002919D5" w:rsidRDefault="002919D5" w:rsidP="002919D5">
      <w:pPr>
        <w:pStyle w:val="BodyText1"/>
        <w:shd w:val="clear" w:color="auto" w:fill="auto"/>
        <w:spacing w:before="0" w:after="0" w:line="360" w:lineRule="auto"/>
        <w:ind w:left="40" w:firstLine="0"/>
        <w:jc w:val="both"/>
        <w:rPr>
          <w:rFonts w:ascii="Times New Roman" w:hAnsi="Times New Roman" w:cs="Times New Roman"/>
        </w:rPr>
      </w:pPr>
      <w:r w:rsidRPr="002919D5">
        <w:rPr>
          <w:rFonts w:ascii="Times New Roman" w:hAnsi="Times New Roman" w:cs="Times New Roman"/>
        </w:rPr>
        <w:t>Dated at Kampala this 7</w:t>
      </w:r>
      <w:r w:rsidRPr="002919D5">
        <w:rPr>
          <w:rFonts w:ascii="Times New Roman" w:hAnsi="Times New Roman" w:cs="Times New Roman"/>
          <w:vertAlign w:val="superscript"/>
        </w:rPr>
        <w:t>th</w:t>
      </w:r>
      <w:r w:rsidRPr="002919D5">
        <w:rPr>
          <w:rFonts w:ascii="Times New Roman" w:hAnsi="Times New Roman" w:cs="Times New Roman"/>
        </w:rPr>
        <w:t xml:space="preserve"> day of April 2016.</w:t>
      </w:r>
    </w:p>
    <w:p w:rsidR="002919D5" w:rsidRPr="002919D5" w:rsidRDefault="002919D5" w:rsidP="002919D5">
      <w:pPr>
        <w:pStyle w:val="BodyText1"/>
        <w:shd w:val="clear" w:color="auto" w:fill="auto"/>
        <w:spacing w:before="0" w:after="0" w:line="360" w:lineRule="auto"/>
        <w:ind w:left="40" w:firstLine="0"/>
        <w:jc w:val="both"/>
        <w:rPr>
          <w:rFonts w:ascii="Times New Roman" w:hAnsi="Times New Roman" w:cs="Times New Roman"/>
        </w:rPr>
      </w:pPr>
    </w:p>
    <w:p w:rsidR="002919D5" w:rsidRPr="002919D5" w:rsidRDefault="002919D5" w:rsidP="002919D5">
      <w:pPr>
        <w:pStyle w:val="BodyText1"/>
        <w:shd w:val="clear" w:color="auto" w:fill="auto"/>
        <w:spacing w:before="0" w:after="0" w:line="360" w:lineRule="auto"/>
        <w:ind w:left="40" w:firstLine="0"/>
        <w:jc w:val="both"/>
        <w:rPr>
          <w:rFonts w:ascii="Times New Roman" w:hAnsi="Times New Roman" w:cs="Times New Roman"/>
        </w:rPr>
      </w:pPr>
      <w:r w:rsidRPr="002919D5">
        <w:rPr>
          <w:rFonts w:ascii="Times New Roman" w:hAnsi="Times New Roman" w:cs="Times New Roman"/>
        </w:rPr>
        <w:t>Justice Richard Buteera</w:t>
      </w:r>
    </w:p>
    <w:p w:rsidR="002919D5" w:rsidRPr="002919D5" w:rsidRDefault="002919D5" w:rsidP="002919D5">
      <w:pPr>
        <w:pStyle w:val="BodyText1"/>
        <w:shd w:val="clear" w:color="auto" w:fill="auto"/>
        <w:spacing w:before="0" w:after="0" w:line="360" w:lineRule="auto"/>
        <w:ind w:left="40" w:firstLine="0"/>
        <w:jc w:val="both"/>
        <w:rPr>
          <w:rFonts w:ascii="Times New Roman" w:hAnsi="Times New Roman" w:cs="Times New Roman"/>
        </w:rPr>
      </w:pPr>
    </w:p>
    <w:p w:rsidR="002919D5" w:rsidRPr="002919D5" w:rsidRDefault="002919D5" w:rsidP="002919D5">
      <w:pPr>
        <w:pStyle w:val="BodyText1"/>
        <w:shd w:val="clear" w:color="auto" w:fill="auto"/>
        <w:spacing w:before="0" w:after="0" w:line="360" w:lineRule="auto"/>
        <w:ind w:left="40" w:firstLine="0"/>
        <w:jc w:val="both"/>
        <w:rPr>
          <w:rFonts w:ascii="Times New Roman" w:hAnsi="Times New Roman" w:cs="Times New Roman"/>
        </w:rPr>
      </w:pPr>
      <w:r w:rsidRPr="002919D5">
        <w:rPr>
          <w:rFonts w:ascii="Times New Roman" w:hAnsi="Times New Roman" w:cs="Times New Roman"/>
        </w:rPr>
        <w:t>JUSTICE OF APPEAL</w:t>
      </w:r>
    </w:p>
    <w:p w:rsidR="001468DE" w:rsidRPr="002919D5" w:rsidRDefault="0098672A" w:rsidP="002919D5">
      <w:pPr>
        <w:pStyle w:val="BodyText1"/>
        <w:shd w:val="clear" w:color="auto" w:fill="auto"/>
        <w:tabs>
          <w:tab w:val="left" w:pos="2877"/>
        </w:tabs>
        <w:spacing w:before="0" w:after="178" w:line="360" w:lineRule="auto"/>
        <w:ind w:left="40" w:firstLine="0"/>
        <w:jc w:val="both"/>
        <w:rPr>
          <w:rFonts w:ascii="Times New Roman" w:hAnsi="Times New Roman" w:cs="Times New Roman"/>
        </w:rPr>
      </w:pPr>
      <w:r w:rsidRPr="002919D5">
        <w:rPr>
          <w:rFonts w:ascii="Times New Roman" w:hAnsi="Times New Roman" w:cs="Times New Roman"/>
        </w:rPr>
        <w:tab/>
      </w:r>
    </w:p>
    <w:p w:rsidR="001468DE" w:rsidRPr="002919D5" w:rsidRDefault="001468DE" w:rsidP="002919D5">
      <w:pPr>
        <w:spacing w:line="360" w:lineRule="auto"/>
        <w:jc w:val="both"/>
        <w:rPr>
          <w:rFonts w:ascii="Times New Roman" w:hAnsi="Times New Roman" w:cs="Times New Roman"/>
        </w:rPr>
      </w:pPr>
    </w:p>
    <w:sectPr w:rsidR="001468DE" w:rsidRPr="002919D5">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D77" w:rsidRDefault="00621D77">
      <w:r>
        <w:separator/>
      </w:r>
    </w:p>
  </w:endnote>
  <w:endnote w:type="continuationSeparator" w:id="0">
    <w:p w:rsidR="00621D77" w:rsidRDefault="0062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D77" w:rsidRDefault="00621D77"/>
  </w:footnote>
  <w:footnote w:type="continuationSeparator" w:id="0">
    <w:p w:rsidR="00621D77" w:rsidRDefault="00621D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6393A"/>
    <w:multiLevelType w:val="multilevel"/>
    <w:tmpl w:val="2790015A"/>
    <w:lvl w:ilvl="0">
      <w:start w:val="1"/>
      <w:numFmt w:val="decimal"/>
      <w:lvlText w:val="%1."/>
      <w:lvlJc w:val="left"/>
      <w:rPr>
        <w:rFonts w:ascii="Calibri" w:eastAsia="Calibri" w:hAnsi="Calibri" w:cs="Calibri"/>
        <w:b/>
        <w:bCs/>
        <w:i w:val="0"/>
        <w:iCs w:val="0"/>
        <w:smallCaps w:val="0"/>
        <w:strike w:val="0"/>
        <w:color w:val="000000"/>
        <w:spacing w:val="3"/>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6F77C4"/>
    <w:multiLevelType w:val="multilevel"/>
    <w:tmpl w:val="E33E6086"/>
    <w:lvl w:ilvl="0">
      <w:start w:val="2"/>
      <w:numFmt w:val="decimal"/>
      <w:lvlText w:val="%1."/>
      <w:lvlJc w:val="left"/>
      <w:rPr>
        <w:rFonts w:ascii="Calibri" w:eastAsia="Calibri" w:hAnsi="Calibri" w:cs="Calibri"/>
        <w:b/>
        <w:bCs/>
        <w:i w:val="0"/>
        <w:iCs w:val="0"/>
        <w:smallCaps w:val="0"/>
        <w:strike w:val="0"/>
        <w:color w:val="000000"/>
        <w:spacing w:val="3"/>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43149A"/>
    <w:multiLevelType w:val="multilevel"/>
    <w:tmpl w:val="14AA0CB2"/>
    <w:lvl w:ilvl="0">
      <w:start w:val="1"/>
      <w:numFmt w:val="lowerLetter"/>
      <w:lvlText w:val="(%1)"/>
      <w:lvlJc w:val="left"/>
      <w:rPr>
        <w:rFonts w:ascii="Calibri" w:eastAsia="Calibri" w:hAnsi="Calibri" w:cs="Calibri"/>
        <w:b/>
        <w:bCs/>
        <w:i w:val="0"/>
        <w:iCs w:val="0"/>
        <w:smallCaps w:val="0"/>
        <w:strike w:val="0"/>
        <w:color w:val="000000"/>
        <w:spacing w:val="3"/>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8B2142"/>
    <w:multiLevelType w:val="multilevel"/>
    <w:tmpl w:val="388CBB5C"/>
    <w:lvl w:ilvl="0">
      <w:start w:val="1"/>
      <w:numFmt w:val="lowerRoman"/>
      <w:lvlText w:val="%1."/>
      <w:lvlJc w:val="left"/>
      <w:rPr>
        <w:rFonts w:ascii="Calibri" w:eastAsia="Calibri" w:hAnsi="Calibri" w:cs="Calibri"/>
        <w:b/>
        <w:bCs/>
        <w:i w:val="0"/>
        <w:iCs w:val="0"/>
        <w:smallCaps w:val="0"/>
        <w:strike w:val="0"/>
        <w:color w:val="000000"/>
        <w:spacing w:val="3"/>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DE"/>
    <w:rsid w:val="001468DE"/>
    <w:rsid w:val="002919D5"/>
    <w:rsid w:val="005873A0"/>
    <w:rsid w:val="00621D77"/>
    <w:rsid w:val="0098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0"/>
    <w:rPr>
      <w:rFonts w:ascii="Calibri" w:eastAsia="Calibri" w:hAnsi="Calibri" w:cs="Calibri"/>
      <w:b/>
      <w:bCs/>
      <w:i w:val="0"/>
      <w:iCs w:val="0"/>
      <w:smallCaps w:val="0"/>
      <w:strike w:val="0"/>
      <w:spacing w:val="4"/>
      <w:u w:val="none"/>
    </w:rPr>
  </w:style>
  <w:style w:type="character" w:customStyle="1" w:styleId="Bodytext2">
    <w:name w:val="Body text (2)_"/>
    <w:basedOn w:val="DefaultParagraphFont"/>
    <w:link w:val="Bodytext20"/>
    <w:rPr>
      <w:rFonts w:ascii="Calibri" w:eastAsia="Calibri" w:hAnsi="Calibri" w:cs="Calibri"/>
      <w:b/>
      <w:bCs/>
      <w:i w:val="0"/>
      <w:iCs w:val="0"/>
      <w:smallCaps w:val="0"/>
      <w:strike w:val="0"/>
      <w:spacing w:val="3"/>
      <w:u w:val="none"/>
    </w:rPr>
  </w:style>
  <w:style w:type="character" w:customStyle="1" w:styleId="Headerorfooter2">
    <w:name w:val="Header or footer (2)_"/>
    <w:basedOn w:val="DefaultParagraphFont"/>
    <w:link w:val="Headerorfooter20"/>
    <w:rPr>
      <w:rFonts w:ascii="Calibri" w:eastAsia="Calibri" w:hAnsi="Calibri" w:cs="Calibri"/>
      <w:b w:val="0"/>
      <w:bCs w:val="0"/>
      <w:i w:val="0"/>
      <w:iCs w:val="0"/>
      <w:smallCaps w:val="0"/>
      <w:strike w:val="0"/>
      <w:sz w:val="19"/>
      <w:szCs w:val="19"/>
      <w:u w:val="none"/>
    </w:rPr>
  </w:style>
  <w:style w:type="character" w:customStyle="1" w:styleId="Bodytext2TimesNewRoman">
    <w:name w:val="Body text (2) + Times New Roman"/>
    <w:aliases w:val="10 pt,Not Bold,Spacing 0 pt"/>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
    <w:name w:val="Body text_"/>
    <w:basedOn w:val="DefaultParagraphFont"/>
    <w:link w:val="BodyText1"/>
    <w:rPr>
      <w:rFonts w:ascii="Calibri" w:eastAsia="Calibri" w:hAnsi="Calibri" w:cs="Calibri"/>
      <w:b w:val="0"/>
      <w:bCs w:val="0"/>
      <w:i w:val="0"/>
      <w:iCs w:val="0"/>
      <w:smallCaps w:val="0"/>
      <w:strike w:val="0"/>
      <w:spacing w:val="3"/>
      <w:u w:val="none"/>
    </w:rPr>
  </w:style>
  <w:style w:type="character" w:customStyle="1" w:styleId="Bodytext10pt">
    <w:name w:val="Body text + 10 pt"/>
    <w:basedOn w:val="Bodytext"/>
    <w:rPr>
      <w:rFonts w:ascii="Calibri" w:eastAsia="Calibri" w:hAnsi="Calibri" w:cs="Calibri"/>
      <w:b w:val="0"/>
      <w:bCs w:val="0"/>
      <w:i w:val="0"/>
      <w:iCs w:val="0"/>
      <w:smallCaps w:val="0"/>
      <w:strike w:val="0"/>
      <w:color w:val="000000"/>
      <w:spacing w:val="3"/>
      <w:w w:val="100"/>
      <w:position w:val="0"/>
      <w:sz w:val="20"/>
      <w:szCs w:val="20"/>
      <w:u w:val="none"/>
      <w:lang w:val="en-US"/>
    </w:rPr>
  </w:style>
  <w:style w:type="character" w:customStyle="1" w:styleId="Bodytext10pt0">
    <w:name w:val="Body text + 10 pt"/>
    <w:aliases w:val="Spacing 0 pt"/>
    <w:basedOn w:val="Bodytext"/>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Bodytext210pt">
    <w:name w:val="Body text (2) + 10 pt"/>
    <w:aliases w:val="Not Bold,Spacing 0 pt"/>
    <w:basedOn w:val="Bodytext2"/>
    <w:rPr>
      <w:rFonts w:ascii="Calibri" w:eastAsia="Calibri" w:hAnsi="Calibri" w:cs="Calibri"/>
      <w:b/>
      <w:bCs/>
      <w:i w:val="0"/>
      <w:iCs w:val="0"/>
      <w:smallCaps w:val="0"/>
      <w:strike w:val="0"/>
      <w:color w:val="000000"/>
      <w:spacing w:val="5"/>
      <w:w w:val="100"/>
      <w:position w:val="0"/>
      <w:sz w:val="20"/>
      <w:szCs w:val="20"/>
      <w:u w:val="none"/>
      <w:lang w:val="en-US"/>
    </w:rPr>
  </w:style>
  <w:style w:type="character" w:customStyle="1" w:styleId="Bodytext2NotBold">
    <w:name w:val="Body text (2) + Not Bold"/>
    <w:basedOn w:val="Bodytext2"/>
    <w:rPr>
      <w:rFonts w:ascii="Calibri" w:eastAsia="Calibri" w:hAnsi="Calibri" w:cs="Calibri"/>
      <w:b/>
      <w:bCs/>
      <w:i w:val="0"/>
      <w:iCs w:val="0"/>
      <w:smallCaps w:val="0"/>
      <w:strike w:val="0"/>
      <w:color w:val="000000"/>
      <w:spacing w:val="3"/>
      <w:w w:val="100"/>
      <w:position w:val="0"/>
      <w:sz w:val="24"/>
      <w:szCs w:val="24"/>
      <w:u w:val="none"/>
      <w:lang w:val="en-US"/>
    </w:rPr>
  </w:style>
  <w:style w:type="character" w:customStyle="1" w:styleId="Bodytext3">
    <w:name w:val="Body text (3)_"/>
    <w:basedOn w:val="DefaultParagraphFont"/>
    <w:link w:val="Bodytext30"/>
    <w:rPr>
      <w:rFonts w:ascii="Gungsuh" w:eastAsia="Gungsuh" w:hAnsi="Gungsuh" w:cs="Gungsuh"/>
      <w:b w:val="0"/>
      <w:bCs w:val="0"/>
      <w:i w:val="0"/>
      <w:iCs w:val="0"/>
      <w:smallCaps w:val="0"/>
      <w:strike w:val="0"/>
      <w:sz w:val="20"/>
      <w:szCs w:val="20"/>
      <w:u w:val="none"/>
    </w:rPr>
  </w:style>
  <w:style w:type="character" w:customStyle="1" w:styleId="Bodytext10pt1">
    <w:name w:val="Body text + 10 pt"/>
    <w:aliases w:val="Spacing 0 pt"/>
    <w:basedOn w:val="Bodytext"/>
    <w:rPr>
      <w:rFonts w:ascii="Calibri" w:eastAsia="Calibri" w:hAnsi="Calibri" w:cs="Calibri"/>
      <w:b w:val="0"/>
      <w:bCs w:val="0"/>
      <w:i w:val="0"/>
      <w:iCs w:val="0"/>
      <w:smallCaps w:val="0"/>
      <w:strike w:val="0"/>
      <w:color w:val="000000"/>
      <w:spacing w:val="5"/>
      <w:w w:val="100"/>
      <w:position w:val="0"/>
      <w:sz w:val="20"/>
      <w:szCs w:val="20"/>
      <w:u w:val="none"/>
      <w:lang w:val="en-US"/>
    </w:rPr>
  </w:style>
  <w:style w:type="character" w:customStyle="1" w:styleId="Bodytext10pt2">
    <w:name w:val="Body text + 10 pt"/>
    <w:aliases w:val="Spacing 0 pt"/>
    <w:basedOn w:val="Bodytext"/>
    <w:rPr>
      <w:rFonts w:ascii="Calibri" w:eastAsia="Calibri" w:hAnsi="Calibri" w:cs="Calibri"/>
      <w:b w:val="0"/>
      <w:bCs w:val="0"/>
      <w:i w:val="0"/>
      <w:iCs w:val="0"/>
      <w:smallCaps w:val="0"/>
      <w:strike w:val="0"/>
      <w:color w:val="000000"/>
      <w:spacing w:val="7"/>
      <w:w w:val="100"/>
      <w:position w:val="0"/>
      <w:sz w:val="20"/>
      <w:szCs w:val="20"/>
      <w:u w:val="none"/>
      <w:lang w:val="en-US"/>
    </w:rPr>
  </w:style>
  <w:style w:type="character" w:customStyle="1" w:styleId="Bodytext10pt3">
    <w:name w:val="Body text + 10 pt"/>
    <w:aliases w:val="Bold,Spacing 0 pt"/>
    <w:basedOn w:val="Bodytext"/>
    <w:rPr>
      <w:rFonts w:ascii="Calibri" w:eastAsia="Calibri" w:hAnsi="Calibri" w:cs="Calibri"/>
      <w:b/>
      <w:bCs/>
      <w:i w:val="0"/>
      <w:iCs w:val="0"/>
      <w:smallCaps w:val="0"/>
      <w:strike w:val="0"/>
      <w:color w:val="000000"/>
      <w:spacing w:val="12"/>
      <w:w w:val="100"/>
      <w:position w:val="0"/>
      <w:sz w:val="20"/>
      <w:szCs w:val="20"/>
      <w:u w:val="none"/>
      <w:lang w:val="en-US"/>
    </w:rPr>
  </w:style>
  <w:style w:type="character" w:customStyle="1" w:styleId="Bodytext2105pt">
    <w:name w:val="Body text (2) + 10.5 pt"/>
    <w:aliases w:val="Not Bold,Spacing 0 pt"/>
    <w:basedOn w:val="Bodytext2"/>
    <w:rPr>
      <w:rFonts w:ascii="Calibri" w:eastAsia="Calibri" w:hAnsi="Calibri" w:cs="Calibri"/>
      <w:b/>
      <w:bCs/>
      <w:i w:val="0"/>
      <w:iCs w:val="0"/>
      <w:smallCaps w:val="0"/>
      <w:strike w:val="0"/>
      <w:color w:val="000000"/>
      <w:spacing w:val="-1"/>
      <w:w w:val="100"/>
      <w:position w:val="0"/>
      <w:sz w:val="21"/>
      <w:szCs w:val="21"/>
      <w:u w:val="none"/>
      <w:lang w:val="en-US"/>
    </w:rPr>
  </w:style>
  <w:style w:type="character" w:customStyle="1" w:styleId="Bodytext2SegoeUI">
    <w:name w:val="Body text (2) + Segoe UI"/>
    <w:aliases w:val="10 pt,Spacing 0 pt"/>
    <w:basedOn w:val="Bodytext2"/>
    <w:rPr>
      <w:rFonts w:ascii="Segoe UI" w:eastAsia="Segoe UI" w:hAnsi="Segoe UI" w:cs="Segoe UI"/>
      <w:b/>
      <w:bCs/>
      <w:i w:val="0"/>
      <w:iCs w:val="0"/>
      <w:smallCaps w:val="0"/>
      <w:strike w:val="0"/>
      <w:color w:val="000000"/>
      <w:spacing w:val="5"/>
      <w:w w:val="100"/>
      <w:position w:val="0"/>
      <w:sz w:val="20"/>
      <w:szCs w:val="20"/>
      <w:u w:val="none"/>
      <w:lang w:val="en-US"/>
    </w:rPr>
  </w:style>
  <w:style w:type="character" w:customStyle="1" w:styleId="Bodytext210pt0">
    <w:name w:val="Body text (2) + 10 pt"/>
    <w:aliases w:val="Not Bold"/>
    <w:basedOn w:val="Bodytext2"/>
    <w:rPr>
      <w:rFonts w:ascii="Calibri" w:eastAsia="Calibri" w:hAnsi="Calibri" w:cs="Calibri"/>
      <w:b/>
      <w:bCs/>
      <w:i w:val="0"/>
      <w:iCs w:val="0"/>
      <w:smallCaps w:val="0"/>
      <w:strike w:val="0"/>
      <w:color w:val="000000"/>
      <w:spacing w:val="3"/>
      <w:w w:val="100"/>
      <w:position w:val="0"/>
      <w:sz w:val="20"/>
      <w:szCs w:val="20"/>
      <w:u w:val="none"/>
      <w:lang w:val="en-US"/>
    </w:rPr>
  </w:style>
  <w:style w:type="character" w:customStyle="1" w:styleId="Bodytext210pt1">
    <w:name w:val="Body text (2) + 10 pt"/>
    <w:aliases w:val="Not Bold,Spacing 0 pt"/>
    <w:basedOn w:val="Bodytext2"/>
    <w:rPr>
      <w:rFonts w:ascii="Calibri" w:eastAsia="Calibri" w:hAnsi="Calibri" w:cs="Calibri"/>
      <w:b/>
      <w:bCs/>
      <w:i w:val="0"/>
      <w:iCs w:val="0"/>
      <w:smallCaps w:val="0"/>
      <w:strike w:val="0"/>
      <w:color w:val="000000"/>
      <w:spacing w:val="0"/>
      <w:w w:val="100"/>
      <w:position w:val="0"/>
      <w:sz w:val="20"/>
      <w:szCs w:val="20"/>
      <w:u w:val="none"/>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pacing w:val="1"/>
      <w:sz w:val="20"/>
      <w:szCs w:val="20"/>
      <w:u w:val="none"/>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b/>
      <w:bCs/>
      <w:spacing w:val="4"/>
    </w:rPr>
  </w:style>
  <w:style w:type="paragraph" w:customStyle="1" w:styleId="Bodytext20">
    <w:name w:val="Body text (2)"/>
    <w:basedOn w:val="Normal"/>
    <w:link w:val="Bodytext2"/>
    <w:pPr>
      <w:shd w:val="clear" w:color="auto" w:fill="FFFFFF"/>
      <w:spacing w:after="300" w:line="0" w:lineRule="atLeast"/>
      <w:ind w:hanging="1620"/>
    </w:pPr>
    <w:rPr>
      <w:rFonts w:ascii="Calibri" w:eastAsia="Calibri" w:hAnsi="Calibri" w:cs="Calibri"/>
      <w:b/>
      <w:bCs/>
      <w:spacing w:val="3"/>
    </w:rPr>
  </w:style>
  <w:style w:type="paragraph" w:customStyle="1" w:styleId="Headerorfooter20">
    <w:name w:val="Header or footer (2)"/>
    <w:basedOn w:val="Normal"/>
    <w:link w:val="Headerorfooter2"/>
    <w:pPr>
      <w:shd w:val="clear" w:color="auto" w:fill="FFFFFF"/>
      <w:spacing w:line="0" w:lineRule="atLeast"/>
    </w:pPr>
    <w:rPr>
      <w:rFonts w:ascii="Calibri" w:eastAsia="Calibri" w:hAnsi="Calibri" w:cs="Calibri"/>
      <w:sz w:val="19"/>
      <w:szCs w:val="19"/>
    </w:rPr>
  </w:style>
  <w:style w:type="paragraph" w:customStyle="1" w:styleId="BodyText1">
    <w:name w:val="Body Text1"/>
    <w:basedOn w:val="Normal"/>
    <w:link w:val="Bodytext"/>
    <w:pPr>
      <w:shd w:val="clear" w:color="auto" w:fill="FFFFFF"/>
      <w:spacing w:before="780" w:after="120" w:line="360" w:lineRule="exact"/>
      <w:ind w:hanging="580"/>
    </w:pPr>
    <w:rPr>
      <w:rFonts w:ascii="Calibri" w:eastAsia="Calibri" w:hAnsi="Calibri" w:cs="Calibri"/>
      <w:spacing w:val="3"/>
    </w:rPr>
  </w:style>
  <w:style w:type="paragraph" w:customStyle="1" w:styleId="Bodytext30">
    <w:name w:val="Body text (3)"/>
    <w:basedOn w:val="Normal"/>
    <w:link w:val="Bodytext3"/>
    <w:pPr>
      <w:shd w:val="clear" w:color="auto" w:fill="FFFFFF"/>
      <w:spacing w:before="420" w:line="0" w:lineRule="atLeast"/>
    </w:pPr>
    <w:rPr>
      <w:rFonts w:ascii="Gungsuh" w:eastAsia="Gungsuh" w:hAnsi="Gungsuh" w:cs="Gungsuh"/>
      <w:sz w:val="20"/>
      <w:szCs w:val="20"/>
    </w:rPr>
  </w:style>
  <w:style w:type="paragraph" w:customStyle="1" w:styleId="Bodytext40">
    <w:name w:val="Body text (4)"/>
    <w:basedOn w:val="Normal"/>
    <w:link w:val="Bodytext4"/>
    <w:pPr>
      <w:shd w:val="clear" w:color="auto" w:fill="FFFFFF"/>
      <w:spacing w:line="0" w:lineRule="atLeast"/>
    </w:pPr>
    <w:rPr>
      <w:rFonts w:ascii="Calibri" w:eastAsia="Calibri" w:hAnsi="Calibri" w:cs="Calibri"/>
      <w:spacing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0"/>
    <w:rPr>
      <w:rFonts w:ascii="Calibri" w:eastAsia="Calibri" w:hAnsi="Calibri" w:cs="Calibri"/>
      <w:b/>
      <w:bCs/>
      <w:i w:val="0"/>
      <w:iCs w:val="0"/>
      <w:smallCaps w:val="0"/>
      <w:strike w:val="0"/>
      <w:spacing w:val="4"/>
      <w:u w:val="none"/>
    </w:rPr>
  </w:style>
  <w:style w:type="character" w:customStyle="1" w:styleId="Bodytext2">
    <w:name w:val="Body text (2)_"/>
    <w:basedOn w:val="DefaultParagraphFont"/>
    <w:link w:val="Bodytext20"/>
    <w:rPr>
      <w:rFonts w:ascii="Calibri" w:eastAsia="Calibri" w:hAnsi="Calibri" w:cs="Calibri"/>
      <w:b/>
      <w:bCs/>
      <w:i w:val="0"/>
      <w:iCs w:val="0"/>
      <w:smallCaps w:val="0"/>
      <w:strike w:val="0"/>
      <w:spacing w:val="3"/>
      <w:u w:val="none"/>
    </w:rPr>
  </w:style>
  <w:style w:type="character" w:customStyle="1" w:styleId="Headerorfooter2">
    <w:name w:val="Header or footer (2)_"/>
    <w:basedOn w:val="DefaultParagraphFont"/>
    <w:link w:val="Headerorfooter20"/>
    <w:rPr>
      <w:rFonts w:ascii="Calibri" w:eastAsia="Calibri" w:hAnsi="Calibri" w:cs="Calibri"/>
      <w:b w:val="0"/>
      <w:bCs w:val="0"/>
      <w:i w:val="0"/>
      <w:iCs w:val="0"/>
      <w:smallCaps w:val="0"/>
      <w:strike w:val="0"/>
      <w:sz w:val="19"/>
      <w:szCs w:val="19"/>
      <w:u w:val="none"/>
    </w:rPr>
  </w:style>
  <w:style w:type="character" w:customStyle="1" w:styleId="Bodytext2TimesNewRoman">
    <w:name w:val="Body text (2) + Times New Roman"/>
    <w:aliases w:val="10 pt,Not Bold,Spacing 0 pt"/>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
    <w:name w:val="Body text_"/>
    <w:basedOn w:val="DefaultParagraphFont"/>
    <w:link w:val="BodyText1"/>
    <w:rPr>
      <w:rFonts w:ascii="Calibri" w:eastAsia="Calibri" w:hAnsi="Calibri" w:cs="Calibri"/>
      <w:b w:val="0"/>
      <w:bCs w:val="0"/>
      <w:i w:val="0"/>
      <w:iCs w:val="0"/>
      <w:smallCaps w:val="0"/>
      <w:strike w:val="0"/>
      <w:spacing w:val="3"/>
      <w:u w:val="none"/>
    </w:rPr>
  </w:style>
  <w:style w:type="character" w:customStyle="1" w:styleId="Bodytext10pt">
    <w:name w:val="Body text + 10 pt"/>
    <w:basedOn w:val="Bodytext"/>
    <w:rPr>
      <w:rFonts w:ascii="Calibri" w:eastAsia="Calibri" w:hAnsi="Calibri" w:cs="Calibri"/>
      <w:b w:val="0"/>
      <w:bCs w:val="0"/>
      <w:i w:val="0"/>
      <w:iCs w:val="0"/>
      <w:smallCaps w:val="0"/>
      <w:strike w:val="0"/>
      <w:color w:val="000000"/>
      <w:spacing w:val="3"/>
      <w:w w:val="100"/>
      <w:position w:val="0"/>
      <w:sz w:val="20"/>
      <w:szCs w:val="20"/>
      <w:u w:val="none"/>
      <w:lang w:val="en-US"/>
    </w:rPr>
  </w:style>
  <w:style w:type="character" w:customStyle="1" w:styleId="Bodytext10pt0">
    <w:name w:val="Body text + 10 pt"/>
    <w:aliases w:val="Spacing 0 pt"/>
    <w:basedOn w:val="Bodytext"/>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Bodytext210pt">
    <w:name w:val="Body text (2) + 10 pt"/>
    <w:aliases w:val="Not Bold,Spacing 0 pt"/>
    <w:basedOn w:val="Bodytext2"/>
    <w:rPr>
      <w:rFonts w:ascii="Calibri" w:eastAsia="Calibri" w:hAnsi="Calibri" w:cs="Calibri"/>
      <w:b/>
      <w:bCs/>
      <w:i w:val="0"/>
      <w:iCs w:val="0"/>
      <w:smallCaps w:val="0"/>
      <w:strike w:val="0"/>
      <w:color w:val="000000"/>
      <w:spacing w:val="5"/>
      <w:w w:val="100"/>
      <w:position w:val="0"/>
      <w:sz w:val="20"/>
      <w:szCs w:val="20"/>
      <w:u w:val="none"/>
      <w:lang w:val="en-US"/>
    </w:rPr>
  </w:style>
  <w:style w:type="character" w:customStyle="1" w:styleId="Bodytext2NotBold">
    <w:name w:val="Body text (2) + Not Bold"/>
    <w:basedOn w:val="Bodytext2"/>
    <w:rPr>
      <w:rFonts w:ascii="Calibri" w:eastAsia="Calibri" w:hAnsi="Calibri" w:cs="Calibri"/>
      <w:b/>
      <w:bCs/>
      <w:i w:val="0"/>
      <w:iCs w:val="0"/>
      <w:smallCaps w:val="0"/>
      <w:strike w:val="0"/>
      <w:color w:val="000000"/>
      <w:spacing w:val="3"/>
      <w:w w:val="100"/>
      <w:position w:val="0"/>
      <w:sz w:val="24"/>
      <w:szCs w:val="24"/>
      <w:u w:val="none"/>
      <w:lang w:val="en-US"/>
    </w:rPr>
  </w:style>
  <w:style w:type="character" w:customStyle="1" w:styleId="Bodytext3">
    <w:name w:val="Body text (3)_"/>
    <w:basedOn w:val="DefaultParagraphFont"/>
    <w:link w:val="Bodytext30"/>
    <w:rPr>
      <w:rFonts w:ascii="Gungsuh" w:eastAsia="Gungsuh" w:hAnsi="Gungsuh" w:cs="Gungsuh"/>
      <w:b w:val="0"/>
      <w:bCs w:val="0"/>
      <w:i w:val="0"/>
      <w:iCs w:val="0"/>
      <w:smallCaps w:val="0"/>
      <w:strike w:val="0"/>
      <w:sz w:val="20"/>
      <w:szCs w:val="20"/>
      <w:u w:val="none"/>
    </w:rPr>
  </w:style>
  <w:style w:type="character" w:customStyle="1" w:styleId="Bodytext10pt1">
    <w:name w:val="Body text + 10 pt"/>
    <w:aliases w:val="Spacing 0 pt"/>
    <w:basedOn w:val="Bodytext"/>
    <w:rPr>
      <w:rFonts w:ascii="Calibri" w:eastAsia="Calibri" w:hAnsi="Calibri" w:cs="Calibri"/>
      <w:b w:val="0"/>
      <w:bCs w:val="0"/>
      <w:i w:val="0"/>
      <w:iCs w:val="0"/>
      <w:smallCaps w:val="0"/>
      <w:strike w:val="0"/>
      <w:color w:val="000000"/>
      <w:spacing w:val="5"/>
      <w:w w:val="100"/>
      <w:position w:val="0"/>
      <w:sz w:val="20"/>
      <w:szCs w:val="20"/>
      <w:u w:val="none"/>
      <w:lang w:val="en-US"/>
    </w:rPr>
  </w:style>
  <w:style w:type="character" w:customStyle="1" w:styleId="Bodytext10pt2">
    <w:name w:val="Body text + 10 pt"/>
    <w:aliases w:val="Spacing 0 pt"/>
    <w:basedOn w:val="Bodytext"/>
    <w:rPr>
      <w:rFonts w:ascii="Calibri" w:eastAsia="Calibri" w:hAnsi="Calibri" w:cs="Calibri"/>
      <w:b w:val="0"/>
      <w:bCs w:val="0"/>
      <w:i w:val="0"/>
      <w:iCs w:val="0"/>
      <w:smallCaps w:val="0"/>
      <w:strike w:val="0"/>
      <w:color w:val="000000"/>
      <w:spacing w:val="7"/>
      <w:w w:val="100"/>
      <w:position w:val="0"/>
      <w:sz w:val="20"/>
      <w:szCs w:val="20"/>
      <w:u w:val="none"/>
      <w:lang w:val="en-US"/>
    </w:rPr>
  </w:style>
  <w:style w:type="character" w:customStyle="1" w:styleId="Bodytext10pt3">
    <w:name w:val="Body text + 10 pt"/>
    <w:aliases w:val="Bold,Spacing 0 pt"/>
    <w:basedOn w:val="Bodytext"/>
    <w:rPr>
      <w:rFonts w:ascii="Calibri" w:eastAsia="Calibri" w:hAnsi="Calibri" w:cs="Calibri"/>
      <w:b/>
      <w:bCs/>
      <w:i w:val="0"/>
      <w:iCs w:val="0"/>
      <w:smallCaps w:val="0"/>
      <w:strike w:val="0"/>
      <w:color w:val="000000"/>
      <w:spacing w:val="12"/>
      <w:w w:val="100"/>
      <w:position w:val="0"/>
      <w:sz w:val="20"/>
      <w:szCs w:val="20"/>
      <w:u w:val="none"/>
      <w:lang w:val="en-US"/>
    </w:rPr>
  </w:style>
  <w:style w:type="character" w:customStyle="1" w:styleId="Bodytext2105pt">
    <w:name w:val="Body text (2) + 10.5 pt"/>
    <w:aliases w:val="Not Bold,Spacing 0 pt"/>
    <w:basedOn w:val="Bodytext2"/>
    <w:rPr>
      <w:rFonts w:ascii="Calibri" w:eastAsia="Calibri" w:hAnsi="Calibri" w:cs="Calibri"/>
      <w:b/>
      <w:bCs/>
      <w:i w:val="0"/>
      <w:iCs w:val="0"/>
      <w:smallCaps w:val="0"/>
      <w:strike w:val="0"/>
      <w:color w:val="000000"/>
      <w:spacing w:val="-1"/>
      <w:w w:val="100"/>
      <w:position w:val="0"/>
      <w:sz w:val="21"/>
      <w:szCs w:val="21"/>
      <w:u w:val="none"/>
      <w:lang w:val="en-US"/>
    </w:rPr>
  </w:style>
  <w:style w:type="character" w:customStyle="1" w:styleId="Bodytext2SegoeUI">
    <w:name w:val="Body text (2) + Segoe UI"/>
    <w:aliases w:val="10 pt,Spacing 0 pt"/>
    <w:basedOn w:val="Bodytext2"/>
    <w:rPr>
      <w:rFonts w:ascii="Segoe UI" w:eastAsia="Segoe UI" w:hAnsi="Segoe UI" w:cs="Segoe UI"/>
      <w:b/>
      <w:bCs/>
      <w:i w:val="0"/>
      <w:iCs w:val="0"/>
      <w:smallCaps w:val="0"/>
      <w:strike w:val="0"/>
      <w:color w:val="000000"/>
      <w:spacing w:val="5"/>
      <w:w w:val="100"/>
      <w:position w:val="0"/>
      <w:sz w:val="20"/>
      <w:szCs w:val="20"/>
      <w:u w:val="none"/>
      <w:lang w:val="en-US"/>
    </w:rPr>
  </w:style>
  <w:style w:type="character" w:customStyle="1" w:styleId="Bodytext210pt0">
    <w:name w:val="Body text (2) + 10 pt"/>
    <w:aliases w:val="Not Bold"/>
    <w:basedOn w:val="Bodytext2"/>
    <w:rPr>
      <w:rFonts w:ascii="Calibri" w:eastAsia="Calibri" w:hAnsi="Calibri" w:cs="Calibri"/>
      <w:b/>
      <w:bCs/>
      <w:i w:val="0"/>
      <w:iCs w:val="0"/>
      <w:smallCaps w:val="0"/>
      <w:strike w:val="0"/>
      <w:color w:val="000000"/>
      <w:spacing w:val="3"/>
      <w:w w:val="100"/>
      <w:position w:val="0"/>
      <w:sz w:val="20"/>
      <w:szCs w:val="20"/>
      <w:u w:val="none"/>
      <w:lang w:val="en-US"/>
    </w:rPr>
  </w:style>
  <w:style w:type="character" w:customStyle="1" w:styleId="Bodytext210pt1">
    <w:name w:val="Body text (2) + 10 pt"/>
    <w:aliases w:val="Not Bold,Spacing 0 pt"/>
    <w:basedOn w:val="Bodytext2"/>
    <w:rPr>
      <w:rFonts w:ascii="Calibri" w:eastAsia="Calibri" w:hAnsi="Calibri" w:cs="Calibri"/>
      <w:b/>
      <w:bCs/>
      <w:i w:val="0"/>
      <w:iCs w:val="0"/>
      <w:smallCaps w:val="0"/>
      <w:strike w:val="0"/>
      <w:color w:val="000000"/>
      <w:spacing w:val="0"/>
      <w:w w:val="100"/>
      <w:position w:val="0"/>
      <w:sz w:val="20"/>
      <w:szCs w:val="20"/>
      <w:u w:val="none"/>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pacing w:val="1"/>
      <w:sz w:val="20"/>
      <w:szCs w:val="20"/>
      <w:u w:val="none"/>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b/>
      <w:bCs/>
      <w:spacing w:val="4"/>
    </w:rPr>
  </w:style>
  <w:style w:type="paragraph" w:customStyle="1" w:styleId="Bodytext20">
    <w:name w:val="Body text (2)"/>
    <w:basedOn w:val="Normal"/>
    <w:link w:val="Bodytext2"/>
    <w:pPr>
      <w:shd w:val="clear" w:color="auto" w:fill="FFFFFF"/>
      <w:spacing w:after="300" w:line="0" w:lineRule="atLeast"/>
      <w:ind w:hanging="1620"/>
    </w:pPr>
    <w:rPr>
      <w:rFonts w:ascii="Calibri" w:eastAsia="Calibri" w:hAnsi="Calibri" w:cs="Calibri"/>
      <w:b/>
      <w:bCs/>
      <w:spacing w:val="3"/>
    </w:rPr>
  </w:style>
  <w:style w:type="paragraph" w:customStyle="1" w:styleId="Headerorfooter20">
    <w:name w:val="Header or footer (2)"/>
    <w:basedOn w:val="Normal"/>
    <w:link w:val="Headerorfooter2"/>
    <w:pPr>
      <w:shd w:val="clear" w:color="auto" w:fill="FFFFFF"/>
      <w:spacing w:line="0" w:lineRule="atLeast"/>
    </w:pPr>
    <w:rPr>
      <w:rFonts w:ascii="Calibri" w:eastAsia="Calibri" w:hAnsi="Calibri" w:cs="Calibri"/>
      <w:sz w:val="19"/>
      <w:szCs w:val="19"/>
    </w:rPr>
  </w:style>
  <w:style w:type="paragraph" w:customStyle="1" w:styleId="BodyText1">
    <w:name w:val="Body Text1"/>
    <w:basedOn w:val="Normal"/>
    <w:link w:val="Bodytext"/>
    <w:pPr>
      <w:shd w:val="clear" w:color="auto" w:fill="FFFFFF"/>
      <w:spacing w:before="780" w:after="120" w:line="360" w:lineRule="exact"/>
      <w:ind w:hanging="580"/>
    </w:pPr>
    <w:rPr>
      <w:rFonts w:ascii="Calibri" w:eastAsia="Calibri" w:hAnsi="Calibri" w:cs="Calibri"/>
      <w:spacing w:val="3"/>
    </w:rPr>
  </w:style>
  <w:style w:type="paragraph" w:customStyle="1" w:styleId="Bodytext30">
    <w:name w:val="Body text (3)"/>
    <w:basedOn w:val="Normal"/>
    <w:link w:val="Bodytext3"/>
    <w:pPr>
      <w:shd w:val="clear" w:color="auto" w:fill="FFFFFF"/>
      <w:spacing w:before="420" w:line="0" w:lineRule="atLeast"/>
    </w:pPr>
    <w:rPr>
      <w:rFonts w:ascii="Gungsuh" w:eastAsia="Gungsuh" w:hAnsi="Gungsuh" w:cs="Gungsuh"/>
      <w:sz w:val="20"/>
      <w:szCs w:val="20"/>
    </w:rPr>
  </w:style>
  <w:style w:type="paragraph" w:customStyle="1" w:styleId="Bodytext40">
    <w:name w:val="Body text (4)"/>
    <w:basedOn w:val="Normal"/>
    <w:link w:val="Bodytext4"/>
    <w:pPr>
      <w:shd w:val="clear" w:color="auto" w:fill="FFFFFF"/>
      <w:spacing w:line="0" w:lineRule="atLeast"/>
    </w:pPr>
    <w:rPr>
      <w:rFonts w:ascii="Calibri" w:eastAsia="Calibri" w:hAnsi="Calibri" w:cs="Calibri"/>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2016-08-08T09:49:00Z</dcterms:created>
  <dcterms:modified xsi:type="dcterms:W3CDTF">2016-08-08T10:21:00Z</dcterms:modified>
</cp:coreProperties>
</file>