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DCF" w:rsidRPr="00B81BF6" w:rsidRDefault="00B81BF6" w:rsidP="00B81BF6">
      <w:pPr>
        <w:pStyle w:val="BodyText1"/>
        <w:shd w:val="clear" w:color="auto" w:fill="auto"/>
        <w:spacing w:before="0" w:after="60" w:line="360" w:lineRule="auto"/>
        <w:ind w:firstLine="0"/>
        <w:jc w:val="both"/>
        <w:rPr>
          <w:rFonts w:ascii="Times New Roman" w:hAnsi="Times New Roman" w:cs="Times New Roman"/>
          <w:sz w:val="24"/>
          <w:szCs w:val="24"/>
        </w:rPr>
      </w:pPr>
      <w:bookmarkStart w:id="0" w:name="bookmark1"/>
      <w:r w:rsidRPr="00B81BF6">
        <w:rPr>
          <w:rFonts w:ascii="Times New Roman" w:hAnsi="Times New Roman" w:cs="Times New Roman"/>
          <w:sz w:val="24"/>
          <w:szCs w:val="24"/>
        </w:rPr>
        <w:t>THE REPUBLIC OF UGANDA</w:t>
      </w:r>
    </w:p>
    <w:p w:rsidR="00F04DCF" w:rsidRPr="00B81BF6" w:rsidRDefault="00B81BF6" w:rsidP="00B81BF6">
      <w:pPr>
        <w:pStyle w:val="BodyText1"/>
        <w:shd w:val="clear" w:color="auto" w:fill="auto"/>
        <w:spacing w:before="0" w:after="60" w:line="360" w:lineRule="auto"/>
        <w:ind w:firstLine="0"/>
        <w:jc w:val="both"/>
        <w:rPr>
          <w:rFonts w:ascii="Times New Roman" w:hAnsi="Times New Roman" w:cs="Times New Roman"/>
          <w:sz w:val="24"/>
          <w:szCs w:val="24"/>
        </w:rPr>
      </w:pPr>
      <w:r w:rsidRPr="00B81BF6">
        <w:rPr>
          <w:rFonts w:ascii="Times New Roman" w:hAnsi="Times New Roman" w:cs="Times New Roman"/>
          <w:sz w:val="24"/>
          <w:szCs w:val="24"/>
        </w:rPr>
        <w:t xml:space="preserve"> IN THE COURT OF APPEAL OF UGANDA AT KAMPALA</w:t>
      </w:r>
    </w:p>
    <w:p w:rsidR="00F04DCF" w:rsidRPr="00B81BF6" w:rsidRDefault="00B81BF6" w:rsidP="00B81BF6">
      <w:pPr>
        <w:pStyle w:val="BodyText1"/>
        <w:shd w:val="clear" w:color="auto" w:fill="auto"/>
        <w:spacing w:before="0" w:after="60" w:line="360" w:lineRule="auto"/>
        <w:ind w:firstLine="0"/>
        <w:jc w:val="both"/>
        <w:rPr>
          <w:rFonts w:ascii="Times New Roman" w:hAnsi="Times New Roman" w:cs="Times New Roman"/>
          <w:sz w:val="24"/>
          <w:szCs w:val="24"/>
        </w:rPr>
      </w:pPr>
      <w:r w:rsidRPr="00B81BF6">
        <w:rPr>
          <w:rFonts w:ascii="Times New Roman" w:hAnsi="Times New Roman" w:cs="Times New Roman"/>
          <w:sz w:val="24"/>
          <w:szCs w:val="24"/>
        </w:rPr>
        <w:t xml:space="preserve"> CIVIL APPEAL NUMBER 59 OF 2009</w:t>
      </w:r>
      <w:r w:rsidRPr="00B81BF6">
        <w:rPr>
          <w:rFonts w:ascii="Times New Roman" w:hAnsi="Times New Roman" w:cs="Times New Roman"/>
          <w:sz w:val="24"/>
          <w:szCs w:val="24"/>
        </w:rPr>
        <w:tab/>
      </w:r>
    </w:p>
    <w:p w:rsidR="00F04DCF" w:rsidRPr="00B81BF6" w:rsidRDefault="00F04DCF" w:rsidP="00B81BF6">
      <w:pPr>
        <w:pStyle w:val="BodyText1"/>
        <w:shd w:val="clear" w:color="auto" w:fill="auto"/>
        <w:spacing w:before="0" w:after="60" w:line="360" w:lineRule="auto"/>
        <w:ind w:firstLine="0"/>
        <w:jc w:val="both"/>
        <w:rPr>
          <w:rFonts w:ascii="Times New Roman" w:hAnsi="Times New Roman" w:cs="Times New Roman"/>
          <w:sz w:val="24"/>
          <w:szCs w:val="24"/>
        </w:rPr>
      </w:pPr>
      <w:r w:rsidRPr="00B81BF6">
        <w:rPr>
          <w:rFonts w:ascii="Times New Roman" w:hAnsi="Times New Roman" w:cs="Times New Roman"/>
          <w:sz w:val="24"/>
          <w:szCs w:val="24"/>
        </w:rPr>
        <w:t>1.</w:t>
      </w:r>
      <w:r w:rsidR="00B81BF6" w:rsidRPr="00B81BF6">
        <w:rPr>
          <w:rFonts w:ascii="Times New Roman" w:hAnsi="Times New Roman" w:cs="Times New Roman"/>
          <w:sz w:val="24"/>
          <w:szCs w:val="24"/>
        </w:rPr>
        <w:t>BALAMU BWETEGAINE KIIZA ::::::::::::::::::::::::::::::::::::::::::::: APPELLANTS</w:t>
      </w:r>
    </w:p>
    <w:p w:rsidR="00F04DCF" w:rsidRPr="00B81BF6" w:rsidRDefault="00B81BF6" w:rsidP="00B81BF6">
      <w:pPr>
        <w:pStyle w:val="BodyText1"/>
        <w:shd w:val="clear" w:color="auto" w:fill="auto"/>
        <w:spacing w:before="0" w:after="60" w:line="360" w:lineRule="auto"/>
        <w:ind w:firstLine="0"/>
        <w:jc w:val="both"/>
        <w:rPr>
          <w:rFonts w:ascii="Times New Roman" w:hAnsi="Times New Roman" w:cs="Times New Roman"/>
          <w:sz w:val="24"/>
          <w:szCs w:val="24"/>
        </w:rPr>
      </w:pPr>
      <w:r w:rsidRPr="00B81BF6">
        <w:rPr>
          <w:rFonts w:ascii="Times New Roman" w:hAnsi="Times New Roman" w:cs="Times New Roman"/>
          <w:sz w:val="24"/>
          <w:szCs w:val="24"/>
        </w:rPr>
        <w:t xml:space="preserve"> 2. ISMARUBONA </w:t>
      </w:r>
    </w:p>
    <w:p w:rsidR="00650CC9" w:rsidRPr="00B81BF6" w:rsidRDefault="00B81BF6" w:rsidP="00B81BF6">
      <w:pPr>
        <w:pStyle w:val="BodyText1"/>
        <w:shd w:val="clear" w:color="auto" w:fill="auto"/>
        <w:spacing w:before="0" w:after="60" w:line="360" w:lineRule="auto"/>
        <w:ind w:firstLine="0"/>
        <w:jc w:val="both"/>
        <w:rPr>
          <w:rFonts w:ascii="Times New Roman" w:hAnsi="Times New Roman" w:cs="Times New Roman"/>
          <w:sz w:val="24"/>
          <w:szCs w:val="24"/>
        </w:rPr>
      </w:pPr>
      <w:r w:rsidRPr="00B81BF6">
        <w:rPr>
          <w:rFonts w:ascii="Times New Roman" w:hAnsi="Times New Roman" w:cs="Times New Roman"/>
          <w:sz w:val="24"/>
          <w:szCs w:val="24"/>
        </w:rPr>
        <w:t>VERSUS</w:t>
      </w:r>
      <w:bookmarkEnd w:id="0"/>
    </w:p>
    <w:p w:rsidR="00F04DCF" w:rsidRPr="00B81BF6" w:rsidRDefault="00F04DCF" w:rsidP="00B81BF6">
      <w:pPr>
        <w:pStyle w:val="BodyText1"/>
        <w:shd w:val="clear" w:color="auto" w:fill="auto"/>
        <w:spacing w:before="0" w:after="0" w:line="360" w:lineRule="auto"/>
        <w:ind w:right="740" w:firstLine="0"/>
        <w:jc w:val="both"/>
        <w:rPr>
          <w:rFonts w:ascii="Times New Roman" w:hAnsi="Times New Roman" w:cs="Times New Roman"/>
          <w:sz w:val="24"/>
          <w:szCs w:val="24"/>
        </w:rPr>
      </w:pPr>
      <w:r w:rsidRPr="00B81BF6">
        <w:rPr>
          <w:rFonts w:ascii="Times New Roman" w:hAnsi="Times New Roman" w:cs="Times New Roman"/>
          <w:sz w:val="24"/>
          <w:szCs w:val="24"/>
        </w:rPr>
        <w:t>1.</w:t>
      </w:r>
      <w:r w:rsidR="00B81BF6" w:rsidRPr="00B81BF6">
        <w:rPr>
          <w:rFonts w:ascii="Times New Roman" w:hAnsi="Times New Roman" w:cs="Times New Roman"/>
          <w:sz w:val="24"/>
          <w:szCs w:val="24"/>
        </w:rPr>
        <w:t xml:space="preserve">ZEPHANIA KADOOBA </w:t>
      </w:r>
      <w:r w:rsidRPr="00B81BF6">
        <w:rPr>
          <w:rFonts w:ascii="Times New Roman" w:hAnsi="Times New Roman" w:cs="Times New Roman"/>
          <w:sz w:val="24"/>
          <w:szCs w:val="24"/>
        </w:rPr>
        <w:t>KIIZA:</w:t>
      </w:r>
      <w:r w:rsidR="00B81BF6" w:rsidRPr="00B81BF6">
        <w:rPr>
          <w:rFonts w:ascii="Times New Roman" w:hAnsi="Times New Roman" w:cs="Times New Roman"/>
          <w:sz w:val="24"/>
          <w:szCs w:val="24"/>
        </w:rPr>
        <w:t>:::::::::::::::::::::::::::::::::::::::::::::::::: RESPONDENT</w:t>
      </w:r>
    </w:p>
    <w:p w:rsidR="00650CC9" w:rsidRPr="00B81BF6" w:rsidRDefault="00B81BF6" w:rsidP="00B81BF6">
      <w:pPr>
        <w:pStyle w:val="BodyText1"/>
        <w:shd w:val="clear" w:color="auto" w:fill="auto"/>
        <w:spacing w:before="0" w:after="0" w:line="360" w:lineRule="auto"/>
        <w:ind w:right="740" w:firstLine="0"/>
        <w:jc w:val="both"/>
        <w:rPr>
          <w:rFonts w:ascii="Times New Roman" w:hAnsi="Times New Roman" w:cs="Times New Roman"/>
          <w:sz w:val="24"/>
          <w:szCs w:val="24"/>
        </w:rPr>
      </w:pPr>
      <w:r w:rsidRPr="00B81BF6">
        <w:rPr>
          <w:rFonts w:ascii="Times New Roman" w:hAnsi="Times New Roman" w:cs="Times New Roman"/>
          <w:sz w:val="24"/>
          <w:szCs w:val="24"/>
        </w:rPr>
        <w:t xml:space="preserve"> CORAM: HON. JUSTICE REMMY KASULE, JA</w:t>
      </w:r>
    </w:p>
    <w:p w:rsidR="00F04DCF" w:rsidRPr="00B81BF6" w:rsidRDefault="00F04DCF" w:rsidP="00B81BF6">
      <w:pPr>
        <w:pStyle w:val="BodyText1"/>
        <w:shd w:val="clear" w:color="auto" w:fill="auto"/>
        <w:spacing w:before="0" w:after="702" w:line="360" w:lineRule="auto"/>
        <w:ind w:right="3840" w:firstLine="0"/>
        <w:jc w:val="both"/>
        <w:rPr>
          <w:rFonts w:ascii="Times New Roman" w:hAnsi="Times New Roman" w:cs="Times New Roman"/>
          <w:sz w:val="24"/>
          <w:szCs w:val="24"/>
        </w:rPr>
      </w:pPr>
      <w:r w:rsidRPr="00B81BF6">
        <w:rPr>
          <w:rFonts w:ascii="Times New Roman" w:hAnsi="Times New Roman" w:cs="Times New Roman"/>
          <w:sz w:val="24"/>
          <w:szCs w:val="24"/>
        </w:rPr>
        <w:t xml:space="preserve">                 </w:t>
      </w:r>
      <w:r w:rsidR="00B81BF6" w:rsidRPr="00B81BF6">
        <w:rPr>
          <w:rFonts w:ascii="Times New Roman" w:hAnsi="Times New Roman" w:cs="Times New Roman"/>
          <w:sz w:val="24"/>
          <w:szCs w:val="24"/>
        </w:rPr>
        <w:t xml:space="preserve">HON. JUSTICE RICHARD BUTEERA, JA </w:t>
      </w:r>
    </w:p>
    <w:p w:rsidR="00650CC9" w:rsidRPr="00B81BF6" w:rsidRDefault="00F04DCF" w:rsidP="00B81BF6">
      <w:pPr>
        <w:pStyle w:val="BodyText1"/>
        <w:shd w:val="clear" w:color="auto" w:fill="auto"/>
        <w:spacing w:before="0" w:after="702" w:line="360" w:lineRule="auto"/>
        <w:ind w:right="3840" w:firstLine="0"/>
        <w:jc w:val="both"/>
        <w:rPr>
          <w:rFonts w:ascii="Times New Roman" w:hAnsi="Times New Roman" w:cs="Times New Roman"/>
          <w:sz w:val="24"/>
          <w:szCs w:val="24"/>
        </w:rPr>
      </w:pPr>
      <w:r w:rsidRPr="00B81BF6">
        <w:rPr>
          <w:rFonts w:ascii="Times New Roman" w:hAnsi="Times New Roman" w:cs="Times New Roman"/>
          <w:sz w:val="24"/>
          <w:szCs w:val="24"/>
        </w:rPr>
        <w:t xml:space="preserve">                   </w:t>
      </w:r>
      <w:r w:rsidR="00B81BF6" w:rsidRPr="00B81BF6">
        <w:rPr>
          <w:rFonts w:ascii="Times New Roman" w:hAnsi="Times New Roman" w:cs="Times New Roman"/>
          <w:sz w:val="24"/>
          <w:szCs w:val="24"/>
        </w:rPr>
        <w:t>HON. JUSTICE GEOFFREY KIRYABWIRE, JA</w:t>
      </w:r>
    </w:p>
    <w:p w:rsidR="00650CC9" w:rsidRPr="00B81BF6" w:rsidRDefault="00B81BF6" w:rsidP="00B81BF6">
      <w:pPr>
        <w:pStyle w:val="Heading30"/>
        <w:keepNext/>
        <w:keepLines/>
        <w:shd w:val="clear" w:color="auto" w:fill="auto"/>
        <w:spacing w:before="0" w:after="46" w:line="360" w:lineRule="auto"/>
        <w:ind w:right="340"/>
        <w:jc w:val="both"/>
        <w:rPr>
          <w:rFonts w:ascii="Times New Roman" w:hAnsi="Times New Roman" w:cs="Times New Roman"/>
          <w:sz w:val="24"/>
          <w:szCs w:val="24"/>
        </w:rPr>
      </w:pPr>
      <w:bookmarkStart w:id="1" w:name="bookmark2"/>
      <w:r w:rsidRPr="00B81BF6">
        <w:rPr>
          <w:rStyle w:val="Heading31"/>
          <w:rFonts w:ascii="Times New Roman" w:hAnsi="Times New Roman" w:cs="Times New Roman"/>
          <w:sz w:val="24"/>
          <w:szCs w:val="24"/>
        </w:rPr>
        <w:t>JUDGMENT</w:t>
      </w:r>
      <w:bookmarkEnd w:id="1"/>
    </w:p>
    <w:p w:rsidR="00650CC9" w:rsidRPr="00B81BF6" w:rsidRDefault="00B81BF6" w:rsidP="00B81BF6">
      <w:pPr>
        <w:pStyle w:val="BodyText1"/>
        <w:shd w:val="clear" w:color="auto" w:fill="auto"/>
        <w:spacing w:before="0" w:after="176" w:line="360" w:lineRule="auto"/>
        <w:ind w:left="40" w:right="740" w:firstLine="0"/>
        <w:jc w:val="both"/>
        <w:rPr>
          <w:rFonts w:ascii="Times New Roman" w:hAnsi="Times New Roman" w:cs="Times New Roman"/>
          <w:sz w:val="24"/>
          <w:szCs w:val="24"/>
        </w:rPr>
      </w:pPr>
      <w:r w:rsidRPr="00B81BF6">
        <w:rPr>
          <w:rFonts w:ascii="Times New Roman" w:hAnsi="Times New Roman" w:cs="Times New Roman"/>
          <w:sz w:val="24"/>
          <w:szCs w:val="24"/>
        </w:rPr>
        <w:t>This is a second appeal arising from the original decision of Hoima Land Trib</w:t>
      </w:r>
      <w:r w:rsidRPr="00B81BF6">
        <w:rPr>
          <w:rFonts w:ascii="Times New Roman" w:hAnsi="Times New Roman" w:cs="Times New Roman"/>
          <w:sz w:val="24"/>
          <w:szCs w:val="24"/>
        </w:rPr>
        <w:t>unal sitting at Hoima (hereinafter referred to as the "Tribunal") rendered on the 8</w:t>
      </w:r>
      <w:r w:rsidRPr="00B81BF6">
        <w:rPr>
          <w:rFonts w:ascii="Times New Roman" w:hAnsi="Times New Roman" w:cs="Times New Roman"/>
          <w:sz w:val="24"/>
          <w:szCs w:val="24"/>
          <w:vertAlign w:val="superscript"/>
        </w:rPr>
        <w:t>th</w:t>
      </w:r>
      <w:r w:rsidRPr="00B81BF6">
        <w:rPr>
          <w:rFonts w:ascii="Times New Roman" w:hAnsi="Times New Roman" w:cs="Times New Roman"/>
          <w:sz w:val="24"/>
          <w:szCs w:val="24"/>
        </w:rPr>
        <w:t xml:space="preserve"> </w:t>
      </w:r>
      <w:r w:rsidRPr="00B81BF6">
        <w:rPr>
          <w:rStyle w:val="Bodytext105pt0"/>
          <w:rFonts w:ascii="Times New Roman" w:hAnsi="Times New Roman" w:cs="Times New Roman"/>
          <w:sz w:val="24"/>
          <w:szCs w:val="24"/>
        </w:rPr>
        <w:t xml:space="preserve"> </w:t>
      </w:r>
      <w:r w:rsidRPr="00B81BF6">
        <w:rPr>
          <w:rFonts w:ascii="Times New Roman" w:hAnsi="Times New Roman" w:cs="Times New Roman"/>
          <w:sz w:val="24"/>
          <w:szCs w:val="24"/>
        </w:rPr>
        <w:t>August 2005. On first appeal of that decision to the High Court Land Divi</w:t>
      </w:r>
      <w:r w:rsidR="00F04DCF" w:rsidRPr="00B81BF6">
        <w:rPr>
          <w:rFonts w:ascii="Times New Roman" w:hAnsi="Times New Roman" w:cs="Times New Roman"/>
          <w:sz w:val="24"/>
          <w:szCs w:val="24"/>
        </w:rPr>
        <w:t xml:space="preserve">sion, the first appellate Court </w:t>
      </w:r>
      <w:r w:rsidRPr="00B81BF6">
        <w:rPr>
          <w:rFonts w:ascii="Times New Roman" w:hAnsi="Times New Roman" w:cs="Times New Roman"/>
          <w:sz w:val="24"/>
          <w:szCs w:val="24"/>
        </w:rPr>
        <w:t>upheld the decision of the Tribunal and hence this second appe</w:t>
      </w:r>
      <w:r w:rsidRPr="00B81BF6">
        <w:rPr>
          <w:rFonts w:ascii="Times New Roman" w:hAnsi="Times New Roman" w:cs="Times New Roman"/>
          <w:sz w:val="24"/>
          <w:szCs w:val="24"/>
        </w:rPr>
        <w:t>al.</w:t>
      </w:r>
    </w:p>
    <w:p w:rsidR="00650CC9" w:rsidRPr="00B81BF6" w:rsidRDefault="00B81BF6" w:rsidP="00B81BF6">
      <w:pPr>
        <w:pStyle w:val="BodyText1"/>
        <w:shd w:val="clear" w:color="auto" w:fill="auto"/>
        <w:spacing w:before="0" w:after="259" w:line="360" w:lineRule="auto"/>
        <w:ind w:left="640" w:right="740" w:firstLine="0"/>
        <w:jc w:val="both"/>
        <w:rPr>
          <w:rFonts w:ascii="Times New Roman" w:hAnsi="Times New Roman" w:cs="Times New Roman"/>
          <w:sz w:val="24"/>
          <w:szCs w:val="24"/>
        </w:rPr>
      </w:pPr>
      <w:r w:rsidRPr="00B81BF6">
        <w:rPr>
          <w:rFonts w:ascii="Times New Roman" w:hAnsi="Times New Roman" w:cs="Times New Roman"/>
          <w:sz w:val="24"/>
          <w:szCs w:val="24"/>
        </w:rPr>
        <w:t xml:space="preserve">The background to this second appeal is that the respondent sued the appellants in the Land Tribunal at Hoima for a declaration that the suit land belonged to him </w:t>
      </w:r>
      <w:r w:rsidRPr="00B81BF6">
        <w:rPr>
          <w:rFonts w:ascii="Times New Roman" w:hAnsi="Times New Roman" w:cs="Times New Roman"/>
          <w:sz w:val="24"/>
          <w:szCs w:val="24"/>
        </w:rPr>
        <w:t xml:space="preserve"> and that the appellants were trespassers thereon. The respondent'</w:t>
      </w:r>
      <w:r w:rsidRPr="00B81BF6">
        <w:rPr>
          <w:rFonts w:ascii="Times New Roman" w:hAnsi="Times New Roman" w:cs="Times New Roman"/>
          <w:sz w:val="24"/>
          <w:szCs w:val="24"/>
        </w:rPr>
        <w:t>s claim was that on the 17</w:t>
      </w:r>
      <w:r w:rsidRPr="00B81BF6">
        <w:rPr>
          <w:rFonts w:ascii="Times New Roman" w:hAnsi="Times New Roman" w:cs="Times New Roman"/>
          <w:sz w:val="24"/>
          <w:szCs w:val="24"/>
          <w:vertAlign w:val="superscript"/>
        </w:rPr>
        <w:t>th</w:t>
      </w:r>
      <w:r w:rsidRPr="00B81BF6">
        <w:rPr>
          <w:rFonts w:ascii="Times New Roman" w:hAnsi="Times New Roman" w:cs="Times New Roman"/>
          <w:sz w:val="24"/>
          <w:szCs w:val="24"/>
        </w:rPr>
        <w:t xml:space="preserve"> day of August 2000, he was given the suit land by the residents (Bataka) of Kyamugenzi and Local Council officials (L.C.) of Butema and Buhanika Parishes in Hoima district. The respondent immediately took possession of the same</w:t>
      </w:r>
      <w:r w:rsidRPr="00B81BF6">
        <w:rPr>
          <w:rFonts w:ascii="Times New Roman" w:hAnsi="Times New Roman" w:cs="Times New Roman"/>
          <w:sz w:val="24"/>
          <w:szCs w:val="24"/>
        </w:rPr>
        <w:t xml:space="preserve"> and constructed a semi-permanent residential house thereon. The </w:t>
      </w:r>
      <w:r w:rsidRPr="00B81BF6">
        <w:rPr>
          <w:rFonts w:ascii="Times New Roman" w:hAnsi="Times New Roman" w:cs="Times New Roman"/>
          <w:sz w:val="24"/>
          <w:szCs w:val="24"/>
        </w:rPr>
        <w:t xml:space="preserve">respondent further claimed that in the same year, the first appellant without </w:t>
      </w:r>
      <w:r w:rsidR="00F04DCF" w:rsidRPr="00B81BF6">
        <w:rPr>
          <w:rFonts w:ascii="Times New Roman" w:hAnsi="Times New Roman" w:cs="Times New Roman"/>
          <w:sz w:val="24"/>
          <w:szCs w:val="24"/>
        </w:rPr>
        <w:t>his consent</w:t>
      </w:r>
      <w:r w:rsidRPr="00B81BF6">
        <w:rPr>
          <w:rFonts w:ascii="Times New Roman" w:hAnsi="Times New Roman" w:cs="Times New Roman"/>
          <w:sz w:val="24"/>
          <w:szCs w:val="24"/>
        </w:rPr>
        <w:t xml:space="preserve">, brought the second appellant onto his land together with approximately 100 heads of cattle and constructed a temporary house on the suit property as well, which was an act of trespass. The second appellant is the herdsman of the </w:t>
      </w:r>
      <w:r w:rsidRPr="00B81BF6">
        <w:rPr>
          <w:rFonts w:ascii="Times New Roman" w:hAnsi="Times New Roman" w:cs="Times New Roman"/>
          <w:sz w:val="24"/>
          <w:szCs w:val="24"/>
        </w:rPr>
        <w:t>first appellant.</w:t>
      </w:r>
    </w:p>
    <w:p w:rsidR="00650CC9" w:rsidRPr="00B81BF6" w:rsidRDefault="00F04DCF" w:rsidP="00B81BF6">
      <w:pPr>
        <w:pStyle w:val="BodyText1"/>
        <w:shd w:val="clear" w:color="auto" w:fill="auto"/>
        <w:spacing w:before="0" w:after="176" w:line="360" w:lineRule="auto"/>
        <w:ind w:left="700" w:right="40" w:hanging="460"/>
        <w:jc w:val="both"/>
        <w:rPr>
          <w:rFonts w:ascii="Times New Roman" w:hAnsi="Times New Roman" w:cs="Times New Roman"/>
          <w:sz w:val="24"/>
          <w:szCs w:val="24"/>
        </w:rPr>
      </w:pPr>
      <w:r w:rsidRPr="00B81BF6">
        <w:rPr>
          <w:rStyle w:val="Bodytext105pt0"/>
          <w:rFonts w:ascii="Times New Roman" w:hAnsi="Times New Roman" w:cs="Times New Roman"/>
          <w:sz w:val="24"/>
          <w:szCs w:val="24"/>
        </w:rPr>
        <w:t xml:space="preserve">      </w:t>
      </w:r>
      <w:r w:rsidR="00B81BF6" w:rsidRPr="00B81BF6">
        <w:rPr>
          <w:rStyle w:val="Bodytext105pt0"/>
          <w:rFonts w:ascii="Times New Roman" w:hAnsi="Times New Roman" w:cs="Times New Roman"/>
          <w:sz w:val="24"/>
          <w:szCs w:val="24"/>
        </w:rPr>
        <w:t xml:space="preserve"> </w:t>
      </w:r>
      <w:r w:rsidR="00B81BF6" w:rsidRPr="00B81BF6">
        <w:rPr>
          <w:rFonts w:ascii="Times New Roman" w:hAnsi="Times New Roman" w:cs="Times New Roman"/>
          <w:sz w:val="24"/>
          <w:szCs w:val="24"/>
        </w:rPr>
        <w:t>The first appellant on the other hand, denied that he was a trespasser and claimed that the suit land originally belonged to his uncle, one Siira Babyesiza who in turn had acquired it from one Mukoro Womugongo. That Siira Babyesiza had g</w:t>
      </w:r>
      <w:r w:rsidR="00B81BF6" w:rsidRPr="00B81BF6">
        <w:rPr>
          <w:rFonts w:ascii="Times New Roman" w:hAnsi="Times New Roman" w:cs="Times New Roman"/>
          <w:sz w:val="24"/>
          <w:szCs w:val="24"/>
        </w:rPr>
        <w:t xml:space="preserve">razed his cattle on the suit land without contest for the last thirty years and eventually gave the suit land to the first appellant and later advised him to apply </w:t>
      </w:r>
      <w:r w:rsidR="00B81BF6" w:rsidRPr="00B81BF6">
        <w:rPr>
          <w:rStyle w:val="Bodytext105pt1"/>
          <w:rFonts w:ascii="Times New Roman" w:hAnsi="Times New Roman" w:cs="Times New Roman"/>
          <w:sz w:val="24"/>
          <w:szCs w:val="24"/>
        </w:rPr>
        <w:t>10</w:t>
      </w:r>
      <w:r w:rsidR="00B81BF6" w:rsidRPr="00B81BF6">
        <w:rPr>
          <w:rFonts w:ascii="Times New Roman" w:hAnsi="Times New Roman" w:cs="Times New Roman"/>
          <w:sz w:val="24"/>
          <w:szCs w:val="24"/>
        </w:rPr>
        <w:t xml:space="preserve"> for a lease on the suit property. It is the case for the first appellant that he applied </w:t>
      </w:r>
      <w:r w:rsidR="00B81BF6" w:rsidRPr="00B81BF6">
        <w:rPr>
          <w:rFonts w:ascii="Times New Roman" w:hAnsi="Times New Roman" w:cs="Times New Roman"/>
          <w:sz w:val="24"/>
          <w:szCs w:val="24"/>
        </w:rPr>
        <w:t>for a lease over the land and that he obtained a lease offer dated 3</w:t>
      </w:r>
      <w:r w:rsidR="00B81BF6" w:rsidRPr="00B81BF6">
        <w:rPr>
          <w:rFonts w:ascii="Times New Roman" w:hAnsi="Times New Roman" w:cs="Times New Roman"/>
          <w:sz w:val="24"/>
          <w:szCs w:val="24"/>
          <w:vertAlign w:val="superscript"/>
        </w:rPr>
        <w:t>rd</w:t>
      </w:r>
      <w:r w:rsidR="00B81BF6" w:rsidRPr="00B81BF6">
        <w:rPr>
          <w:rFonts w:ascii="Times New Roman" w:hAnsi="Times New Roman" w:cs="Times New Roman"/>
          <w:sz w:val="24"/>
          <w:szCs w:val="24"/>
        </w:rPr>
        <w:t xml:space="preserve"> January 1998 from the Masindi land office. It is therefore the case for the first appellant that the suit land belonged to him long before the respondent laid claim to it in 2000 and he</w:t>
      </w:r>
      <w:r w:rsidR="00B81BF6" w:rsidRPr="00B81BF6">
        <w:rPr>
          <w:rFonts w:ascii="Times New Roman" w:hAnsi="Times New Roman" w:cs="Times New Roman"/>
          <w:sz w:val="24"/>
          <w:szCs w:val="24"/>
        </w:rPr>
        <w:t xml:space="preserve"> was surprised that the respondent challenged his attempt to survey the </w:t>
      </w:r>
      <w:r w:rsidR="00B81BF6" w:rsidRPr="00B81BF6">
        <w:rPr>
          <w:rFonts w:ascii="Times New Roman" w:hAnsi="Times New Roman" w:cs="Times New Roman"/>
          <w:sz w:val="24"/>
          <w:szCs w:val="24"/>
        </w:rPr>
        <w:t xml:space="preserve"> suit land.</w:t>
      </w:r>
    </w:p>
    <w:p w:rsidR="00650CC9" w:rsidRPr="00B81BF6" w:rsidRDefault="00B81BF6" w:rsidP="00B81BF6">
      <w:pPr>
        <w:pStyle w:val="BodyText1"/>
        <w:shd w:val="clear" w:color="auto" w:fill="auto"/>
        <w:spacing w:before="0" w:after="184" w:line="360" w:lineRule="auto"/>
        <w:ind w:left="700" w:right="40" w:firstLine="0"/>
        <w:jc w:val="both"/>
        <w:rPr>
          <w:rFonts w:ascii="Times New Roman" w:hAnsi="Times New Roman" w:cs="Times New Roman"/>
          <w:sz w:val="24"/>
          <w:szCs w:val="24"/>
        </w:rPr>
      </w:pPr>
      <w:r w:rsidRPr="00B81BF6">
        <w:rPr>
          <w:rFonts w:ascii="Times New Roman" w:hAnsi="Times New Roman" w:cs="Times New Roman"/>
          <w:sz w:val="24"/>
          <w:szCs w:val="24"/>
        </w:rPr>
        <w:lastRenderedPageBreak/>
        <w:t>In their amended memorandum of appeal of 16</w:t>
      </w:r>
      <w:r w:rsidRPr="00B81BF6">
        <w:rPr>
          <w:rFonts w:ascii="Times New Roman" w:hAnsi="Times New Roman" w:cs="Times New Roman"/>
          <w:sz w:val="24"/>
          <w:szCs w:val="24"/>
          <w:vertAlign w:val="superscript"/>
        </w:rPr>
        <w:t>th</w:t>
      </w:r>
      <w:r w:rsidRPr="00B81BF6">
        <w:rPr>
          <w:rFonts w:ascii="Times New Roman" w:hAnsi="Times New Roman" w:cs="Times New Roman"/>
          <w:sz w:val="24"/>
          <w:szCs w:val="24"/>
        </w:rPr>
        <w:t xml:space="preserve"> February 2015, the appellants formulated the following grounds for determination by this Court:</w:t>
      </w:r>
    </w:p>
    <w:p w:rsidR="00650CC9" w:rsidRPr="00B81BF6" w:rsidRDefault="00B81BF6" w:rsidP="00B81BF6">
      <w:pPr>
        <w:pStyle w:val="BodyText1"/>
        <w:numPr>
          <w:ilvl w:val="0"/>
          <w:numId w:val="1"/>
        </w:numPr>
        <w:shd w:val="clear" w:color="auto" w:fill="auto"/>
        <w:tabs>
          <w:tab w:val="left" w:pos="1730"/>
        </w:tabs>
        <w:spacing w:before="0" w:after="0" w:line="360" w:lineRule="auto"/>
        <w:ind w:left="1740" w:right="40" w:hanging="360"/>
        <w:jc w:val="both"/>
        <w:rPr>
          <w:rFonts w:ascii="Times New Roman" w:hAnsi="Times New Roman" w:cs="Times New Roman"/>
          <w:sz w:val="24"/>
          <w:szCs w:val="24"/>
        </w:rPr>
      </w:pPr>
      <w:r w:rsidRPr="00B81BF6">
        <w:rPr>
          <w:rFonts w:ascii="Times New Roman" w:hAnsi="Times New Roman" w:cs="Times New Roman"/>
          <w:sz w:val="24"/>
          <w:szCs w:val="24"/>
        </w:rPr>
        <w:t xml:space="preserve">The learned Judge erred in </w:t>
      </w:r>
      <w:r w:rsidRPr="00B81BF6">
        <w:rPr>
          <w:rFonts w:ascii="Times New Roman" w:hAnsi="Times New Roman" w:cs="Times New Roman"/>
          <w:sz w:val="24"/>
          <w:szCs w:val="24"/>
        </w:rPr>
        <w:t>law in finding that the grant of the suit land by the Bataka and LC officials in 2000 and the subsequent settlement</w:t>
      </w:r>
    </w:p>
    <w:p w:rsidR="00650CC9" w:rsidRPr="00B81BF6" w:rsidRDefault="00B81BF6" w:rsidP="00B81BF6">
      <w:pPr>
        <w:pStyle w:val="BodyText1"/>
        <w:shd w:val="clear" w:color="auto" w:fill="auto"/>
        <w:tabs>
          <w:tab w:val="left" w:pos="1750"/>
        </w:tabs>
        <w:spacing w:before="0" w:after="0" w:line="360" w:lineRule="auto"/>
        <w:ind w:left="700" w:hanging="620"/>
        <w:jc w:val="both"/>
        <w:rPr>
          <w:rFonts w:ascii="Times New Roman" w:hAnsi="Times New Roman" w:cs="Times New Roman"/>
          <w:sz w:val="24"/>
          <w:szCs w:val="24"/>
        </w:rPr>
      </w:pPr>
      <w:r w:rsidRPr="00B81BF6">
        <w:rPr>
          <w:rFonts w:ascii="Times New Roman" w:hAnsi="Times New Roman" w:cs="Times New Roman"/>
          <w:sz w:val="24"/>
          <w:szCs w:val="24"/>
        </w:rPr>
        <w:tab/>
        <w:t>and development of the land by the respondent amounted to a</w:t>
      </w:r>
      <w:r w:rsidR="00F04DCF" w:rsidRPr="00B81BF6">
        <w:rPr>
          <w:rFonts w:ascii="Times New Roman" w:hAnsi="Times New Roman" w:cs="Times New Roman"/>
          <w:sz w:val="24"/>
          <w:szCs w:val="24"/>
        </w:rPr>
        <w:t xml:space="preserve"> </w:t>
      </w:r>
      <w:r w:rsidRPr="00B81BF6">
        <w:rPr>
          <w:rFonts w:ascii="Times New Roman" w:hAnsi="Times New Roman" w:cs="Times New Roman"/>
          <w:sz w:val="24"/>
          <w:szCs w:val="24"/>
        </w:rPr>
        <w:t>customary tenure and was lawful</w:t>
      </w:r>
      <w:r w:rsidR="005F0C4E" w:rsidRPr="00B81BF6">
        <w:rPr>
          <w:rFonts w:ascii="Times New Roman" w:hAnsi="Times New Roman" w:cs="Times New Roman"/>
          <w:sz w:val="24"/>
          <w:szCs w:val="24"/>
        </w:rPr>
        <w:t>.</w:t>
      </w:r>
    </w:p>
    <w:p w:rsidR="005F0C4E" w:rsidRPr="00B81BF6" w:rsidRDefault="00B81BF6" w:rsidP="00B81BF6">
      <w:pPr>
        <w:pStyle w:val="BodyText1"/>
        <w:numPr>
          <w:ilvl w:val="0"/>
          <w:numId w:val="1"/>
        </w:numPr>
        <w:shd w:val="clear" w:color="auto" w:fill="auto"/>
        <w:tabs>
          <w:tab w:val="left" w:leader="dot" w:pos="1510"/>
          <w:tab w:val="left" w:pos="1730"/>
        </w:tabs>
        <w:spacing w:before="0" w:after="221" w:line="360" w:lineRule="auto"/>
        <w:ind w:left="760" w:right="40" w:hanging="360"/>
        <w:jc w:val="both"/>
        <w:rPr>
          <w:rFonts w:ascii="Times New Roman" w:hAnsi="Times New Roman" w:cs="Times New Roman"/>
          <w:sz w:val="24"/>
          <w:szCs w:val="24"/>
        </w:rPr>
      </w:pPr>
      <w:r w:rsidRPr="00B81BF6">
        <w:rPr>
          <w:rFonts w:ascii="Times New Roman" w:hAnsi="Times New Roman" w:cs="Times New Roman"/>
          <w:sz w:val="24"/>
          <w:szCs w:val="24"/>
        </w:rPr>
        <w:t>The learned Judge erred in law when he omitted to take into consideration that the first appellant had</w:t>
      </w:r>
      <w:r w:rsidRPr="00B81BF6">
        <w:rPr>
          <w:rFonts w:ascii="Times New Roman" w:hAnsi="Times New Roman" w:cs="Times New Roman"/>
          <w:sz w:val="24"/>
          <w:szCs w:val="24"/>
        </w:rPr>
        <w:t xml:space="preserve"> obtained a lease offer from the lawful authority mandated to deal with the land in dispute.</w:t>
      </w:r>
    </w:p>
    <w:p w:rsidR="00650CC9" w:rsidRPr="00B81BF6" w:rsidRDefault="005F0C4E" w:rsidP="00B81BF6">
      <w:pPr>
        <w:pStyle w:val="BodyText1"/>
        <w:numPr>
          <w:ilvl w:val="0"/>
          <w:numId w:val="1"/>
        </w:numPr>
        <w:shd w:val="clear" w:color="auto" w:fill="auto"/>
        <w:tabs>
          <w:tab w:val="left" w:leader="dot" w:pos="1510"/>
          <w:tab w:val="left" w:pos="1730"/>
        </w:tabs>
        <w:spacing w:before="0" w:after="221" w:line="360" w:lineRule="auto"/>
        <w:ind w:left="760" w:right="40" w:hanging="360"/>
        <w:jc w:val="both"/>
        <w:rPr>
          <w:rFonts w:ascii="Times New Roman" w:hAnsi="Times New Roman" w:cs="Times New Roman"/>
          <w:sz w:val="24"/>
          <w:szCs w:val="24"/>
        </w:rPr>
      </w:pPr>
      <w:r w:rsidRPr="00B81BF6">
        <w:rPr>
          <w:rFonts w:ascii="Times New Roman" w:hAnsi="Times New Roman" w:cs="Times New Roman"/>
          <w:sz w:val="24"/>
          <w:szCs w:val="24"/>
        </w:rPr>
        <w:t>….</w:t>
      </w:r>
      <w:r w:rsidR="00B81BF6" w:rsidRPr="00B81BF6">
        <w:rPr>
          <w:rFonts w:ascii="Times New Roman" w:hAnsi="Times New Roman" w:cs="Times New Roman"/>
          <w:sz w:val="24"/>
          <w:szCs w:val="24"/>
        </w:rPr>
        <w:t>(abandoned)</w:t>
      </w:r>
    </w:p>
    <w:p w:rsidR="00650CC9" w:rsidRPr="00B81BF6" w:rsidRDefault="00B81BF6" w:rsidP="00B81BF6">
      <w:pPr>
        <w:pStyle w:val="BodyText1"/>
        <w:shd w:val="clear" w:color="auto" w:fill="auto"/>
        <w:spacing w:before="0" w:after="176" w:line="360" w:lineRule="auto"/>
        <w:ind w:left="60" w:right="320" w:firstLine="0"/>
        <w:jc w:val="both"/>
        <w:rPr>
          <w:rFonts w:ascii="Times New Roman" w:hAnsi="Times New Roman" w:cs="Times New Roman"/>
          <w:sz w:val="24"/>
          <w:szCs w:val="24"/>
        </w:rPr>
      </w:pPr>
      <w:r w:rsidRPr="00B81BF6">
        <w:rPr>
          <w:rFonts w:ascii="Times New Roman" w:hAnsi="Times New Roman" w:cs="Times New Roman"/>
          <w:sz w:val="24"/>
          <w:szCs w:val="24"/>
        </w:rPr>
        <w:t>Mr. L. Tumwesigye represented the respondent whereas Mr. Francis Gimara appeared for the appellants.</w:t>
      </w:r>
    </w:p>
    <w:p w:rsidR="00650CC9" w:rsidRPr="00B81BF6" w:rsidRDefault="00B81BF6" w:rsidP="00B81BF6">
      <w:pPr>
        <w:pStyle w:val="BodyText1"/>
        <w:shd w:val="clear" w:color="auto" w:fill="auto"/>
        <w:spacing w:before="0" w:after="180" w:line="360" w:lineRule="auto"/>
        <w:ind w:left="60" w:right="320" w:firstLine="0"/>
        <w:jc w:val="both"/>
        <w:rPr>
          <w:rFonts w:ascii="Times New Roman" w:hAnsi="Times New Roman" w:cs="Times New Roman"/>
          <w:sz w:val="24"/>
          <w:szCs w:val="24"/>
        </w:rPr>
      </w:pPr>
      <w:r w:rsidRPr="00B81BF6">
        <w:rPr>
          <w:rFonts w:ascii="Times New Roman" w:hAnsi="Times New Roman" w:cs="Times New Roman"/>
          <w:sz w:val="24"/>
          <w:szCs w:val="24"/>
        </w:rPr>
        <w:t>We wish to recall the duty of a second appella</w:t>
      </w:r>
      <w:r w:rsidRPr="00B81BF6">
        <w:rPr>
          <w:rFonts w:ascii="Times New Roman" w:hAnsi="Times New Roman" w:cs="Times New Roman"/>
          <w:sz w:val="24"/>
          <w:szCs w:val="24"/>
        </w:rPr>
        <w:t>te Court. Section 72 of the Civil Procedure Act, Cap 71 (CPA) provides:</w:t>
      </w:r>
    </w:p>
    <w:p w:rsidR="00650CC9" w:rsidRPr="00B81BF6" w:rsidRDefault="00B81BF6" w:rsidP="00B81BF6">
      <w:pPr>
        <w:pStyle w:val="Bodytext20"/>
        <w:shd w:val="clear" w:color="auto" w:fill="auto"/>
        <w:spacing w:after="176" w:line="360" w:lineRule="auto"/>
        <w:ind w:left="60" w:right="320" w:firstLine="0"/>
        <w:rPr>
          <w:rFonts w:ascii="Times New Roman" w:hAnsi="Times New Roman" w:cs="Times New Roman"/>
          <w:sz w:val="24"/>
          <w:szCs w:val="24"/>
        </w:rPr>
      </w:pPr>
      <w:r w:rsidRPr="00B81BF6">
        <w:rPr>
          <w:rStyle w:val="Bodytext2NotItalic"/>
          <w:rFonts w:ascii="Times New Roman" w:hAnsi="Times New Roman" w:cs="Times New Roman"/>
          <w:sz w:val="24"/>
          <w:szCs w:val="24"/>
        </w:rPr>
        <w:t xml:space="preserve">" </w:t>
      </w:r>
      <w:r w:rsidRPr="00B81BF6">
        <w:rPr>
          <w:rFonts w:ascii="Times New Roman" w:hAnsi="Times New Roman" w:cs="Times New Roman"/>
          <w:sz w:val="24"/>
          <w:szCs w:val="24"/>
        </w:rPr>
        <w:t>(1) Except where otherwise expressly provided in this Act or by any other law for the time being in force, an appeal shall lie to the Court of Appeal from every decree passed in appe</w:t>
      </w:r>
      <w:r w:rsidRPr="00B81BF6">
        <w:rPr>
          <w:rFonts w:ascii="Times New Roman" w:hAnsi="Times New Roman" w:cs="Times New Roman"/>
          <w:sz w:val="24"/>
          <w:szCs w:val="24"/>
        </w:rPr>
        <w:t>al by the High Court, on any of the following grounds, namely that-</w:t>
      </w:r>
    </w:p>
    <w:p w:rsidR="00650CC9" w:rsidRPr="00B81BF6" w:rsidRDefault="00B81BF6" w:rsidP="00B81BF6">
      <w:pPr>
        <w:pStyle w:val="Bodytext20"/>
        <w:numPr>
          <w:ilvl w:val="0"/>
          <w:numId w:val="2"/>
        </w:numPr>
        <w:shd w:val="clear" w:color="auto" w:fill="auto"/>
        <w:tabs>
          <w:tab w:val="left" w:pos="790"/>
        </w:tabs>
        <w:spacing w:after="0" w:line="360" w:lineRule="auto"/>
        <w:ind w:left="760"/>
        <w:rPr>
          <w:rFonts w:ascii="Times New Roman" w:hAnsi="Times New Roman" w:cs="Times New Roman"/>
          <w:sz w:val="24"/>
          <w:szCs w:val="24"/>
        </w:rPr>
      </w:pPr>
      <w:r w:rsidRPr="00B81BF6">
        <w:rPr>
          <w:rFonts w:ascii="Times New Roman" w:hAnsi="Times New Roman" w:cs="Times New Roman"/>
          <w:sz w:val="24"/>
          <w:szCs w:val="24"/>
        </w:rPr>
        <w:t>The decision is contrary to law or to some usage having the force of law</w:t>
      </w:r>
    </w:p>
    <w:p w:rsidR="00650CC9" w:rsidRPr="00B81BF6" w:rsidRDefault="00B81BF6" w:rsidP="00B81BF6">
      <w:pPr>
        <w:pStyle w:val="Bodytext20"/>
        <w:numPr>
          <w:ilvl w:val="0"/>
          <w:numId w:val="2"/>
        </w:numPr>
        <w:shd w:val="clear" w:color="auto" w:fill="auto"/>
        <w:tabs>
          <w:tab w:val="left" w:pos="790"/>
        </w:tabs>
        <w:spacing w:after="0" w:line="360" w:lineRule="auto"/>
        <w:ind w:left="760" w:right="320"/>
        <w:rPr>
          <w:rFonts w:ascii="Times New Roman" w:hAnsi="Times New Roman" w:cs="Times New Roman"/>
          <w:sz w:val="24"/>
          <w:szCs w:val="24"/>
        </w:rPr>
      </w:pPr>
      <w:r w:rsidRPr="00B81BF6">
        <w:rPr>
          <w:rFonts w:ascii="Times New Roman" w:hAnsi="Times New Roman" w:cs="Times New Roman"/>
          <w:sz w:val="24"/>
          <w:szCs w:val="24"/>
        </w:rPr>
        <w:t>The decision has failed to determine some material issue of law or usage having the force of law</w:t>
      </w:r>
    </w:p>
    <w:p w:rsidR="00650CC9" w:rsidRPr="00B81BF6" w:rsidRDefault="00B81BF6" w:rsidP="00B81BF6">
      <w:pPr>
        <w:pStyle w:val="Bodytext20"/>
        <w:numPr>
          <w:ilvl w:val="0"/>
          <w:numId w:val="2"/>
        </w:numPr>
        <w:shd w:val="clear" w:color="auto" w:fill="auto"/>
        <w:tabs>
          <w:tab w:val="left" w:pos="761"/>
        </w:tabs>
        <w:spacing w:after="379" w:line="360" w:lineRule="auto"/>
        <w:ind w:left="760" w:right="320"/>
        <w:rPr>
          <w:rFonts w:ascii="Times New Roman" w:hAnsi="Times New Roman" w:cs="Times New Roman"/>
          <w:sz w:val="24"/>
          <w:szCs w:val="24"/>
        </w:rPr>
      </w:pPr>
      <w:r w:rsidRPr="00B81BF6">
        <w:rPr>
          <w:rFonts w:ascii="Times New Roman" w:hAnsi="Times New Roman" w:cs="Times New Roman"/>
          <w:sz w:val="24"/>
          <w:szCs w:val="24"/>
        </w:rPr>
        <w:t xml:space="preserve">A substantial </w:t>
      </w:r>
      <w:r w:rsidRPr="00B81BF6">
        <w:rPr>
          <w:rFonts w:ascii="Times New Roman" w:hAnsi="Times New Roman" w:cs="Times New Roman"/>
          <w:sz w:val="24"/>
          <w:szCs w:val="24"/>
        </w:rPr>
        <w:t>error or defect in the procedure provided by this Act or by any other law for the time being in force has occurred which may possibly have produced error or defect in the decision of the case upon the merits..."</w:t>
      </w:r>
    </w:p>
    <w:p w:rsidR="00650CC9" w:rsidRPr="00B81BF6" w:rsidRDefault="00B81BF6" w:rsidP="00B81BF6">
      <w:pPr>
        <w:pStyle w:val="Heading30"/>
        <w:keepNext/>
        <w:keepLines/>
        <w:shd w:val="clear" w:color="auto" w:fill="auto"/>
        <w:spacing w:before="0" w:after="176" w:line="360" w:lineRule="auto"/>
        <w:ind w:left="60"/>
        <w:jc w:val="both"/>
        <w:rPr>
          <w:rFonts w:ascii="Times New Roman" w:hAnsi="Times New Roman" w:cs="Times New Roman"/>
          <w:sz w:val="24"/>
          <w:szCs w:val="24"/>
        </w:rPr>
      </w:pPr>
      <w:bookmarkStart w:id="2" w:name="bookmark3"/>
      <w:r w:rsidRPr="00B81BF6">
        <w:rPr>
          <w:rFonts w:ascii="Times New Roman" w:hAnsi="Times New Roman" w:cs="Times New Roman"/>
          <w:sz w:val="24"/>
          <w:szCs w:val="24"/>
        </w:rPr>
        <w:t>Rule 32 (2) of the Judicature (Court of Appe</w:t>
      </w:r>
      <w:r w:rsidRPr="00B81BF6">
        <w:rPr>
          <w:rFonts w:ascii="Times New Roman" w:hAnsi="Times New Roman" w:cs="Times New Roman"/>
          <w:sz w:val="24"/>
          <w:szCs w:val="24"/>
        </w:rPr>
        <w:t>al Rules) Directions SI 13-10</w:t>
      </w:r>
      <w:bookmarkEnd w:id="2"/>
    </w:p>
    <w:p w:rsidR="00650CC9" w:rsidRPr="00B81BF6" w:rsidRDefault="00B81BF6" w:rsidP="00B81BF6">
      <w:pPr>
        <w:pStyle w:val="BodyText1"/>
        <w:shd w:val="clear" w:color="auto" w:fill="auto"/>
        <w:spacing w:before="0" w:after="226" w:line="360" w:lineRule="auto"/>
        <w:ind w:left="60" w:firstLine="0"/>
        <w:jc w:val="both"/>
        <w:rPr>
          <w:rFonts w:ascii="Times New Roman" w:hAnsi="Times New Roman" w:cs="Times New Roman"/>
          <w:sz w:val="24"/>
          <w:szCs w:val="24"/>
        </w:rPr>
      </w:pPr>
      <w:r w:rsidRPr="00B81BF6">
        <w:rPr>
          <w:rFonts w:ascii="Times New Roman" w:hAnsi="Times New Roman" w:cs="Times New Roman"/>
          <w:sz w:val="24"/>
          <w:szCs w:val="24"/>
        </w:rPr>
        <w:t>(hereinafter referred to as the "Rules of this Court") further provides:</w:t>
      </w:r>
    </w:p>
    <w:p w:rsidR="00650CC9" w:rsidRPr="00B81BF6" w:rsidRDefault="00B81BF6" w:rsidP="00B81BF6">
      <w:pPr>
        <w:pStyle w:val="Bodytext20"/>
        <w:shd w:val="clear" w:color="auto" w:fill="auto"/>
        <w:spacing w:after="0" w:line="360" w:lineRule="auto"/>
        <w:ind w:left="60" w:right="320" w:firstLine="0"/>
        <w:rPr>
          <w:rFonts w:ascii="Times New Roman" w:hAnsi="Times New Roman" w:cs="Times New Roman"/>
          <w:sz w:val="24"/>
          <w:szCs w:val="24"/>
        </w:rPr>
      </w:pPr>
      <w:r w:rsidRPr="00B81BF6">
        <w:rPr>
          <w:rFonts w:ascii="Times New Roman" w:hAnsi="Times New Roman" w:cs="Times New Roman"/>
          <w:sz w:val="24"/>
          <w:szCs w:val="24"/>
        </w:rPr>
        <w:t>"on any second appeal from the decision of the High Court acting in the exercise of its appellate jurisdiction, the Court shall have the power to apprais</w:t>
      </w:r>
      <w:r w:rsidRPr="00B81BF6">
        <w:rPr>
          <w:rFonts w:ascii="Times New Roman" w:hAnsi="Times New Roman" w:cs="Times New Roman"/>
          <w:sz w:val="24"/>
          <w:szCs w:val="24"/>
        </w:rPr>
        <w:t>e the inferences of fact drawn by the trial Court, but shall not have discretion to hear additional evidence..."</w:t>
      </w:r>
    </w:p>
    <w:p w:rsidR="00650CC9" w:rsidRPr="00B81BF6" w:rsidRDefault="00B81BF6" w:rsidP="00B81BF6">
      <w:pPr>
        <w:pStyle w:val="BodyText1"/>
        <w:shd w:val="clear" w:color="auto" w:fill="auto"/>
        <w:spacing w:before="0" w:after="180" w:line="360" w:lineRule="auto"/>
        <w:ind w:left="20" w:right="40" w:firstLine="0"/>
        <w:jc w:val="both"/>
        <w:rPr>
          <w:rFonts w:ascii="Times New Roman" w:hAnsi="Times New Roman" w:cs="Times New Roman"/>
          <w:sz w:val="24"/>
          <w:szCs w:val="24"/>
        </w:rPr>
      </w:pPr>
      <w:r w:rsidRPr="00B81BF6">
        <w:rPr>
          <w:rFonts w:ascii="Times New Roman" w:hAnsi="Times New Roman" w:cs="Times New Roman"/>
          <w:sz w:val="24"/>
          <w:szCs w:val="24"/>
        </w:rPr>
        <w:t xml:space="preserve">The role of a second appellate Court was exhaustively discussed in the case of Kifamunte Henry V Uganda, SC (Cr) Appeal No 10 of 2007 </w:t>
      </w:r>
      <w:r w:rsidRPr="00B81BF6">
        <w:rPr>
          <w:rFonts w:ascii="Times New Roman" w:hAnsi="Times New Roman" w:cs="Times New Roman"/>
          <w:sz w:val="24"/>
          <w:szCs w:val="24"/>
        </w:rPr>
        <w:t>where it was held:</w:t>
      </w:r>
    </w:p>
    <w:p w:rsidR="00650CC9" w:rsidRPr="00B81BF6" w:rsidRDefault="00B81BF6" w:rsidP="00B81BF6">
      <w:pPr>
        <w:pStyle w:val="Bodytext20"/>
        <w:shd w:val="clear" w:color="auto" w:fill="auto"/>
        <w:spacing w:after="379" w:line="360" w:lineRule="auto"/>
        <w:ind w:left="720" w:right="40" w:firstLine="0"/>
        <w:rPr>
          <w:rFonts w:ascii="Times New Roman" w:hAnsi="Times New Roman" w:cs="Times New Roman"/>
          <w:sz w:val="24"/>
          <w:szCs w:val="24"/>
        </w:rPr>
      </w:pPr>
      <w:r w:rsidRPr="00B81BF6">
        <w:rPr>
          <w:rFonts w:ascii="Times New Roman" w:hAnsi="Times New Roman" w:cs="Times New Roman"/>
          <w:sz w:val="24"/>
          <w:szCs w:val="24"/>
        </w:rPr>
        <w:t>"...the first appellate Court has a duty to review the evidence of the case and to reconsider the materials before the trial Judge. The appellate Court must then make up its own mind not disregarding the judgment appealed from but carefu</w:t>
      </w:r>
      <w:r w:rsidRPr="00B81BF6">
        <w:rPr>
          <w:rFonts w:ascii="Times New Roman" w:hAnsi="Times New Roman" w:cs="Times New Roman"/>
          <w:sz w:val="24"/>
          <w:szCs w:val="24"/>
        </w:rPr>
        <w:t>lly weighing and considering it...On second appeal it is sufficient to decide whether the first appellate Court on approaching its task, applied or failed to apply such principles..."</w:t>
      </w:r>
    </w:p>
    <w:p w:rsidR="00650CC9" w:rsidRPr="00B81BF6" w:rsidRDefault="00B81BF6" w:rsidP="00B81BF6">
      <w:pPr>
        <w:pStyle w:val="BodyText1"/>
        <w:shd w:val="clear" w:color="auto" w:fill="auto"/>
        <w:spacing w:before="0" w:after="227" w:line="360" w:lineRule="auto"/>
        <w:ind w:left="20" w:firstLine="0"/>
        <w:jc w:val="both"/>
        <w:rPr>
          <w:rFonts w:ascii="Times New Roman" w:hAnsi="Times New Roman" w:cs="Times New Roman"/>
          <w:sz w:val="24"/>
          <w:szCs w:val="24"/>
        </w:rPr>
      </w:pPr>
      <w:r w:rsidRPr="00B81BF6">
        <w:rPr>
          <w:rFonts w:ascii="Times New Roman" w:hAnsi="Times New Roman" w:cs="Times New Roman"/>
          <w:sz w:val="24"/>
          <w:szCs w:val="24"/>
        </w:rPr>
        <w:t>The court went on to hold that:</w:t>
      </w:r>
    </w:p>
    <w:p w:rsidR="00650CC9" w:rsidRPr="00B81BF6" w:rsidRDefault="00B81BF6" w:rsidP="00B81BF6">
      <w:pPr>
        <w:pStyle w:val="Bodytext20"/>
        <w:shd w:val="clear" w:color="auto" w:fill="auto"/>
        <w:spacing w:after="0" w:line="360" w:lineRule="auto"/>
        <w:ind w:left="720" w:right="40" w:firstLine="0"/>
        <w:rPr>
          <w:rFonts w:ascii="Times New Roman" w:hAnsi="Times New Roman" w:cs="Times New Roman"/>
          <w:sz w:val="24"/>
          <w:szCs w:val="24"/>
        </w:rPr>
      </w:pPr>
      <w:r w:rsidRPr="00B81BF6">
        <w:rPr>
          <w:rFonts w:ascii="Times New Roman" w:hAnsi="Times New Roman" w:cs="Times New Roman"/>
          <w:sz w:val="24"/>
          <w:szCs w:val="24"/>
        </w:rPr>
        <w:lastRenderedPageBreak/>
        <w:t>"This Court will no doubt consider the f</w:t>
      </w:r>
      <w:r w:rsidRPr="00B81BF6">
        <w:rPr>
          <w:rFonts w:ascii="Times New Roman" w:hAnsi="Times New Roman" w:cs="Times New Roman"/>
          <w:sz w:val="24"/>
          <w:szCs w:val="24"/>
        </w:rPr>
        <w:t>acts of the appeal to the extent of considering the relevant point of law and fact raised in any appeal. If we re</w:t>
      </w:r>
      <w:r w:rsidRPr="00B81BF6">
        <w:rPr>
          <w:rFonts w:ascii="Times New Roman" w:hAnsi="Times New Roman" w:cs="Times New Roman"/>
          <w:sz w:val="24"/>
          <w:szCs w:val="24"/>
        </w:rPr>
        <w:softHyphen/>
        <w:t>evaluate the facts of each case wholesale, we shall assume the duty of the first appellate court and create unnecessary uncertainty. We can in</w:t>
      </w:r>
      <w:r w:rsidRPr="00B81BF6">
        <w:rPr>
          <w:rFonts w:ascii="Times New Roman" w:hAnsi="Times New Roman" w:cs="Times New Roman"/>
          <w:sz w:val="24"/>
          <w:szCs w:val="24"/>
        </w:rPr>
        <w:t xml:space="preserve">terfere with the conclusions of the Court of Appeal if it appears that in consideration of the appeal, as a first appellate court, Court of Appeal misapplied or failed to apply the principles set out in such decisions as </w:t>
      </w:r>
      <w:r w:rsidRPr="00B81BF6">
        <w:rPr>
          <w:rStyle w:val="Bodytext21"/>
          <w:rFonts w:ascii="Times New Roman" w:hAnsi="Times New Roman" w:cs="Times New Roman"/>
          <w:i/>
          <w:iCs/>
          <w:sz w:val="24"/>
          <w:szCs w:val="24"/>
        </w:rPr>
        <w:t>Pandya v R [1957] E.A 336"</w:t>
      </w:r>
    </w:p>
    <w:p w:rsidR="00650CC9" w:rsidRPr="00B81BF6" w:rsidRDefault="00B81BF6" w:rsidP="00B81BF6">
      <w:pPr>
        <w:pStyle w:val="BodyText1"/>
        <w:shd w:val="clear" w:color="auto" w:fill="auto"/>
        <w:spacing w:before="0" w:after="184" w:line="360" w:lineRule="auto"/>
        <w:ind w:left="20" w:firstLine="0"/>
        <w:jc w:val="both"/>
        <w:rPr>
          <w:rFonts w:ascii="Times New Roman" w:hAnsi="Times New Roman" w:cs="Times New Roman"/>
          <w:sz w:val="24"/>
          <w:szCs w:val="24"/>
        </w:rPr>
      </w:pPr>
      <w:r w:rsidRPr="00B81BF6">
        <w:rPr>
          <w:rFonts w:ascii="Times New Roman" w:hAnsi="Times New Roman" w:cs="Times New Roman"/>
          <w:sz w:val="24"/>
          <w:szCs w:val="24"/>
        </w:rPr>
        <w:t xml:space="preserve">Finally </w:t>
      </w:r>
      <w:r w:rsidRPr="00B81BF6">
        <w:rPr>
          <w:rFonts w:ascii="Times New Roman" w:hAnsi="Times New Roman" w:cs="Times New Roman"/>
          <w:sz w:val="24"/>
          <w:szCs w:val="24"/>
        </w:rPr>
        <w:t>the Court also held that:</w:t>
      </w:r>
    </w:p>
    <w:p w:rsidR="00650CC9" w:rsidRPr="00B81BF6" w:rsidRDefault="00B81BF6" w:rsidP="00B81BF6">
      <w:pPr>
        <w:pStyle w:val="Bodytext20"/>
        <w:shd w:val="clear" w:color="auto" w:fill="auto"/>
        <w:spacing w:after="0" w:line="360" w:lineRule="auto"/>
        <w:ind w:left="720" w:right="40" w:firstLine="0"/>
        <w:rPr>
          <w:rFonts w:ascii="Times New Roman" w:hAnsi="Times New Roman" w:cs="Times New Roman"/>
          <w:sz w:val="24"/>
          <w:szCs w:val="24"/>
        </w:rPr>
        <w:sectPr w:rsidR="00650CC9" w:rsidRPr="00B81BF6">
          <w:pgSz w:w="12240" w:h="18720"/>
          <w:pgMar w:top="1201" w:right="612" w:bottom="1426" w:left="847" w:header="0" w:footer="3" w:gutter="0"/>
          <w:cols w:space="720"/>
          <w:noEndnote/>
          <w:docGrid w:linePitch="360"/>
        </w:sectPr>
      </w:pPr>
      <w:r w:rsidRPr="00B81BF6">
        <w:rPr>
          <w:rFonts w:ascii="Times New Roman" w:hAnsi="Times New Roman" w:cs="Times New Roman"/>
          <w:sz w:val="24"/>
          <w:szCs w:val="24"/>
        </w:rPr>
        <w:t>"</w:t>
      </w:r>
      <w:r w:rsidRPr="00B81BF6">
        <w:rPr>
          <w:rFonts w:ascii="Times New Roman" w:hAnsi="Times New Roman" w:cs="Times New Roman"/>
          <w:sz w:val="24"/>
          <w:szCs w:val="24"/>
        </w:rPr>
        <w:t>...on second appeal the Court of Appeal is precluded from questioning the findings of fact of the trial Court, provided that there was evidence to support those findings, though it may think it possible, or even probably, that it would not have come to the</w:t>
      </w:r>
      <w:r w:rsidRPr="00B81BF6">
        <w:rPr>
          <w:rFonts w:ascii="Times New Roman" w:hAnsi="Times New Roman" w:cs="Times New Roman"/>
          <w:sz w:val="24"/>
          <w:szCs w:val="24"/>
        </w:rPr>
        <w:t xml:space="preserve"> same conclusion; it can only interfere where it considers that there was no evidence to support the finding of fact; this being a question of law: </w:t>
      </w:r>
      <w:r w:rsidRPr="00B81BF6">
        <w:rPr>
          <w:rStyle w:val="Bodytext21"/>
          <w:rFonts w:ascii="Times New Roman" w:hAnsi="Times New Roman" w:cs="Times New Roman"/>
          <w:i/>
          <w:iCs/>
          <w:sz w:val="24"/>
          <w:szCs w:val="24"/>
        </w:rPr>
        <w:t>R V Hassan bin Said (1942) 9 EACA 62"</w:t>
      </w:r>
    </w:p>
    <w:p w:rsidR="00650CC9" w:rsidRPr="00B81BF6" w:rsidRDefault="00B81BF6" w:rsidP="00B81BF6">
      <w:pPr>
        <w:pStyle w:val="BodyText1"/>
        <w:shd w:val="clear" w:color="auto" w:fill="auto"/>
        <w:spacing w:before="0" w:after="176" w:line="360" w:lineRule="auto"/>
        <w:ind w:left="40" w:firstLine="600"/>
        <w:jc w:val="both"/>
        <w:rPr>
          <w:rFonts w:ascii="Times New Roman" w:hAnsi="Times New Roman" w:cs="Times New Roman"/>
          <w:sz w:val="24"/>
          <w:szCs w:val="24"/>
        </w:rPr>
      </w:pPr>
      <w:r w:rsidRPr="00B81BF6">
        <w:rPr>
          <w:rFonts w:ascii="Times New Roman" w:hAnsi="Times New Roman" w:cs="Times New Roman"/>
          <w:sz w:val="24"/>
          <w:szCs w:val="24"/>
        </w:rPr>
        <w:lastRenderedPageBreak/>
        <w:t>We shall keep the above principles in mind when addressing ourselves t</w:t>
      </w:r>
      <w:r w:rsidRPr="00B81BF6">
        <w:rPr>
          <w:rFonts w:ascii="Times New Roman" w:hAnsi="Times New Roman" w:cs="Times New Roman"/>
          <w:sz w:val="24"/>
          <w:szCs w:val="24"/>
        </w:rPr>
        <w:t>o the</w:t>
      </w:r>
    </w:p>
    <w:p w:rsidR="00650CC9" w:rsidRPr="00B81BF6" w:rsidRDefault="00B81BF6" w:rsidP="00B81BF6">
      <w:pPr>
        <w:pStyle w:val="BodyText1"/>
        <w:shd w:val="clear" w:color="auto" w:fill="auto"/>
        <w:spacing w:before="0" w:after="402" w:line="360" w:lineRule="auto"/>
        <w:ind w:left="40" w:firstLine="600"/>
        <w:jc w:val="both"/>
        <w:rPr>
          <w:rFonts w:ascii="Times New Roman" w:hAnsi="Times New Roman" w:cs="Times New Roman"/>
          <w:sz w:val="24"/>
          <w:szCs w:val="24"/>
        </w:rPr>
      </w:pPr>
      <w:r w:rsidRPr="00B81BF6">
        <w:rPr>
          <w:rFonts w:ascii="Times New Roman" w:hAnsi="Times New Roman" w:cs="Times New Roman"/>
          <w:sz w:val="24"/>
          <w:szCs w:val="24"/>
        </w:rPr>
        <w:t>grounds of appeal in this matter.</w:t>
      </w:r>
    </w:p>
    <w:p w:rsidR="00650CC9" w:rsidRPr="00B81BF6" w:rsidRDefault="00B81BF6" w:rsidP="00B81BF6">
      <w:pPr>
        <w:pStyle w:val="BodyText1"/>
        <w:shd w:val="clear" w:color="auto" w:fill="auto"/>
        <w:spacing w:before="0" w:after="421" w:line="360" w:lineRule="auto"/>
        <w:ind w:left="40" w:firstLine="600"/>
        <w:jc w:val="both"/>
        <w:rPr>
          <w:rFonts w:ascii="Times New Roman" w:hAnsi="Times New Roman" w:cs="Times New Roman"/>
          <w:sz w:val="24"/>
          <w:szCs w:val="24"/>
        </w:rPr>
      </w:pPr>
      <w:r w:rsidRPr="00B81BF6">
        <w:rPr>
          <w:rFonts w:ascii="Times New Roman" w:hAnsi="Times New Roman" w:cs="Times New Roman"/>
          <w:sz w:val="24"/>
          <w:szCs w:val="24"/>
        </w:rPr>
        <w:t>Ground 1:</w:t>
      </w:r>
    </w:p>
    <w:p w:rsidR="00650CC9" w:rsidRPr="00B81BF6" w:rsidRDefault="00B81BF6" w:rsidP="00B81BF6">
      <w:pPr>
        <w:pStyle w:val="BodyText1"/>
        <w:shd w:val="clear" w:color="auto" w:fill="auto"/>
        <w:spacing w:before="0" w:after="181" w:line="360" w:lineRule="auto"/>
        <w:ind w:left="1380" w:firstLine="0"/>
        <w:jc w:val="both"/>
        <w:rPr>
          <w:rFonts w:ascii="Times New Roman" w:hAnsi="Times New Roman" w:cs="Times New Roman"/>
          <w:sz w:val="24"/>
          <w:szCs w:val="24"/>
        </w:rPr>
      </w:pPr>
      <w:r w:rsidRPr="00B81BF6">
        <w:rPr>
          <w:rFonts w:ascii="Times New Roman" w:hAnsi="Times New Roman" w:cs="Times New Roman"/>
          <w:sz w:val="24"/>
          <w:szCs w:val="24"/>
        </w:rPr>
        <w:t>The learned Judge erred in law in finding that the grant of the suit land by</w:t>
      </w:r>
    </w:p>
    <w:p w:rsidR="00650CC9" w:rsidRPr="00B81BF6" w:rsidRDefault="00B81BF6" w:rsidP="00B81BF6">
      <w:pPr>
        <w:pStyle w:val="BodyText1"/>
        <w:shd w:val="clear" w:color="auto" w:fill="auto"/>
        <w:spacing w:before="0" w:after="0" w:line="360" w:lineRule="auto"/>
        <w:ind w:left="1380" w:firstLine="0"/>
        <w:jc w:val="both"/>
        <w:rPr>
          <w:rFonts w:ascii="Times New Roman" w:hAnsi="Times New Roman" w:cs="Times New Roman"/>
          <w:sz w:val="24"/>
          <w:szCs w:val="24"/>
        </w:rPr>
      </w:pPr>
      <w:r w:rsidRPr="00B81BF6">
        <w:rPr>
          <w:rFonts w:ascii="Times New Roman" w:hAnsi="Times New Roman" w:cs="Times New Roman"/>
          <w:sz w:val="24"/>
          <w:szCs w:val="24"/>
        </w:rPr>
        <w:t>the Bataka and LC officials in 2000 and the subsequent settlement and</w:t>
      </w:r>
      <w:r w:rsidR="005F0C4E" w:rsidRPr="00B81BF6">
        <w:rPr>
          <w:rFonts w:ascii="Times New Roman" w:hAnsi="Times New Roman" w:cs="Times New Roman"/>
          <w:sz w:val="24"/>
          <w:szCs w:val="24"/>
        </w:rPr>
        <w:t xml:space="preserve"> </w:t>
      </w:r>
      <w:r w:rsidRPr="00B81BF6">
        <w:rPr>
          <w:rFonts w:ascii="Times New Roman" w:hAnsi="Times New Roman" w:cs="Times New Roman"/>
          <w:sz w:val="24"/>
          <w:szCs w:val="24"/>
        </w:rPr>
        <w:t xml:space="preserve">development of the land by the respondent amounted to a </w:t>
      </w:r>
      <w:r w:rsidRPr="00B81BF6">
        <w:rPr>
          <w:rFonts w:ascii="Times New Roman" w:hAnsi="Times New Roman" w:cs="Times New Roman"/>
          <w:sz w:val="24"/>
          <w:szCs w:val="24"/>
        </w:rPr>
        <w:t>customary tenure and was lawful</w:t>
      </w:r>
      <w:r w:rsidR="005F0C4E" w:rsidRPr="00B81BF6">
        <w:rPr>
          <w:rFonts w:ascii="Times New Roman" w:hAnsi="Times New Roman" w:cs="Times New Roman"/>
          <w:sz w:val="24"/>
          <w:szCs w:val="24"/>
        </w:rPr>
        <w:t>.</w:t>
      </w:r>
    </w:p>
    <w:p w:rsidR="005F0C4E" w:rsidRPr="00B81BF6" w:rsidRDefault="005F0C4E" w:rsidP="00B81BF6">
      <w:pPr>
        <w:pStyle w:val="BodyText1"/>
        <w:shd w:val="clear" w:color="auto" w:fill="auto"/>
        <w:spacing w:before="0" w:after="0" w:line="360" w:lineRule="auto"/>
        <w:ind w:left="1380" w:firstLine="0"/>
        <w:jc w:val="both"/>
        <w:rPr>
          <w:rFonts w:ascii="Times New Roman" w:hAnsi="Times New Roman" w:cs="Times New Roman"/>
          <w:sz w:val="24"/>
          <w:szCs w:val="24"/>
        </w:rPr>
      </w:pPr>
    </w:p>
    <w:p w:rsidR="005F0C4E" w:rsidRPr="00B81BF6" w:rsidRDefault="005F0C4E" w:rsidP="00B81BF6">
      <w:pPr>
        <w:pStyle w:val="BodyText1"/>
        <w:shd w:val="clear" w:color="auto" w:fill="auto"/>
        <w:spacing w:before="0" w:after="0" w:line="360" w:lineRule="auto"/>
        <w:ind w:left="1380" w:firstLine="0"/>
        <w:jc w:val="both"/>
        <w:rPr>
          <w:rFonts w:ascii="Times New Roman" w:hAnsi="Times New Roman" w:cs="Times New Roman"/>
          <w:sz w:val="24"/>
          <w:szCs w:val="24"/>
        </w:rPr>
      </w:pPr>
    </w:p>
    <w:p w:rsidR="00650CC9" w:rsidRPr="00B81BF6" w:rsidRDefault="00B81BF6" w:rsidP="00B81BF6">
      <w:pPr>
        <w:pStyle w:val="BodyText1"/>
        <w:shd w:val="clear" w:color="auto" w:fill="auto"/>
        <w:spacing w:before="0" w:after="222" w:line="360" w:lineRule="auto"/>
        <w:ind w:left="40" w:firstLine="600"/>
        <w:jc w:val="both"/>
        <w:rPr>
          <w:rFonts w:ascii="Times New Roman" w:hAnsi="Times New Roman" w:cs="Times New Roman"/>
          <w:sz w:val="24"/>
          <w:szCs w:val="24"/>
        </w:rPr>
      </w:pPr>
      <w:r w:rsidRPr="00B81BF6">
        <w:rPr>
          <w:rFonts w:ascii="Times New Roman" w:hAnsi="Times New Roman" w:cs="Times New Roman"/>
          <w:sz w:val="24"/>
          <w:szCs w:val="24"/>
        </w:rPr>
        <w:t>Arguments for the Appellant</w:t>
      </w:r>
    </w:p>
    <w:p w:rsidR="005F0C4E" w:rsidRPr="00B81BF6" w:rsidRDefault="00B81BF6" w:rsidP="00B81BF6">
      <w:pPr>
        <w:pStyle w:val="BodyText1"/>
        <w:shd w:val="clear" w:color="auto" w:fill="auto"/>
        <w:spacing w:before="0" w:after="1456" w:line="360" w:lineRule="auto"/>
        <w:ind w:left="40" w:right="840" w:firstLine="600"/>
        <w:jc w:val="both"/>
        <w:rPr>
          <w:rFonts w:ascii="Times New Roman" w:hAnsi="Times New Roman" w:cs="Times New Roman"/>
          <w:sz w:val="24"/>
          <w:szCs w:val="24"/>
        </w:rPr>
      </w:pPr>
      <w:r w:rsidRPr="00B81BF6">
        <w:rPr>
          <w:rFonts w:ascii="Times New Roman" w:hAnsi="Times New Roman" w:cs="Times New Roman"/>
          <w:sz w:val="24"/>
          <w:szCs w:val="24"/>
        </w:rPr>
        <w:t xml:space="preserve">Counsel for the appellant submitted that the issue of customary tenure was not </w:t>
      </w:r>
      <w:r w:rsidRPr="00B81BF6">
        <w:rPr>
          <w:rFonts w:ascii="Times New Roman" w:hAnsi="Times New Roman" w:cs="Times New Roman"/>
          <w:sz w:val="24"/>
          <w:szCs w:val="24"/>
        </w:rPr>
        <w:t xml:space="preserve"> proved during trial as required under Section 46 of the Evidence Act, Cap 6. Counsel for the appellant relied on the cases of Ernest Kinyanjui Kimani v Muira Gikanga [1965] E.A 735, Kampala District Land Board and anor v Venansio Babweyaka and Ors, SCCA N</w:t>
      </w:r>
      <w:r w:rsidRPr="00B81BF6">
        <w:rPr>
          <w:rFonts w:ascii="Times New Roman" w:hAnsi="Times New Roman" w:cs="Times New Roman"/>
          <w:sz w:val="24"/>
          <w:szCs w:val="24"/>
        </w:rPr>
        <w:t xml:space="preserve">o. 2 of 2007 and R v Ndembera s/o Mwandawale (1947) 14 EACA 85 for the proposition that customary tenure must be proved. </w:t>
      </w:r>
    </w:p>
    <w:p w:rsidR="00650CC9" w:rsidRPr="00B81BF6" w:rsidRDefault="00B81BF6" w:rsidP="00B81BF6">
      <w:pPr>
        <w:pStyle w:val="BodyText1"/>
        <w:shd w:val="clear" w:color="auto" w:fill="auto"/>
        <w:spacing w:before="0" w:after="1456" w:line="360" w:lineRule="auto"/>
        <w:ind w:left="40" w:right="840" w:firstLine="600"/>
        <w:jc w:val="both"/>
        <w:rPr>
          <w:rFonts w:ascii="Times New Roman" w:hAnsi="Times New Roman" w:cs="Times New Roman"/>
          <w:sz w:val="24"/>
          <w:szCs w:val="24"/>
        </w:rPr>
      </w:pPr>
      <w:r w:rsidRPr="00B81BF6">
        <w:rPr>
          <w:rFonts w:ascii="Times New Roman" w:hAnsi="Times New Roman" w:cs="Times New Roman"/>
          <w:sz w:val="24"/>
          <w:szCs w:val="24"/>
        </w:rPr>
        <w:t xml:space="preserve"> Counsel submitted that nowhere in the record was it shown that an expert on Bunyoro custom was called to testify as regards customar</w:t>
      </w:r>
      <w:r w:rsidRPr="00B81BF6">
        <w:rPr>
          <w:rFonts w:ascii="Times New Roman" w:hAnsi="Times New Roman" w:cs="Times New Roman"/>
          <w:sz w:val="24"/>
          <w:szCs w:val="24"/>
        </w:rPr>
        <w:t>y land ownership and no legal authority was cited to prove the existence of that custom. Counsel therefore submitted that The Land Tribunal and the first appellate Judge therefore erred in holding that allocation of land by the Bataka amounted to a customa</w:t>
      </w:r>
      <w:r w:rsidRPr="00B81BF6">
        <w:rPr>
          <w:rFonts w:ascii="Times New Roman" w:hAnsi="Times New Roman" w:cs="Times New Roman"/>
          <w:sz w:val="24"/>
          <w:szCs w:val="24"/>
        </w:rPr>
        <w:t xml:space="preserve">ry practice in </w:t>
      </w:r>
      <w:r w:rsidRPr="00B81BF6">
        <w:rPr>
          <w:rFonts w:ascii="Times New Roman" w:hAnsi="Times New Roman" w:cs="Times New Roman"/>
          <w:sz w:val="24"/>
          <w:szCs w:val="24"/>
        </w:rPr>
        <w:t xml:space="preserve"> Bunyoro. Counsel further submitted that on the other hand, the appellant proved that he had </w:t>
      </w:r>
      <w:r w:rsidRPr="00B81BF6">
        <w:rPr>
          <w:rFonts w:ascii="Times New Roman" w:hAnsi="Times New Roman" w:cs="Times New Roman"/>
          <w:sz w:val="24"/>
          <w:szCs w:val="24"/>
        </w:rPr>
        <w:lastRenderedPageBreak/>
        <w:t>acquired an interest in the land by his uncle grazing cattle on the suit land for over 30 years which interest was passed on to the first appellan</w:t>
      </w:r>
      <w:r w:rsidRPr="00B81BF6">
        <w:rPr>
          <w:rFonts w:ascii="Times New Roman" w:hAnsi="Times New Roman" w:cs="Times New Roman"/>
          <w:sz w:val="24"/>
          <w:szCs w:val="24"/>
        </w:rPr>
        <w:t>t who then went ahead to apply for a lease on the suit land.</w:t>
      </w:r>
    </w:p>
    <w:p w:rsidR="00650CC9" w:rsidRPr="00B81BF6" w:rsidRDefault="00650CC9" w:rsidP="00B81BF6">
      <w:pPr>
        <w:spacing w:line="360" w:lineRule="auto"/>
        <w:jc w:val="both"/>
        <w:rPr>
          <w:rFonts w:ascii="Times New Roman" w:hAnsi="Times New Roman" w:cs="Times New Roman"/>
        </w:rPr>
        <w:sectPr w:rsidR="00650CC9" w:rsidRPr="00B81BF6">
          <w:footerReference w:type="even" r:id="rId8"/>
          <w:footerReference w:type="default" r:id="rId9"/>
          <w:headerReference w:type="first" r:id="rId10"/>
          <w:footerReference w:type="first" r:id="rId11"/>
          <w:type w:val="continuous"/>
          <w:pgSz w:w="12240" w:h="18720"/>
          <w:pgMar w:top="1822" w:right="667" w:bottom="1793" w:left="691" w:header="0" w:footer="3" w:gutter="0"/>
          <w:cols w:space="720"/>
          <w:noEndnote/>
          <w:titlePg/>
          <w:docGrid w:linePitch="360"/>
        </w:sectPr>
      </w:pPr>
    </w:p>
    <w:p w:rsidR="00650CC9" w:rsidRPr="00B81BF6" w:rsidRDefault="00B81BF6" w:rsidP="00B81BF6">
      <w:pPr>
        <w:pStyle w:val="BodyText1"/>
        <w:shd w:val="clear" w:color="auto" w:fill="auto"/>
        <w:spacing w:before="0" w:after="222" w:line="360" w:lineRule="auto"/>
        <w:ind w:left="620" w:firstLine="0"/>
        <w:jc w:val="both"/>
        <w:rPr>
          <w:rFonts w:ascii="Times New Roman" w:hAnsi="Times New Roman" w:cs="Times New Roman"/>
          <w:sz w:val="24"/>
          <w:szCs w:val="24"/>
        </w:rPr>
      </w:pPr>
      <w:r w:rsidRPr="00B81BF6">
        <w:rPr>
          <w:rFonts w:ascii="Times New Roman" w:hAnsi="Times New Roman" w:cs="Times New Roman"/>
          <w:sz w:val="24"/>
          <w:szCs w:val="24"/>
        </w:rPr>
        <w:lastRenderedPageBreak/>
        <w:t>Arguments for the Respondent</w:t>
      </w:r>
    </w:p>
    <w:p w:rsidR="00650CC9" w:rsidRPr="00B81BF6" w:rsidRDefault="00B81BF6" w:rsidP="00B81BF6">
      <w:pPr>
        <w:pStyle w:val="BodyText1"/>
        <w:shd w:val="clear" w:color="auto" w:fill="auto"/>
        <w:spacing w:before="0" w:after="180" w:line="360" w:lineRule="auto"/>
        <w:ind w:left="620" w:right="1340" w:firstLine="0"/>
        <w:jc w:val="both"/>
        <w:rPr>
          <w:rFonts w:ascii="Times New Roman" w:hAnsi="Times New Roman" w:cs="Times New Roman"/>
          <w:sz w:val="24"/>
          <w:szCs w:val="24"/>
        </w:rPr>
      </w:pPr>
      <w:r w:rsidRPr="00B81BF6">
        <w:rPr>
          <w:rFonts w:ascii="Times New Roman" w:hAnsi="Times New Roman" w:cs="Times New Roman"/>
          <w:sz w:val="24"/>
          <w:szCs w:val="24"/>
        </w:rPr>
        <w:t xml:space="preserve">Counsel for the respondent agreed with the decisions of the Land Tribunal and first appellate Court and submitted that when the Bataka granted the suit land to the respondent, he </w:t>
      </w:r>
      <w:r w:rsidRPr="00B81BF6">
        <w:rPr>
          <w:rFonts w:ascii="Times New Roman" w:hAnsi="Times New Roman" w:cs="Times New Roman"/>
          <w:sz w:val="24"/>
          <w:szCs w:val="24"/>
        </w:rPr>
        <w:t xml:space="preserve">acquired in it a customary interest. Counsel buttressed his </w:t>
      </w:r>
      <w:r w:rsidRPr="00B81BF6">
        <w:rPr>
          <w:rFonts w:ascii="Times New Roman" w:hAnsi="Times New Roman" w:cs="Times New Roman"/>
          <w:sz w:val="24"/>
          <w:szCs w:val="24"/>
        </w:rPr>
        <w:t xml:space="preserve"> arguments with the authorities of Jakobo Lomolo v Kilembe Mines [1978] HCB 157 and Marko Matovu &amp; others v Sseviri &amp; another [1979] HCB 174 for the proposition that customary tenure may be estab</w:t>
      </w:r>
      <w:r w:rsidRPr="00B81BF6">
        <w:rPr>
          <w:rFonts w:ascii="Times New Roman" w:hAnsi="Times New Roman" w:cs="Times New Roman"/>
          <w:sz w:val="24"/>
          <w:szCs w:val="24"/>
        </w:rPr>
        <w:t>lished by the cultivation only of seasonable crops or the grazing of cattle and related construction of wells to water cattle.</w:t>
      </w:r>
    </w:p>
    <w:p w:rsidR="00650CC9" w:rsidRPr="00B81BF6" w:rsidRDefault="005F0C4E" w:rsidP="00B81BF6">
      <w:pPr>
        <w:pStyle w:val="BodyText1"/>
        <w:shd w:val="clear" w:color="auto" w:fill="auto"/>
        <w:spacing w:before="0" w:after="379" w:line="360" w:lineRule="auto"/>
        <w:ind w:left="620" w:right="1340" w:hanging="560"/>
        <w:jc w:val="both"/>
        <w:rPr>
          <w:rFonts w:ascii="Times New Roman" w:hAnsi="Times New Roman" w:cs="Times New Roman"/>
          <w:sz w:val="24"/>
          <w:szCs w:val="24"/>
        </w:rPr>
      </w:pPr>
      <w:r w:rsidRPr="00B81BF6">
        <w:rPr>
          <w:rFonts w:ascii="Times New Roman" w:hAnsi="Times New Roman" w:cs="Times New Roman"/>
          <w:sz w:val="24"/>
          <w:szCs w:val="24"/>
        </w:rPr>
        <w:t xml:space="preserve">        </w:t>
      </w:r>
      <w:r w:rsidR="00B81BF6" w:rsidRPr="00B81BF6">
        <w:rPr>
          <w:rFonts w:ascii="Times New Roman" w:hAnsi="Times New Roman" w:cs="Times New Roman"/>
          <w:sz w:val="24"/>
          <w:szCs w:val="24"/>
        </w:rPr>
        <w:t xml:space="preserve"> Counsel further argued that the respondent proceeded to carry out developments on the land unlike the appellant which in turn </w:t>
      </w:r>
      <w:r w:rsidR="00B81BF6" w:rsidRPr="00B81BF6">
        <w:rPr>
          <w:rFonts w:ascii="Times New Roman" w:hAnsi="Times New Roman" w:cs="Times New Roman"/>
          <w:sz w:val="24"/>
          <w:szCs w:val="24"/>
        </w:rPr>
        <w:t>made him a customary tenant. Therefore, the Land Tribunal and the High Court did not err in their decisions and prayed for those findings to be upheld.</w:t>
      </w:r>
    </w:p>
    <w:p w:rsidR="00650CC9" w:rsidRPr="00B81BF6" w:rsidRDefault="00B81BF6" w:rsidP="00B81BF6">
      <w:pPr>
        <w:pStyle w:val="BodyText1"/>
        <w:shd w:val="clear" w:color="auto" w:fill="auto"/>
        <w:spacing w:before="0" w:after="213" w:line="360" w:lineRule="auto"/>
        <w:ind w:left="620" w:firstLine="0"/>
        <w:jc w:val="both"/>
        <w:rPr>
          <w:rFonts w:ascii="Times New Roman" w:hAnsi="Times New Roman" w:cs="Times New Roman"/>
          <w:sz w:val="24"/>
          <w:szCs w:val="24"/>
        </w:rPr>
      </w:pPr>
      <w:r w:rsidRPr="00B81BF6">
        <w:rPr>
          <w:rFonts w:ascii="Times New Roman" w:hAnsi="Times New Roman" w:cs="Times New Roman"/>
          <w:sz w:val="24"/>
          <w:szCs w:val="24"/>
        </w:rPr>
        <w:t>Resolution by the Court</w:t>
      </w:r>
    </w:p>
    <w:p w:rsidR="00650CC9" w:rsidRPr="00B81BF6" w:rsidRDefault="00E321B9" w:rsidP="00B81BF6">
      <w:pPr>
        <w:pStyle w:val="BodyText1"/>
        <w:shd w:val="clear" w:color="auto" w:fill="auto"/>
        <w:spacing w:before="0" w:after="0" w:line="360" w:lineRule="auto"/>
        <w:ind w:left="620" w:right="1340" w:hanging="560"/>
        <w:jc w:val="both"/>
        <w:rPr>
          <w:rFonts w:ascii="Times New Roman" w:hAnsi="Times New Roman" w:cs="Times New Roman"/>
          <w:sz w:val="24"/>
          <w:szCs w:val="24"/>
        </w:rPr>
      </w:pPr>
      <w:r w:rsidRPr="00B81BF6">
        <w:rPr>
          <w:rFonts w:ascii="Times New Roman" w:hAnsi="Times New Roman" w:cs="Times New Roman"/>
          <w:sz w:val="24"/>
          <w:szCs w:val="24"/>
        </w:rPr>
        <w:t xml:space="preserve">         </w:t>
      </w:r>
      <w:r w:rsidR="00B81BF6" w:rsidRPr="00B81BF6">
        <w:rPr>
          <w:rFonts w:ascii="Times New Roman" w:hAnsi="Times New Roman" w:cs="Times New Roman"/>
          <w:sz w:val="24"/>
          <w:szCs w:val="24"/>
        </w:rPr>
        <w:t xml:space="preserve"> We have considered the submissions of both Counsel and perused the Court reco</w:t>
      </w:r>
      <w:r w:rsidR="00B81BF6" w:rsidRPr="00B81BF6">
        <w:rPr>
          <w:rFonts w:ascii="Times New Roman" w:hAnsi="Times New Roman" w:cs="Times New Roman"/>
          <w:sz w:val="24"/>
          <w:szCs w:val="24"/>
        </w:rPr>
        <w:t>rd. The ground as framed is on a point of law. The point of law to be determined here is whether the respondent is a customary tenant as decided by the Land tribunal and first appellate Court. Section 46 of the Evidence Act, Cap 6 which counsel for the app</w:t>
      </w:r>
      <w:r w:rsidR="00B81BF6" w:rsidRPr="00B81BF6">
        <w:rPr>
          <w:rFonts w:ascii="Times New Roman" w:hAnsi="Times New Roman" w:cs="Times New Roman"/>
          <w:sz w:val="24"/>
          <w:szCs w:val="24"/>
        </w:rPr>
        <w:t>ellant relied upon, provides thus:</w:t>
      </w:r>
    </w:p>
    <w:p w:rsidR="00650CC9" w:rsidRPr="00B81BF6" w:rsidRDefault="00E321B9" w:rsidP="00B81BF6">
      <w:pPr>
        <w:pStyle w:val="Bodytext30"/>
        <w:shd w:val="clear" w:color="auto" w:fill="auto"/>
        <w:spacing w:line="360" w:lineRule="auto"/>
        <w:ind w:left="620"/>
        <w:rPr>
          <w:rFonts w:ascii="Times New Roman" w:hAnsi="Times New Roman" w:cs="Times New Roman"/>
          <w:sz w:val="24"/>
          <w:szCs w:val="24"/>
        </w:rPr>
      </w:pPr>
      <w:r w:rsidRPr="00B81BF6">
        <w:rPr>
          <w:rStyle w:val="Bodytext3NotItalic"/>
          <w:rFonts w:ascii="Times New Roman" w:hAnsi="Times New Roman" w:cs="Times New Roman"/>
          <w:sz w:val="24"/>
          <w:szCs w:val="24"/>
        </w:rPr>
        <w:t xml:space="preserve">           </w:t>
      </w:r>
      <w:r w:rsidR="00B81BF6" w:rsidRPr="00B81BF6">
        <w:rPr>
          <w:rStyle w:val="Bodytext3NotItalic"/>
          <w:rFonts w:ascii="Times New Roman" w:hAnsi="Times New Roman" w:cs="Times New Roman"/>
          <w:sz w:val="24"/>
          <w:szCs w:val="24"/>
        </w:rPr>
        <w:t xml:space="preserve"> </w:t>
      </w:r>
      <w:r w:rsidR="00B81BF6" w:rsidRPr="00B81BF6">
        <w:rPr>
          <w:rFonts w:ascii="Times New Roman" w:hAnsi="Times New Roman" w:cs="Times New Roman"/>
          <w:sz w:val="24"/>
          <w:szCs w:val="24"/>
        </w:rPr>
        <w:t>"46, Opinion as to existence of right or custom, when relevant</w:t>
      </w:r>
    </w:p>
    <w:p w:rsidR="00650CC9" w:rsidRPr="00B81BF6" w:rsidRDefault="00B81BF6" w:rsidP="00B81BF6">
      <w:pPr>
        <w:pStyle w:val="Bodytext20"/>
        <w:shd w:val="clear" w:color="auto" w:fill="auto"/>
        <w:spacing w:after="977" w:line="360" w:lineRule="auto"/>
        <w:ind w:left="1320" w:right="1340" w:firstLine="0"/>
        <w:rPr>
          <w:rFonts w:ascii="Times New Roman" w:hAnsi="Times New Roman" w:cs="Times New Roman"/>
          <w:sz w:val="24"/>
          <w:szCs w:val="24"/>
        </w:rPr>
      </w:pPr>
      <w:r w:rsidRPr="00B81BF6">
        <w:rPr>
          <w:rFonts w:ascii="Times New Roman" w:hAnsi="Times New Roman" w:cs="Times New Roman"/>
          <w:sz w:val="24"/>
          <w:szCs w:val="24"/>
        </w:rPr>
        <w:t xml:space="preserve">When the Court has to form an opinion as to the existence of any general custom or right, the opinions as to the existence of that custom or right, of </w:t>
      </w:r>
      <w:r w:rsidRPr="00B81BF6">
        <w:rPr>
          <w:rFonts w:ascii="Times New Roman" w:hAnsi="Times New Roman" w:cs="Times New Roman"/>
          <w:sz w:val="24"/>
          <w:szCs w:val="24"/>
        </w:rPr>
        <w:t>persons who would be likely to know of its existence if it existed, are relevant"</w:t>
      </w:r>
    </w:p>
    <w:p w:rsidR="00650CC9" w:rsidRPr="00B81BF6" w:rsidRDefault="00650CC9" w:rsidP="00B81BF6">
      <w:pPr>
        <w:spacing w:line="360" w:lineRule="auto"/>
        <w:jc w:val="both"/>
        <w:rPr>
          <w:rFonts w:ascii="Times New Roman" w:hAnsi="Times New Roman" w:cs="Times New Roman"/>
        </w:rPr>
      </w:pPr>
    </w:p>
    <w:p w:rsidR="00650CC9" w:rsidRPr="00B81BF6" w:rsidRDefault="00B81BF6" w:rsidP="00B81BF6">
      <w:pPr>
        <w:pStyle w:val="BodyText1"/>
        <w:shd w:val="clear" w:color="auto" w:fill="auto"/>
        <w:spacing w:before="0" w:after="0" w:line="360" w:lineRule="auto"/>
        <w:ind w:left="60" w:right="40" w:firstLine="580"/>
        <w:jc w:val="both"/>
        <w:rPr>
          <w:rFonts w:ascii="Times New Roman" w:hAnsi="Times New Roman" w:cs="Times New Roman"/>
          <w:sz w:val="24"/>
          <w:szCs w:val="24"/>
        </w:rPr>
      </w:pPr>
      <w:r w:rsidRPr="00B81BF6">
        <w:rPr>
          <w:rFonts w:ascii="Times New Roman" w:hAnsi="Times New Roman" w:cs="Times New Roman"/>
          <w:sz w:val="24"/>
          <w:szCs w:val="24"/>
        </w:rPr>
        <w:t xml:space="preserve">The expression </w:t>
      </w:r>
      <w:r w:rsidRPr="00B81BF6">
        <w:rPr>
          <w:rStyle w:val="BodytextItalic"/>
          <w:rFonts w:ascii="Times New Roman" w:hAnsi="Times New Roman" w:cs="Times New Roman"/>
          <w:sz w:val="24"/>
          <w:szCs w:val="24"/>
        </w:rPr>
        <w:t>"general custom or right"</w:t>
      </w:r>
      <w:r w:rsidRPr="00B81BF6">
        <w:rPr>
          <w:rFonts w:ascii="Times New Roman" w:hAnsi="Times New Roman" w:cs="Times New Roman"/>
          <w:sz w:val="24"/>
          <w:szCs w:val="24"/>
        </w:rPr>
        <w:t xml:space="preserve"> includes cust</w:t>
      </w:r>
      <w:r w:rsidRPr="00B81BF6">
        <w:rPr>
          <w:rFonts w:ascii="Times New Roman" w:hAnsi="Times New Roman" w:cs="Times New Roman"/>
          <w:sz w:val="24"/>
          <w:szCs w:val="24"/>
        </w:rPr>
        <w:t xml:space="preserve">oms or rights common to any considerable group of persons. What has to be determined therefore is whether there exists a custom among the Banyoro in which the Bataka and LCs allocate land which then amounts to customary ownership. In the case of Ernest </w:t>
      </w:r>
      <w:r w:rsidRPr="00B81BF6">
        <w:rPr>
          <w:rFonts w:ascii="Times New Roman" w:hAnsi="Times New Roman" w:cs="Times New Roman"/>
          <w:sz w:val="24"/>
          <w:szCs w:val="24"/>
        </w:rPr>
        <w:t xml:space="preserve"> K</w:t>
      </w:r>
      <w:r w:rsidRPr="00B81BF6">
        <w:rPr>
          <w:rFonts w:ascii="Times New Roman" w:hAnsi="Times New Roman" w:cs="Times New Roman"/>
          <w:sz w:val="24"/>
          <w:szCs w:val="24"/>
        </w:rPr>
        <w:t>inyanjui Kimani v Muira Gikanga [1965] E.A 735, Duffus, JA it was held that:</w:t>
      </w:r>
    </w:p>
    <w:p w:rsidR="00650CC9" w:rsidRPr="00B81BF6" w:rsidRDefault="00B81BF6" w:rsidP="00B81BF6">
      <w:pPr>
        <w:pStyle w:val="Bodytext20"/>
        <w:shd w:val="clear" w:color="auto" w:fill="auto"/>
        <w:tabs>
          <w:tab w:val="left" w:pos="1366"/>
        </w:tabs>
        <w:spacing w:after="0" w:line="360" w:lineRule="auto"/>
        <w:ind w:left="60" w:right="40" w:firstLine="1280"/>
        <w:rPr>
          <w:rFonts w:ascii="Times New Roman" w:hAnsi="Times New Roman" w:cs="Times New Roman"/>
          <w:sz w:val="24"/>
          <w:szCs w:val="24"/>
        </w:rPr>
      </w:pPr>
      <w:r w:rsidRPr="00B81BF6">
        <w:rPr>
          <w:rFonts w:ascii="Times New Roman" w:hAnsi="Times New Roman" w:cs="Times New Roman"/>
          <w:sz w:val="24"/>
          <w:szCs w:val="24"/>
        </w:rPr>
        <w:t xml:space="preserve">"As a matter of necessity, the customary law must be accurately and definitely established. The Court has wide discretion as to how this should be done but the onus to do so must </w:t>
      </w:r>
      <w:r w:rsidRPr="00B81BF6">
        <w:rPr>
          <w:rFonts w:ascii="Times New Roman" w:hAnsi="Times New Roman" w:cs="Times New Roman"/>
          <w:sz w:val="24"/>
          <w:szCs w:val="24"/>
        </w:rPr>
        <w:t xml:space="preserve">be on the party who puts forward the </w:t>
      </w:r>
      <w:r w:rsidRPr="00B81BF6">
        <w:rPr>
          <w:rFonts w:ascii="Times New Roman" w:hAnsi="Times New Roman" w:cs="Times New Roman"/>
          <w:sz w:val="24"/>
          <w:szCs w:val="24"/>
        </w:rPr>
        <w:lastRenderedPageBreak/>
        <w:t>customary law. This might be done by ref</w:t>
      </w:r>
      <w:r w:rsidR="00E321B9" w:rsidRPr="00B81BF6">
        <w:rPr>
          <w:rFonts w:ascii="Times New Roman" w:hAnsi="Times New Roman" w:cs="Times New Roman"/>
          <w:sz w:val="24"/>
          <w:szCs w:val="24"/>
        </w:rPr>
        <w:t>erence to a book or document of</w:t>
      </w:r>
      <w:r w:rsidRPr="00B81BF6">
        <w:rPr>
          <w:rStyle w:val="Bodytext2NotItalic"/>
          <w:rFonts w:ascii="Times New Roman" w:hAnsi="Times New Roman" w:cs="Times New Roman"/>
          <w:sz w:val="24"/>
          <w:szCs w:val="24"/>
        </w:rPr>
        <w:tab/>
      </w:r>
      <w:r w:rsidRPr="00B81BF6">
        <w:rPr>
          <w:rFonts w:ascii="Times New Roman" w:hAnsi="Times New Roman" w:cs="Times New Roman"/>
          <w:sz w:val="24"/>
          <w:szCs w:val="24"/>
        </w:rPr>
        <w:t>reference and would include judicial decision but in my view, especially, of</w:t>
      </w:r>
      <w:r w:rsidR="00E321B9" w:rsidRPr="00B81BF6">
        <w:rPr>
          <w:rFonts w:ascii="Times New Roman" w:hAnsi="Times New Roman" w:cs="Times New Roman"/>
          <w:sz w:val="24"/>
          <w:szCs w:val="24"/>
        </w:rPr>
        <w:t xml:space="preserve"> </w:t>
      </w:r>
      <w:r w:rsidRPr="00B81BF6">
        <w:rPr>
          <w:rFonts w:ascii="Times New Roman" w:hAnsi="Times New Roman" w:cs="Times New Roman"/>
          <w:sz w:val="24"/>
          <w:szCs w:val="24"/>
        </w:rPr>
        <w:t>the present apparent lack in Kenya of authoritative text books on t</w:t>
      </w:r>
      <w:r w:rsidRPr="00B81BF6">
        <w:rPr>
          <w:rFonts w:ascii="Times New Roman" w:hAnsi="Times New Roman" w:cs="Times New Roman"/>
          <w:sz w:val="24"/>
          <w:szCs w:val="24"/>
        </w:rPr>
        <w:t>he subject or of any relevant case law, this would in practice, usually mean that the party propounding the customary law would have to call evidence to prove the customary law as he would prove the relevant facts of his case"</w:t>
      </w:r>
    </w:p>
    <w:p w:rsidR="00650CC9" w:rsidRPr="00B81BF6" w:rsidRDefault="00B81BF6" w:rsidP="00B81BF6">
      <w:pPr>
        <w:pStyle w:val="BodyText1"/>
        <w:shd w:val="clear" w:color="auto" w:fill="auto"/>
        <w:spacing w:before="0" w:after="0" w:line="360" w:lineRule="auto"/>
        <w:ind w:left="640" w:right="40" w:hanging="580"/>
        <w:jc w:val="both"/>
        <w:rPr>
          <w:rFonts w:ascii="Times New Roman" w:hAnsi="Times New Roman" w:cs="Times New Roman"/>
          <w:sz w:val="24"/>
          <w:szCs w:val="24"/>
        </w:rPr>
      </w:pPr>
      <w:r w:rsidRPr="00B81BF6">
        <w:rPr>
          <w:rFonts w:ascii="Times New Roman" w:hAnsi="Times New Roman" w:cs="Times New Roman"/>
          <w:sz w:val="24"/>
          <w:szCs w:val="24"/>
        </w:rPr>
        <w:t xml:space="preserve"> The above dictum was cited</w:t>
      </w:r>
      <w:r w:rsidRPr="00B81BF6">
        <w:rPr>
          <w:rFonts w:ascii="Times New Roman" w:hAnsi="Times New Roman" w:cs="Times New Roman"/>
          <w:sz w:val="24"/>
          <w:szCs w:val="24"/>
        </w:rPr>
        <w:t xml:space="preserve"> with approval by Odoki, C.J </w:t>
      </w:r>
      <w:r w:rsidRPr="00B81BF6">
        <w:rPr>
          <w:rStyle w:val="BodytextItalic"/>
          <w:rFonts w:ascii="Times New Roman" w:hAnsi="Times New Roman" w:cs="Times New Roman"/>
          <w:sz w:val="24"/>
          <w:szCs w:val="24"/>
        </w:rPr>
        <w:t>[as he then was)</w:t>
      </w:r>
      <w:r w:rsidRPr="00B81BF6">
        <w:rPr>
          <w:rFonts w:ascii="Times New Roman" w:hAnsi="Times New Roman" w:cs="Times New Roman"/>
          <w:sz w:val="24"/>
          <w:szCs w:val="24"/>
        </w:rPr>
        <w:t xml:space="preserve"> in the Supreme Court case of Kampala District Land Board and anor v Venansio Babweyaka and Ors, SCCA No. 2 of 2007, where he held that:</w:t>
      </w:r>
    </w:p>
    <w:p w:rsidR="00650CC9" w:rsidRPr="00B81BF6" w:rsidRDefault="00B81BF6" w:rsidP="00B81BF6">
      <w:pPr>
        <w:pStyle w:val="Bodytext20"/>
        <w:shd w:val="clear" w:color="auto" w:fill="auto"/>
        <w:tabs>
          <w:tab w:val="left" w:pos="1380"/>
        </w:tabs>
        <w:spacing w:after="0" w:line="360" w:lineRule="auto"/>
        <w:ind w:left="60" w:right="40" w:firstLine="1280"/>
        <w:rPr>
          <w:rFonts w:ascii="Times New Roman" w:hAnsi="Times New Roman" w:cs="Times New Roman"/>
          <w:sz w:val="24"/>
          <w:szCs w:val="24"/>
        </w:rPr>
        <w:sectPr w:rsidR="00650CC9" w:rsidRPr="00B81BF6">
          <w:type w:val="continuous"/>
          <w:pgSz w:w="12240" w:h="18720"/>
          <w:pgMar w:top="1737" w:right="446" w:bottom="1919" w:left="470" w:header="0" w:footer="3" w:gutter="0"/>
          <w:cols w:space="720"/>
          <w:noEndnote/>
          <w:docGrid w:linePitch="360"/>
        </w:sectPr>
      </w:pPr>
      <w:r w:rsidRPr="00B81BF6">
        <w:rPr>
          <w:rFonts w:ascii="Times New Roman" w:hAnsi="Times New Roman" w:cs="Times New Roman"/>
          <w:sz w:val="24"/>
          <w:szCs w:val="24"/>
        </w:rPr>
        <w:t>"</w:t>
      </w:r>
      <w:r w:rsidRPr="00B81BF6">
        <w:rPr>
          <w:rFonts w:ascii="Times New Roman" w:hAnsi="Times New Roman" w:cs="Times New Roman"/>
          <w:sz w:val="24"/>
          <w:szCs w:val="24"/>
        </w:rPr>
        <w:t xml:space="preserve">It is well established that where African customary law is neither well known nor documented, it must be established for the Court's guidance by </w:t>
      </w:r>
      <w:r w:rsidRPr="00B81BF6">
        <w:rPr>
          <w:rFonts w:ascii="Times New Roman" w:hAnsi="Times New Roman" w:cs="Times New Roman"/>
          <w:sz w:val="24"/>
          <w:szCs w:val="24"/>
        </w:rPr>
        <w:t>the party intending to rely on it. It is also trite law that as a matter of</w:t>
      </w:r>
      <w:r w:rsidR="00E321B9" w:rsidRPr="00B81BF6">
        <w:rPr>
          <w:rFonts w:ascii="Times New Roman" w:hAnsi="Times New Roman" w:cs="Times New Roman"/>
          <w:sz w:val="24"/>
          <w:szCs w:val="24"/>
        </w:rPr>
        <w:t xml:space="preserve"> </w:t>
      </w:r>
      <w:r w:rsidRPr="00B81BF6">
        <w:rPr>
          <w:rFonts w:ascii="Times New Roman" w:hAnsi="Times New Roman" w:cs="Times New Roman"/>
          <w:sz w:val="24"/>
          <w:szCs w:val="24"/>
        </w:rPr>
        <w:t>practice and</w:t>
      </w:r>
      <w:r w:rsidRPr="00B81BF6">
        <w:rPr>
          <w:rFonts w:ascii="Times New Roman" w:hAnsi="Times New Roman" w:cs="Times New Roman"/>
          <w:sz w:val="24"/>
          <w:szCs w:val="24"/>
        </w:rPr>
        <w:t xml:space="preserve"> convenience in civil cases, relevant customary law, if it is incapable of being judicially noticed, should be proved by evidence of expert opinion adduced by the parties"</w:t>
      </w:r>
    </w:p>
    <w:p w:rsidR="00650CC9" w:rsidRPr="00B81BF6" w:rsidRDefault="00B81BF6" w:rsidP="00B81BF6">
      <w:pPr>
        <w:pStyle w:val="BodyText1"/>
        <w:shd w:val="clear" w:color="auto" w:fill="auto"/>
        <w:spacing w:before="0" w:after="0" w:line="360" w:lineRule="auto"/>
        <w:ind w:left="620" w:right="1060" w:firstLine="0"/>
        <w:jc w:val="both"/>
        <w:rPr>
          <w:rFonts w:ascii="Times New Roman" w:hAnsi="Times New Roman" w:cs="Times New Roman"/>
          <w:sz w:val="24"/>
          <w:szCs w:val="24"/>
        </w:rPr>
      </w:pPr>
      <w:r w:rsidRPr="00B81BF6">
        <w:rPr>
          <w:rFonts w:ascii="Times New Roman" w:hAnsi="Times New Roman" w:cs="Times New Roman"/>
          <w:sz w:val="24"/>
          <w:szCs w:val="24"/>
        </w:rPr>
        <w:lastRenderedPageBreak/>
        <w:t>The claim of the respondent (as claimant) in the Tribunal is quite interesting. In t</w:t>
      </w:r>
      <w:r w:rsidRPr="00B81BF6">
        <w:rPr>
          <w:rFonts w:ascii="Times New Roman" w:hAnsi="Times New Roman" w:cs="Times New Roman"/>
          <w:sz w:val="24"/>
          <w:szCs w:val="24"/>
        </w:rPr>
        <w:t>he Amended Statement of Claim in the Tribunal dated 12</w:t>
      </w:r>
      <w:r w:rsidRPr="00B81BF6">
        <w:rPr>
          <w:rFonts w:ascii="Times New Roman" w:hAnsi="Times New Roman" w:cs="Times New Roman"/>
          <w:sz w:val="24"/>
          <w:szCs w:val="24"/>
          <w:vertAlign w:val="superscript"/>
        </w:rPr>
        <w:t>th</w:t>
      </w:r>
      <w:r w:rsidRPr="00B81BF6">
        <w:rPr>
          <w:rFonts w:ascii="Times New Roman" w:hAnsi="Times New Roman" w:cs="Times New Roman"/>
          <w:sz w:val="24"/>
          <w:szCs w:val="24"/>
        </w:rPr>
        <w:t xml:space="preserve"> August 2004 paragraph 5, it is written;</w:t>
      </w:r>
    </w:p>
    <w:p w:rsidR="00650CC9" w:rsidRPr="00B81BF6" w:rsidRDefault="00B81BF6" w:rsidP="00B81BF6">
      <w:pPr>
        <w:pStyle w:val="BodyText1"/>
        <w:shd w:val="clear" w:color="auto" w:fill="auto"/>
        <w:spacing w:before="0" w:after="0" w:line="360" w:lineRule="auto"/>
        <w:ind w:left="620" w:firstLine="0"/>
        <w:jc w:val="both"/>
        <w:rPr>
          <w:rFonts w:ascii="Times New Roman" w:hAnsi="Times New Roman" w:cs="Times New Roman"/>
          <w:sz w:val="24"/>
          <w:szCs w:val="24"/>
        </w:rPr>
      </w:pPr>
      <w:r w:rsidRPr="00B81BF6">
        <w:rPr>
          <w:rFonts w:ascii="Times New Roman" w:hAnsi="Times New Roman" w:cs="Times New Roman"/>
          <w:sz w:val="24"/>
          <w:szCs w:val="24"/>
        </w:rPr>
        <w:t>"5. The Cause of Action arose as hereunder:</w:t>
      </w:r>
    </w:p>
    <w:p w:rsidR="00650CC9" w:rsidRPr="00B81BF6" w:rsidRDefault="00B81BF6" w:rsidP="00B81BF6">
      <w:pPr>
        <w:pStyle w:val="BodyText1"/>
        <w:shd w:val="clear" w:color="auto" w:fill="auto"/>
        <w:tabs>
          <w:tab w:val="left" w:pos="1270"/>
        </w:tabs>
        <w:spacing w:before="0" w:after="0" w:line="360" w:lineRule="auto"/>
        <w:ind w:left="1360" w:right="1060"/>
        <w:jc w:val="both"/>
        <w:rPr>
          <w:rFonts w:ascii="Times New Roman" w:hAnsi="Times New Roman" w:cs="Times New Roman"/>
          <w:sz w:val="24"/>
          <w:szCs w:val="24"/>
        </w:rPr>
      </w:pPr>
      <w:r w:rsidRPr="00B81BF6">
        <w:rPr>
          <w:rFonts w:ascii="Times New Roman" w:hAnsi="Times New Roman" w:cs="Times New Roman"/>
          <w:sz w:val="24"/>
          <w:szCs w:val="24"/>
        </w:rPr>
        <w:t>5 (a) That on the 17</w:t>
      </w:r>
      <w:r w:rsidRPr="00B81BF6">
        <w:rPr>
          <w:rFonts w:ascii="Times New Roman" w:hAnsi="Times New Roman" w:cs="Times New Roman"/>
          <w:sz w:val="24"/>
          <w:szCs w:val="24"/>
          <w:vertAlign w:val="superscript"/>
        </w:rPr>
        <w:t>th</w:t>
      </w:r>
      <w:r w:rsidRPr="00B81BF6">
        <w:rPr>
          <w:rFonts w:ascii="Times New Roman" w:hAnsi="Times New Roman" w:cs="Times New Roman"/>
          <w:sz w:val="24"/>
          <w:szCs w:val="24"/>
        </w:rPr>
        <w:t xml:space="preserve"> August 2000 the claimant lawfully acquired a piece of land situate at Kyamugenzi LC 1, the s</w:t>
      </w:r>
      <w:r w:rsidRPr="00B81BF6">
        <w:rPr>
          <w:rFonts w:ascii="Times New Roman" w:hAnsi="Times New Roman" w:cs="Times New Roman"/>
          <w:sz w:val="24"/>
          <w:szCs w:val="24"/>
        </w:rPr>
        <w:t>ame having been given to him as a gift from the residents (Bataka) of Kyamugenzi, LC 1, Butema Parish, Buhanika Sub-county, Hoima District</w:t>
      </w:r>
    </w:p>
    <w:p w:rsidR="00650CC9" w:rsidRPr="00B81BF6" w:rsidRDefault="00B81BF6" w:rsidP="00B81BF6">
      <w:pPr>
        <w:pStyle w:val="BodyText1"/>
        <w:numPr>
          <w:ilvl w:val="0"/>
          <w:numId w:val="3"/>
        </w:numPr>
        <w:shd w:val="clear" w:color="auto" w:fill="auto"/>
        <w:tabs>
          <w:tab w:val="left" w:pos="1270"/>
          <w:tab w:val="left" w:pos="1914"/>
        </w:tabs>
        <w:spacing w:before="0" w:after="0" w:line="360" w:lineRule="auto"/>
        <w:ind w:left="80" w:right="1060" w:firstLine="920"/>
        <w:jc w:val="both"/>
        <w:rPr>
          <w:rFonts w:ascii="Times New Roman" w:hAnsi="Times New Roman" w:cs="Times New Roman"/>
          <w:sz w:val="24"/>
          <w:szCs w:val="24"/>
        </w:rPr>
      </w:pPr>
      <w:r w:rsidRPr="00B81BF6">
        <w:rPr>
          <w:rFonts w:ascii="Times New Roman" w:hAnsi="Times New Roman" w:cs="Times New Roman"/>
          <w:sz w:val="24"/>
          <w:szCs w:val="24"/>
        </w:rPr>
        <w:t xml:space="preserve">That the claimant immediately took possession thereof, constructed a </w:t>
      </w:r>
      <w:r w:rsidRPr="00B81BF6">
        <w:rPr>
          <w:rStyle w:val="BodytextPalatinoLinotype"/>
          <w:rFonts w:ascii="Times New Roman" w:hAnsi="Times New Roman" w:cs="Times New Roman"/>
          <w:sz w:val="24"/>
          <w:szCs w:val="24"/>
        </w:rPr>
        <w:t>j</w:t>
      </w:r>
      <w:r w:rsidRPr="00B81BF6">
        <w:rPr>
          <w:rStyle w:val="Bodytext65pt"/>
          <w:rFonts w:ascii="Times New Roman" w:hAnsi="Times New Roman" w:cs="Times New Roman"/>
          <w:sz w:val="24"/>
          <w:szCs w:val="24"/>
        </w:rPr>
        <w:tab/>
      </w:r>
      <w:r w:rsidRPr="00B81BF6">
        <w:rPr>
          <w:rFonts w:ascii="Times New Roman" w:hAnsi="Times New Roman" w:cs="Times New Roman"/>
          <w:sz w:val="24"/>
          <w:szCs w:val="24"/>
        </w:rPr>
        <w:t xml:space="preserve">semi-permanent residential house, fenced part </w:t>
      </w:r>
      <w:r w:rsidRPr="00B81BF6">
        <w:rPr>
          <w:rFonts w:ascii="Times New Roman" w:hAnsi="Times New Roman" w:cs="Times New Roman"/>
          <w:sz w:val="24"/>
          <w:szCs w:val="24"/>
        </w:rPr>
        <w:t>of the land and started</w:t>
      </w:r>
    </w:p>
    <w:p w:rsidR="00650CC9" w:rsidRPr="00B81BF6" w:rsidRDefault="00B81BF6" w:rsidP="00B81BF6">
      <w:pPr>
        <w:pStyle w:val="BodyText1"/>
        <w:shd w:val="clear" w:color="auto" w:fill="auto"/>
        <w:spacing w:before="0" w:after="0" w:line="360" w:lineRule="auto"/>
        <w:ind w:left="1360" w:firstLine="0"/>
        <w:jc w:val="both"/>
        <w:rPr>
          <w:rFonts w:ascii="Times New Roman" w:hAnsi="Times New Roman" w:cs="Times New Roman"/>
          <w:sz w:val="24"/>
          <w:szCs w:val="24"/>
        </w:rPr>
      </w:pPr>
      <w:r w:rsidRPr="00B81BF6">
        <w:rPr>
          <w:rFonts w:ascii="Times New Roman" w:hAnsi="Times New Roman" w:cs="Times New Roman"/>
          <w:sz w:val="24"/>
          <w:szCs w:val="24"/>
        </w:rPr>
        <w:t xml:space="preserve">practicing animal husbandry thereon..." </w:t>
      </w:r>
      <w:r w:rsidRPr="00B81BF6">
        <w:rPr>
          <w:rStyle w:val="BodytextItalic"/>
          <w:rFonts w:ascii="Times New Roman" w:hAnsi="Times New Roman" w:cs="Times New Roman"/>
          <w:sz w:val="24"/>
          <w:szCs w:val="24"/>
        </w:rPr>
        <w:t>[emphasis added)</w:t>
      </w:r>
    </w:p>
    <w:p w:rsidR="00650CC9" w:rsidRPr="00B81BF6" w:rsidRDefault="00B81BF6" w:rsidP="00B81BF6">
      <w:pPr>
        <w:pStyle w:val="BodyText1"/>
        <w:shd w:val="clear" w:color="auto" w:fill="auto"/>
        <w:spacing w:before="0" w:after="0" w:line="360" w:lineRule="auto"/>
        <w:ind w:left="620" w:right="1060" w:firstLine="0"/>
        <w:jc w:val="both"/>
        <w:rPr>
          <w:rFonts w:ascii="Times New Roman" w:hAnsi="Times New Roman" w:cs="Times New Roman"/>
          <w:sz w:val="24"/>
          <w:szCs w:val="24"/>
        </w:rPr>
      </w:pPr>
      <w:r w:rsidRPr="00B81BF6">
        <w:rPr>
          <w:rFonts w:ascii="Times New Roman" w:hAnsi="Times New Roman" w:cs="Times New Roman"/>
          <w:sz w:val="24"/>
          <w:szCs w:val="24"/>
        </w:rPr>
        <w:t>It is therefore clear that the respondent's legal claim to the land was that it was a gift to him from the Bataka. The respondent'</w:t>
      </w:r>
      <w:r w:rsidRPr="00B81BF6">
        <w:rPr>
          <w:rFonts w:ascii="Times New Roman" w:hAnsi="Times New Roman" w:cs="Times New Roman"/>
          <w:sz w:val="24"/>
          <w:szCs w:val="24"/>
        </w:rPr>
        <w:t xml:space="preserve">s pleadings are silent on the issue of customary tenure nor is there an averment that it was a custom in that </w:t>
      </w:r>
      <w:r w:rsidR="00E321B9" w:rsidRPr="00B81BF6">
        <w:rPr>
          <w:rFonts w:ascii="Times New Roman" w:hAnsi="Times New Roman" w:cs="Times New Roman"/>
          <w:sz w:val="24"/>
          <w:szCs w:val="24"/>
        </w:rPr>
        <w:t>area among</w:t>
      </w:r>
      <w:r w:rsidRPr="00B81BF6">
        <w:rPr>
          <w:rFonts w:ascii="Times New Roman" w:hAnsi="Times New Roman" w:cs="Times New Roman"/>
          <w:sz w:val="24"/>
          <w:szCs w:val="24"/>
        </w:rPr>
        <w:t xml:space="preserve"> the Banyoro to create a customary tenure through a gift from the Bataka. In any event it is </w:t>
      </w:r>
      <w:r w:rsidRPr="00B81BF6">
        <w:rPr>
          <w:rFonts w:ascii="Times New Roman" w:hAnsi="Times New Roman" w:cs="Times New Roman"/>
          <w:sz w:val="24"/>
          <w:szCs w:val="24"/>
        </w:rPr>
        <w:t xml:space="preserve"> trite law of pleadings that there shal</w:t>
      </w:r>
      <w:r w:rsidRPr="00B81BF6">
        <w:rPr>
          <w:rFonts w:ascii="Times New Roman" w:hAnsi="Times New Roman" w:cs="Times New Roman"/>
          <w:sz w:val="24"/>
          <w:szCs w:val="24"/>
        </w:rPr>
        <w:t>l be no departure from pleadings without the leave of the Court or tribunal. A perusal of the proceedings at the tribunal shows that no witness even referred to a form of customary tenure. Indeed even the question of customary tenure was not one of the 3 i</w:t>
      </w:r>
      <w:r w:rsidRPr="00B81BF6">
        <w:rPr>
          <w:rFonts w:ascii="Times New Roman" w:hAnsi="Times New Roman" w:cs="Times New Roman"/>
          <w:sz w:val="24"/>
          <w:szCs w:val="24"/>
        </w:rPr>
        <w:t xml:space="preserve">ssues </w:t>
      </w:r>
      <w:r w:rsidRPr="00B81BF6">
        <w:rPr>
          <w:rFonts w:ascii="Times New Roman" w:hAnsi="Times New Roman" w:cs="Times New Roman"/>
          <w:sz w:val="24"/>
          <w:szCs w:val="24"/>
        </w:rPr>
        <w:t xml:space="preserve"> to be determined by the Tribunal. It appears that the question of customary tenure was first raised during the submissions of the parties to the tribunal.</w:t>
      </w:r>
    </w:p>
    <w:p w:rsidR="00650CC9" w:rsidRPr="00B81BF6" w:rsidRDefault="00B81BF6" w:rsidP="00B81BF6">
      <w:pPr>
        <w:pStyle w:val="BodyText1"/>
        <w:shd w:val="clear" w:color="auto" w:fill="auto"/>
        <w:spacing w:before="0" w:after="1276" w:line="360" w:lineRule="auto"/>
        <w:ind w:left="80" w:right="1060" w:firstLine="0"/>
        <w:jc w:val="both"/>
        <w:rPr>
          <w:rFonts w:ascii="Times New Roman" w:hAnsi="Times New Roman" w:cs="Times New Roman"/>
          <w:sz w:val="24"/>
          <w:szCs w:val="24"/>
        </w:rPr>
      </w:pPr>
      <w:r w:rsidRPr="00B81BF6">
        <w:rPr>
          <w:rFonts w:ascii="Times New Roman" w:hAnsi="Times New Roman" w:cs="Times New Roman"/>
          <w:sz w:val="24"/>
          <w:szCs w:val="24"/>
        </w:rPr>
        <w:t>We have carefully perused the record, and it is our finding that there was no evidence led o</w:t>
      </w:r>
      <w:r w:rsidRPr="00B81BF6">
        <w:rPr>
          <w:rFonts w:ascii="Times New Roman" w:hAnsi="Times New Roman" w:cs="Times New Roman"/>
          <w:sz w:val="24"/>
          <w:szCs w:val="24"/>
        </w:rPr>
        <w:t xml:space="preserve">r adduced to prove the custom that LCs and the </w:t>
      </w:r>
      <w:r w:rsidRPr="00B81BF6">
        <w:rPr>
          <w:rStyle w:val="BodytextItalic"/>
          <w:rFonts w:ascii="Times New Roman" w:hAnsi="Times New Roman" w:cs="Times New Roman"/>
          <w:sz w:val="24"/>
          <w:szCs w:val="24"/>
        </w:rPr>
        <w:t>Bataka (local elders)</w:t>
      </w:r>
      <w:r w:rsidRPr="00B81BF6">
        <w:rPr>
          <w:rFonts w:ascii="Times New Roman" w:hAnsi="Times New Roman" w:cs="Times New Roman"/>
          <w:sz w:val="24"/>
          <w:szCs w:val="24"/>
        </w:rPr>
        <w:t xml:space="preserve"> can allocate land in the form of a gift from which arises a customary </w:t>
      </w:r>
      <w:r w:rsidRPr="00B81BF6">
        <w:rPr>
          <w:rFonts w:ascii="Times New Roman" w:hAnsi="Times New Roman" w:cs="Times New Roman"/>
          <w:sz w:val="24"/>
          <w:szCs w:val="24"/>
        </w:rPr>
        <w:t xml:space="preserve"> interest in Bunyoro. First and foremost, as found by the Land tribunal, ownership</w:t>
      </w:r>
    </w:p>
    <w:p w:rsidR="00650CC9" w:rsidRPr="00B81BF6" w:rsidRDefault="00650CC9" w:rsidP="00B81BF6">
      <w:pPr>
        <w:spacing w:line="360" w:lineRule="auto"/>
        <w:jc w:val="both"/>
        <w:rPr>
          <w:rFonts w:ascii="Times New Roman" w:hAnsi="Times New Roman" w:cs="Times New Roman"/>
        </w:rPr>
      </w:pPr>
    </w:p>
    <w:p w:rsidR="00650CC9" w:rsidRPr="00B81BF6" w:rsidRDefault="00650CC9" w:rsidP="00B81BF6">
      <w:pPr>
        <w:spacing w:line="360" w:lineRule="auto"/>
        <w:jc w:val="both"/>
        <w:rPr>
          <w:rFonts w:ascii="Times New Roman" w:hAnsi="Times New Roman" w:cs="Times New Roman"/>
        </w:rPr>
        <w:sectPr w:rsidR="00650CC9" w:rsidRPr="00B81BF6">
          <w:type w:val="continuous"/>
          <w:pgSz w:w="12240" w:h="18720"/>
          <w:pgMar w:top="1562" w:right="583" w:bottom="1456" w:left="607" w:header="0" w:footer="3" w:gutter="0"/>
          <w:cols w:space="720"/>
          <w:noEndnote/>
          <w:docGrid w:linePitch="360"/>
        </w:sectPr>
      </w:pPr>
    </w:p>
    <w:p w:rsidR="00650CC9" w:rsidRPr="00B81BF6" w:rsidRDefault="00B81BF6" w:rsidP="00B81BF6">
      <w:pPr>
        <w:pStyle w:val="BodyText1"/>
        <w:shd w:val="clear" w:color="auto" w:fill="auto"/>
        <w:spacing w:before="0" w:after="0" w:line="360" w:lineRule="auto"/>
        <w:ind w:left="80" w:right="560" w:firstLine="0"/>
        <w:jc w:val="both"/>
        <w:rPr>
          <w:rFonts w:ascii="Times New Roman" w:hAnsi="Times New Roman" w:cs="Times New Roman"/>
          <w:sz w:val="24"/>
          <w:szCs w:val="24"/>
        </w:rPr>
      </w:pPr>
      <w:r w:rsidRPr="00B81BF6">
        <w:rPr>
          <w:rFonts w:ascii="Times New Roman" w:hAnsi="Times New Roman" w:cs="Times New Roman"/>
          <w:sz w:val="24"/>
          <w:szCs w:val="24"/>
        </w:rPr>
        <w:lastRenderedPageBreak/>
        <w:t>of the suit property lay with the Hoima District Land Board by virtue of Section 59(l)(a) of the Land Act, Cap 227 a</w:t>
      </w:r>
      <w:r w:rsidRPr="00B81BF6">
        <w:rPr>
          <w:rFonts w:ascii="Times New Roman" w:hAnsi="Times New Roman" w:cs="Times New Roman"/>
          <w:sz w:val="24"/>
          <w:szCs w:val="24"/>
        </w:rPr>
        <w:t xml:space="preserve">nd not the Local Council or </w:t>
      </w:r>
      <w:r w:rsidRPr="00B81BF6">
        <w:rPr>
          <w:rStyle w:val="BodytextItalic"/>
          <w:rFonts w:ascii="Times New Roman" w:hAnsi="Times New Roman" w:cs="Times New Roman"/>
          <w:sz w:val="24"/>
          <w:szCs w:val="24"/>
        </w:rPr>
        <w:t>Bataka</w:t>
      </w:r>
      <w:r w:rsidRPr="00B81BF6">
        <w:rPr>
          <w:rFonts w:ascii="Times New Roman" w:hAnsi="Times New Roman" w:cs="Times New Roman"/>
          <w:sz w:val="24"/>
          <w:szCs w:val="24"/>
        </w:rPr>
        <w:t xml:space="preserve"> of the area.</w:t>
      </w:r>
    </w:p>
    <w:p w:rsidR="00650CC9" w:rsidRPr="00B81BF6" w:rsidRDefault="00B81BF6" w:rsidP="00B81BF6">
      <w:pPr>
        <w:pStyle w:val="BodyText1"/>
        <w:shd w:val="clear" w:color="auto" w:fill="auto"/>
        <w:spacing w:before="0" w:after="0" w:line="360" w:lineRule="auto"/>
        <w:ind w:left="620" w:firstLine="0"/>
        <w:jc w:val="both"/>
        <w:rPr>
          <w:rFonts w:ascii="Times New Roman" w:hAnsi="Times New Roman" w:cs="Times New Roman"/>
          <w:sz w:val="24"/>
          <w:szCs w:val="24"/>
        </w:rPr>
      </w:pPr>
      <w:r w:rsidRPr="00B81BF6">
        <w:rPr>
          <w:rFonts w:ascii="Times New Roman" w:hAnsi="Times New Roman" w:cs="Times New Roman"/>
          <w:sz w:val="24"/>
          <w:szCs w:val="24"/>
        </w:rPr>
        <w:t>The Tribunal found that:</w:t>
      </w:r>
    </w:p>
    <w:p w:rsidR="00650CC9" w:rsidRPr="00B81BF6" w:rsidRDefault="00B81BF6" w:rsidP="00B81BF6">
      <w:pPr>
        <w:pStyle w:val="Bodytext20"/>
        <w:shd w:val="clear" w:color="auto" w:fill="auto"/>
        <w:spacing w:after="0" w:line="360" w:lineRule="auto"/>
        <w:ind w:left="80" w:right="560" w:firstLine="0"/>
        <w:rPr>
          <w:rFonts w:ascii="Times New Roman" w:hAnsi="Times New Roman" w:cs="Times New Roman"/>
          <w:sz w:val="24"/>
          <w:szCs w:val="24"/>
        </w:rPr>
      </w:pPr>
      <w:r w:rsidRPr="00B81BF6">
        <w:rPr>
          <w:rFonts w:ascii="Times New Roman" w:hAnsi="Times New Roman" w:cs="Times New Roman"/>
          <w:sz w:val="24"/>
          <w:szCs w:val="24"/>
        </w:rPr>
        <w:t xml:space="preserve">"..We wish to note that we agree with counsel for the respondents' </w:t>
      </w:r>
      <w:r w:rsidR="00E321B9" w:rsidRPr="00B81BF6">
        <w:rPr>
          <w:rFonts w:ascii="Times New Roman" w:hAnsi="Times New Roman" w:cs="Times New Roman"/>
          <w:sz w:val="24"/>
          <w:szCs w:val="24"/>
        </w:rPr>
        <w:t xml:space="preserve">submission </w:t>
      </w:r>
      <w:r w:rsidR="00E321B9" w:rsidRPr="00B81BF6">
        <w:rPr>
          <w:rStyle w:val="Bodytext2NotItalic"/>
          <w:rFonts w:ascii="Times New Roman" w:hAnsi="Times New Roman" w:cs="Times New Roman"/>
          <w:sz w:val="24"/>
          <w:szCs w:val="24"/>
        </w:rPr>
        <w:t>that</w:t>
      </w:r>
      <w:r w:rsidRPr="00B81BF6">
        <w:rPr>
          <w:rFonts w:ascii="Times New Roman" w:hAnsi="Times New Roman" w:cs="Times New Roman"/>
          <w:sz w:val="24"/>
          <w:szCs w:val="24"/>
        </w:rPr>
        <w:t xml:space="preserve"> LCs or the Bataka do not own land in the district. We also wish to agree with Counsel for the </w:t>
      </w:r>
      <w:r w:rsidRPr="00B81BF6">
        <w:rPr>
          <w:rFonts w:ascii="Times New Roman" w:hAnsi="Times New Roman" w:cs="Times New Roman"/>
          <w:sz w:val="24"/>
          <w:szCs w:val="24"/>
        </w:rPr>
        <w:t>respondent's submission that land in the district, which does not belong to anybody, is held by (the) Land Board in the District in trust of the people and can be given out by the District Land Board..."</w:t>
      </w:r>
    </w:p>
    <w:p w:rsidR="00650CC9" w:rsidRPr="00B81BF6" w:rsidRDefault="00B81BF6" w:rsidP="00B81BF6">
      <w:pPr>
        <w:pStyle w:val="BodyText1"/>
        <w:shd w:val="clear" w:color="auto" w:fill="auto"/>
        <w:spacing w:before="0" w:after="0" w:line="360" w:lineRule="auto"/>
        <w:ind w:left="80" w:right="560" w:firstLine="560"/>
        <w:jc w:val="both"/>
        <w:rPr>
          <w:rFonts w:ascii="Times New Roman" w:hAnsi="Times New Roman" w:cs="Times New Roman"/>
          <w:sz w:val="24"/>
          <w:szCs w:val="24"/>
        </w:rPr>
      </w:pPr>
      <w:r w:rsidRPr="00B81BF6">
        <w:rPr>
          <w:rFonts w:ascii="Times New Roman" w:hAnsi="Times New Roman" w:cs="Times New Roman"/>
          <w:sz w:val="24"/>
          <w:szCs w:val="24"/>
        </w:rPr>
        <w:t xml:space="preserve">On this point of Law we find that the Tribunal made </w:t>
      </w:r>
      <w:r w:rsidRPr="00B81BF6">
        <w:rPr>
          <w:rFonts w:ascii="Times New Roman" w:hAnsi="Times New Roman" w:cs="Times New Roman"/>
          <w:sz w:val="24"/>
          <w:szCs w:val="24"/>
        </w:rPr>
        <w:t xml:space="preserve">a correct finding. The </w:t>
      </w:r>
      <w:r w:rsidRPr="00B81BF6">
        <w:rPr>
          <w:rFonts w:ascii="Times New Roman" w:hAnsi="Times New Roman" w:cs="Times New Roman"/>
          <w:sz w:val="24"/>
          <w:szCs w:val="24"/>
        </w:rPr>
        <w:t xml:space="preserve"> Tribunal however goes on to find:</w:t>
      </w:r>
    </w:p>
    <w:p w:rsidR="00650CC9" w:rsidRPr="00B81BF6" w:rsidRDefault="00B81BF6" w:rsidP="00B81BF6">
      <w:pPr>
        <w:pStyle w:val="Bodytext20"/>
        <w:shd w:val="clear" w:color="auto" w:fill="auto"/>
        <w:spacing w:after="0" w:line="360" w:lineRule="auto"/>
        <w:ind w:left="620" w:right="560" w:firstLine="0"/>
        <w:rPr>
          <w:rFonts w:ascii="Times New Roman" w:hAnsi="Times New Roman" w:cs="Times New Roman"/>
          <w:sz w:val="24"/>
          <w:szCs w:val="24"/>
        </w:rPr>
      </w:pPr>
      <w:r w:rsidRPr="00B81BF6">
        <w:rPr>
          <w:rFonts w:ascii="Times New Roman" w:hAnsi="Times New Roman" w:cs="Times New Roman"/>
          <w:sz w:val="24"/>
          <w:szCs w:val="24"/>
        </w:rPr>
        <w:t>"...Nevertheless, it is a practice that a person who does not want to acquire a registrable interest in the land can go to the local people of the area who upon allowing him to occupy such land whi</w:t>
      </w:r>
      <w:r w:rsidRPr="00B81BF6">
        <w:rPr>
          <w:rFonts w:ascii="Times New Roman" w:hAnsi="Times New Roman" w:cs="Times New Roman"/>
          <w:sz w:val="24"/>
          <w:szCs w:val="24"/>
        </w:rPr>
        <w:t>ch does not belong to anybody and upon occupation and developing such land, it becomes his/her customary holding..."</w:t>
      </w:r>
    </w:p>
    <w:p w:rsidR="00650CC9" w:rsidRPr="00B81BF6" w:rsidRDefault="00B81BF6" w:rsidP="00B81BF6">
      <w:pPr>
        <w:pStyle w:val="BodyText1"/>
        <w:shd w:val="clear" w:color="auto" w:fill="auto"/>
        <w:spacing w:before="0" w:after="0" w:line="360" w:lineRule="auto"/>
        <w:ind w:left="620" w:right="560" w:hanging="560"/>
        <w:jc w:val="both"/>
        <w:rPr>
          <w:rFonts w:ascii="Times New Roman" w:hAnsi="Times New Roman" w:cs="Times New Roman"/>
          <w:sz w:val="24"/>
          <w:szCs w:val="24"/>
        </w:rPr>
      </w:pPr>
      <w:r w:rsidRPr="00B81BF6">
        <w:rPr>
          <w:rFonts w:ascii="Times New Roman" w:hAnsi="Times New Roman" w:cs="Times New Roman"/>
          <w:sz w:val="24"/>
          <w:szCs w:val="24"/>
        </w:rPr>
        <w:t xml:space="preserve"> At the Tribunal, Businge Robert (PW2, Page 54 of the record being the notes of the Chair of the tribunal), the LC 1 Chairman at the time</w:t>
      </w:r>
      <w:r w:rsidRPr="00B81BF6">
        <w:rPr>
          <w:rFonts w:ascii="Times New Roman" w:hAnsi="Times New Roman" w:cs="Times New Roman"/>
          <w:sz w:val="24"/>
          <w:szCs w:val="24"/>
        </w:rPr>
        <w:t xml:space="preserve"> who was instrumental in giving the respondent the suit land testified that the suit land was about 80-100 acres which the respondent paid for by </w:t>
      </w:r>
      <w:r w:rsidRPr="00B81BF6">
        <w:rPr>
          <w:rStyle w:val="BodytextItalic"/>
          <w:rFonts w:ascii="Times New Roman" w:hAnsi="Times New Roman" w:cs="Times New Roman"/>
          <w:sz w:val="24"/>
          <w:szCs w:val="24"/>
        </w:rPr>
        <w:t>"...ekita kyomwenge"</w:t>
      </w:r>
      <w:r w:rsidRPr="00B81BF6">
        <w:rPr>
          <w:rFonts w:ascii="Times New Roman" w:hAnsi="Times New Roman" w:cs="Times New Roman"/>
          <w:sz w:val="24"/>
          <w:szCs w:val="24"/>
        </w:rPr>
        <w:t xml:space="preserve"> in terms of money (a calabash of beer).</w:t>
      </w:r>
    </w:p>
    <w:p w:rsidR="00650CC9" w:rsidRPr="00B81BF6" w:rsidRDefault="00650CC9" w:rsidP="00B81BF6">
      <w:pPr>
        <w:pStyle w:val="Bodytext40"/>
        <w:shd w:val="clear" w:color="auto" w:fill="auto"/>
        <w:spacing w:after="45" w:line="360" w:lineRule="auto"/>
        <w:ind w:left="620"/>
        <w:rPr>
          <w:rFonts w:ascii="Times New Roman" w:hAnsi="Times New Roman" w:cs="Times New Roman"/>
          <w:sz w:val="24"/>
          <w:szCs w:val="24"/>
        </w:rPr>
      </w:pPr>
    </w:p>
    <w:p w:rsidR="00E321B9" w:rsidRPr="00B81BF6" w:rsidRDefault="00B81BF6" w:rsidP="00B81BF6">
      <w:pPr>
        <w:pStyle w:val="BodyText1"/>
        <w:shd w:val="clear" w:color="auto" w:fill="auto"/>
        <w:spacing w:before="0" w:after="2356" w:line="360" w:lineRule="auto"/>
        <w:ind w:left="620" w:right="560" w:firstLine="0"/>
        <w:jc w:val="both"/>
        <w:rPr>
          <w:rFonts w:ascii="Times New Roman" w:hAnsi="Times New Roman" w:cs="Times New Roman"/>
          <w:sz w:val="24"/>
          <w:szCs w:val="24"/>
        </w:rPr>
      </w:pPr>
      <w:r w:rsidRPr="00B81BF6">
        <w:rPr>
          <w:rFonts w:ascii="Times New Roman" w:hAnsi="Times New Roman" w:cs="Times New Roman"/>
          <w:sz w:val="24"/>
          <w:szCs w:val="24"/>
        </w:rPr>
        <w:t xml:space="preserve">The first appellate Court found that the suit </w:t>
      </w:r>
      <w:r w:rsidRPr="00B81BF6">
        <w:rPr>
          <w:rFonts w:ascii="Times New Roman" w:hAnsi="Times New Roman" w:cs="Times New Roman"/>
          <w:sz w:val="24"/>
          <w:szCs w:val="24"/>
        </w:rPr>
        <w:t>land was vacant land and therefore fell under customary or traditional land tenure (P. 81 of the record). The learned appellate Judge then found:</w:t>
      </w:r>
    </w:p>
    <w:p w:rsidR="00B215DD" w:rsidRPr="00B81BF6" w:rsidRDefault="00B81BF6" w:rsidP="00B81BF6">
      <w:pPr>
        <w:pStyle w:val="BodyText1"/>
        <w:shd w:val="clear" w:color="auto" w:fill="auto"/>
        <w:spacing w:before="0" w:after="2356" w:line="360" w:lineRule="auto"/>
        <w:ind w:left="620" w:right="560" w:firstLine="0"/>
        <w:jc w:val="both"/>
        <w:rPr>
          <w:rFonts w:ascii="Times New Roman" w:hAnsi="Times New Roman" w:cs="Times New Roman"/>
          <w:sz w:val="24"/>
          <w:szCs w:val="24"/>
        </w:rPr>
      </w:pPr>
      <w:r w:rsidRPr="00B81BF6">
        <w:rPr>
          <w:rFonts w:ascii="Times New Roman" w:hAnsi="Times New Roman" w:cs="Times New Roman"/>
          <w:sz w:val="24"/>
          <w:szCs w:val="24"/>
        </w:rPr>
        <w:t>"...it is my finding that when the Respondent settled on the vacant land in question and developed it, he immediately acquired customary interest on the disputed land..."</w:t>
      </w:r>
    </w:p>
    <w:p w:rsidR="00650CC9" w:rsidRPr="00B81BF6" w:rsidRDefault="00B81BF6" w:rsidP="00B81BF6">
      <w:pPr>
        <w:pStyle w:val="BodyText1"/>
        <w:shd w:val="clear" w:color="auto" w:fill="auto"/>
        <w:spacing w:before="0" w:after="2356" w:line="360" w:lineRule="auto"/>
        <w:ind w:left="620" w:right="560" w:firstLine="0"/>
        <w:jc w:val="both"/>
        <w:rPr>
          <w:rFonts w:ascii="Times New Roman" w:hAnsi="Times New Roman" w:cs="Times New Roman"/>
          <w:sz w:val="24"/>
          <w:szCs w:val="24"/>
        </w:rPr>
      </w:pPr>
      <w:r w:rsidRPr="00B81BF6">
        <w:rPr>
          <w:rFonts w:ascii="Times New Roman" w:hAnsi="Times New Roman" w:cs="Times New Roman"/>
          <w:sz w:val="24"/>
          <w:szCs w:val="24"/>
        </w:rPr>
        <w:t>In order to have come to this finding the first appellate Court should have</w:t>
      </w:r>
      <w:r w:rsidRPr="00B81BF6">
        <w:rPr>
          <w:rFonts w:ascii="Times New Roman" w:hAnsi="Times New Roman" w:cs="Times New Roman"/>
          <w:sz w:val="24"/>
          <w:szCs w:val="24"/>
        </w:rPr>
        <w:t xml:space="preserve"> reviewed the evidence </w:t>
      </w:r>
      <w:r w:rsidRPr="00B81BF6">
        <w:rPr>
          <w:rFonts w:ascii="Times New Roman" w:hAnsi="Times New Roman" w:cs="Times New Roman"/>
          <w:sz w:val="24"/>
          <w:szCs w:val="24"/>
        </w:rPr>
        <w:lastRenderedPageBreak/>
        <w:t>on record and reconsidered the materials before the Tribunal. However clearly, there was no evidence adduced at the Tribunal as to whether the respondent had acquired a customary tenure on the suit land by way of a gift from the Bata</w:t>
      </w:r>
      <w:r w:rsidRPr="00B81BF6">
        <w:rPr>
          <w:rFonts w:ascii="Times New Roman" w:hAnsi="Times New Roman" w:cs="Times New Roman"/>
          <w:sz w:val="24"/>
          <w:szCs w:val="24"/>
        </w:rPr>
        <w:t>ka. If the Bataka did not own the land then how could they in law give it out as a gift which then became a customary tenure? What is even stranger is that a gift had to be paid for with a calabash of beer. We wonder what kind of gift that was.</w:t>
      </w:r>
    </w:p>
    <w:p w:rsidR="00650CC9" w:rsidRPr="00B81BF6" w:rsidRDefault="00B81BF6" w:rsidP="00B81BF6">
      <w:pPr>
        <w:pStyle w:val="BodyText1"/>
        <w:shd w:val="clear" w:color="auto" w:fill="auto"/>
        <w:spacing w:before="0" w:after="0" w:line="360" w:lineRule="auto"/>
        <w:ind w:left="60" w:right="20" w:firstLine="0"/>
        <w:jc w:val="both"/>
        <w:rPr>
          <w:rFonts w:ascii="Times New Roman" w:hAnsi="Times New Roman" w:cs="Times New Roman"/>
          <w:sz w:val="24"/>
          <w:szCs w:val="24"/>
        </w:rPr>
      </w:pPr>
      <w:r w:rsidRPr="00B81BF6">
        <w:rPr>
          <w:rFonts w:ascii="Times New Roman" w:hAnsi="Times New Roman" w:cs="Times New Roman"/>
          <w:sz w:val="24"/>
          <w:szCs w:val="24"/>
        </w:rPr>
        <w:t xml:space="preserve">Therefore, </w:t>
      </w:r>
      <w:r w:rsidRPr="00B81BF6">
        <w:rPr>
          <w:rFonts w:ascii="Times New Roman" w:hAnsi="Times New Roman" w:cs="Times New Roman"/>
          <w:sz w:val="24"/>
          <w:szCs w:val="24"/>
        </w:rPr>
        <w:t>without proof of that custom we do not agree with the finding of the Land Tribunal and the first appellate Court, that LCs and Bataka can grant customary land tenure. We also disagree with the finding that as a general rule when one occupies or develops la</w:t>
      </w:r>
      <w:r w:rsidRPr="00B81BF6">
        <w:rPr>
          <w:rFonts w:ascii="Times New Roman" w:hAnsi="Times New Roman" w:cs="Times New Roman"/>
          <w:sz w:val="24"/>
          <w:szCs w:val="24"/>
        </w:rPr>
        <w:t xml:space="preserve">nd then </w:t>
      </w:r>
      <w:r w:rsidRPr="00B81BF6">
        <w:rPr>
          <w:rStyle w:val="BodytextItalic"/>
          <w:rFonts w:ascii="Times New Roman" w:hAnsi="Times New Roman" w:cs="Times New Roman"/>
          <w:sz w:val="24"/>
          <w:szCs w:val="24"/>
        </w:rPr>
        <w:t>ipso facto,</w:t>
      </w:r>
      <w:r w:rsidRPr="00B81BF6">
        <w:rPr>
          <w:rFonts w:ascii="Times New Roman" w:hAnsi="Times New Roman" w:cs="Times New Roman"/>
          <w:sz w:val="24"/>
          <w:szCs w:val="24"/>
        </w:rPr>
        <w:t xml:space="preserve"> a customary interest is created. The effect of that holding is that no matter how one comes to the land, as long as one develops it, a customary interest is acquired. Even trespassers would then acquire interest on property which they o</w:t>
      </w:r>
      <w:r w:rsidRPr="00B81BF6">
        <w:rPr>
          <w:rFonts w:ascii="Times New Roman" w:hAnsi="Times New Roman" w:cs="Times New Roman"/>
          <w:sz w:val="24"/>
          <w:szCs w:val="24"/>
        </w:rPr>
        <w:t>therwise shouldn't. In any event this was not proven in evidence and, as a general proposition of customary law, would be unacceptable. It is clear from the authorities above that customary law must be accurately and definitely established and sweeping gen</w:t>
      </w:r>
      <w:r w:rsidRPr="00B81BF6">
        <w:rPr>
          <w:rFonts w:ascii="Times New Roman" w:hAnsi="Times New Roman" w:cs="Times New Roman"/>
          <w:sz w:val="24"/>
          <w:szCs w:val="24"/>
        </w:rPr>
        <w:t>eralities will not do under this test.</w:t>
      </w:r>
    </w:p>
    <w:p w:rsidR="00650CC9" w:rsidRPr="00B81BF6" w:rsidRDefault="00B81BF6" w:rsidP="00B81BF6">
      <w:pPr>
        <w:pStyle w:val="BodyText1"/>
        <w:shd w:val="clear" w:color="auto" w:fill="auto"/>
        <w:spacing w:before="0" w:after="0" w:line="360" w:lineRule="auto"/>
        <w:ind w:left="60" w:right="20" w:firstLine="0"/>
        <w:jc w:val="both"/>
        <w:rPr>
          <w:rFonts w:ascii="Times New Roman" w:hAnsi="Times New Roman" w:cs="Times New Roman"/>
          <w:sz w:val="24"/>
          <w:szCs w:val="24"/>
        </w:rPr>
      </w:pPr>
      <w:r w:rsidRPr="00B81BF6">
        <w:rPr>
          <w:rFonts w:ascii="Times New Roman" w:hAnsi="Times New Roman" w:cs="Times New Roman"/>
          <w:sz w:val="24"/>
          <w:szCs w:val="24"/>
        </w:rPr>
        <w:t xml:space="preserve">Native custom must be proved in evidence and cannot be obtained from the Court's assessors or supplied from the knowledge of the trial Judge </w:t>
      </w:r>
      <w:r w:rsidRPr="00B81BF6">
        <w:rPr>
          <w:rStyle w:val="BodytextItalic"/>
          <w:rFonts w:ascii="Times New Roman" w:hAnsi="Times New Roman" w:cs="Times New Roman"/>
          <w:sz w:val="24"/>
          <w:szCs w:val="24"/>
        </w:rPr>
        <w:t>[see: R v Ndembera s/o Mwandawale (1947)14 EACA 85).</w:t>
      </w:r>
      <w:r w:rsidRPr="00B81BF6">
        <w:rPr>
          <w:rFonts w:ascii="Times New Roman" w:hAnsi="Times New Roman" w:cs="Times New Roman"/>
          <w:sz w:val="24"/>
          <w:szCs w:val="24"/>
        </w:rPr>
        <w:t xml:space="preserve"> However, it seems to be</w:t>
      </w:r>
      <w:r w:rsidRPr="00B81BF6">
        <w:rPr>
          <w:rFonts w:ascii="Times New Roman" w:hAnsi="Times New Roman" w:cs="Times New Roman"/>
          <w:sz w:val="24"/>
          <w:szCs w:val="24"/>
        </w:rPr>
        <w:t xml:space="preserve"> the case here as the Land Tribunal held that this was common practice in Bunyoro without any proof from the respondent, which burden lay upon him to accurately and definitely prove. In this regard the respondent did not in law discharge the required stand</w:t>
      </w:r>
      <w:r w:rsidRPr="00B81BF6">
        <w:rPr>
          <w:rFonts w:ascii="Times New Roman" w:hAnsi="Times New Roman" w:cs="Times New Roman"/>
          <w:sz w:val="24"/>
          <w:szCs w:val="24"/>
        </w:rPr>
        <w:t>ard of proof as no experts were brought to guide the Court on any existing customs relating to land nor were any scholarly materials of customary land law in Bunyoro referred to. In this regard, the appellate Court in reaching its findings did not apply th</w:t>
      </w:r>
      <w:r w:rsidRPr="00B81BF6">
        <w:rPr>
          <w:rFonts w:ascii="Times New Roman" w:hAnsi="Times New Roman" w:cs="Times New Roman"/>
          <w:sz w:val="24"/>
          <w:szCs w:val="24"/>
        </w:rPr>
        <w:t>e principles required of the first appellate Court to review and reconsider the evidence and materials before it on this ground.</w:t>
      </w:r>
    </w:p>
    <w:p w:rsidR="00650CC9" w:rsidRPr="00B81BF6" w:rsidRDefault="00B81BF6" w:rsidP="00B81BF6">
      <w:pPr>
        <w:pStyle w:val="BodyText1"/>
        <w:shd w:val="clear" w:color="auto" w:fill="auto"/>
        <w:spacing w:before="0" w:after="0" w:line="360" w:lineRule="auto"/>
        <w:ind w:left="60" w:right="40" w:firstLine="0"/>
        <w:jc w:val="both"/>
        <w:rPr>
          <w:rFonts w:ascii="Times New Roman" w:hAnsi="Times New Roman" w:cs="Times New Roman"/>
          <w:sz w:val="24"/>
          <w:szCs w:val="24"/>
        </w:rPr>
      </w:pPr>
      <w:r w:rsidRPr="00B81BF6">
        <w:rPr>
          <w:rFonts w:ascii="Times New Roman" w:hAnsi="Times New Roman" w:cs="Times New Roman"/>
          <w:sz w:val="24"/>
          <w:szCs w:val="24"/>
        </w:rPr>
        <w:t>We therefore find that the appellate Court erred in upholding the finding that when the Bataka gave the respondent the suit lan</w:t>
      </w:r>
      <w:r w:rsidRPr="00B81BF6">
        <w:rPr>
          <w:rFonts w:ascii="Times New Roman" w:hAnsi="Times New Roman" w:cs="Times New Roman"/>
          <w:sz w:val="24"/>
          <w:szCs w:val="24"/>
        </w:rPr>
        <w:t>d in 2000 that amounted to a customary tenure as there is no evidence to support that finding of fact.</w:t>
      </w:r>
    </w:p>
    <w:p w:rsidR="00650CC9" w:rsidRPr="00B81BF6" w:rsidRDefault="00B81BF6" w:rsidP="00B81BF6">
      <w:pPr>
        <w:pStyle w:val="BodyText1"/>
        <w:shd w:val="clear" w:color="auto" w:fill="auto"/>
        <w:spacing w:before="0" w:after="859" w:line="360" w:lineRule="auto"/>
        <w:ind w:left="60" w:firstLine="0"/>
        <w:jc w:val="both"/>
        <w:rPr>
          <w:rFonts w:ascii="Times New Roman" w:hAnsi="Times New Roman" w:cs="Times New Roman"/>
          <w:sz w:val="24"/>
          <w:szCs w:val="24"/>
        </w:rPr>
      </w:pPr>
      <w:r w:rsidRPr="00B81BF6">
        <w:rPr>
          <w:rFonts w:ascii="Times New Roman" w:hAnsi="Times New Roman" w:cs="Times New Roman"/>
          <w:sz w:val="24"/>
          <w:szCs w:val="24"/>
        </w:rPr>
        <w:t>This ground of appeal therefore succeeds.</w:t>
      </w:r>
    </w:p>
    <w:p w:rsidR="00650CC9" w:rsidRPr="00B81BF6" w:rsidRDefault="00B81BF6" w:rsidP="00B81BF6">
      <w:pPr>
        <w:pStyle w:val="BodyText1"/>
        <w:shd w:val="clear" w:color="auto" w:fill="auto"/>
        <w:spacing w:before="0" w:after="217" w:line="360" w:lineRule="auto"/>
        <w:ind w:left="60" w:firstLine="0"/>
        <w:jc w:val="both"/>
        <w:rPr>
          <w:rFonts w:ascii="Times New Roman" w:hAnsi="Times New Roman" w:cs="Times New Roman"/>
          <w:sz w:val="24"/>
          <w:szCs w:val="24"/>
        </w:rPr>
      </w:pPr>
      <w:r w:rsidRPr="00B81BF6">
        <w:rPr>
          <w:rFonts w:ascii="Times New Roman" w:hAnsi="Times New Roman" w:cs="Times New Roman"/>
          <w:sz w:val="24"/>
          <w:szCs w:val="24"/>
        </w:rPr>
        <w:t>Ground 2:</w:t>
      </w:r>
    </w:p>
    <w:p w:rsidR="00650CC9" w:rsidRPr="00B81BF6" w:rsidRDefault="00B81BF6" w:rsidP="00B81BF6">
      <w:pPr>
        <w:pStyle w:val="BodyText1"/>
        <w:shd w:val="clear" w:color="auto" w:fill="auto"/>
        <w:spacing w:before="0" w:after="319" w:line="360" w:lineRule="auto"/>
        <w:ind w:left="760" w:right="40" w:firstLine="0"/>
        <w:jc w:val="both"/>
        <w:rPr>
          <w:rFonts w:ascii="Times New Roman" w:hAnsi="Times New Roman" w:cs="Times New Roman"/>
          <w:sz w:val="24"/>
          <w:szCs w:val="24"/>
        </w:rPr>
      </w:pPr>
      <w:r w:rsidRPr="00B81BF6">
        <w:rPr>
          <w:rFonts w:ascii="Times New Roman" w:hAnsi="Times New Roman" w:cs="Times New Roman"/>
          <w:sz w:val="24"/>
          <w:szCs w:val="24"/>
        </w:rPr>
        <w:lastRenderedPageBreak/>
        <w:t>The learned Judge erred in law when he omitted to take into consideration that the first appellant ha</w:t>
      </w:r>
      <w:r w:rsidRPr="00B81BF6">
        <w:rPr>
          <w:rFonts w:ascii="Times New Roman" w:hAnsi="Times New Roman" w:cs="Times New Roman"/>
          <w:sz w:val="24"/>
          <w:szCs w:val="24"/>
        </w:rPr>
        <w:t>d obtained a lease offer from the lawful authority mandated to deal with the land in dispute.</w:t>
      </w:r>
    </w:p>
    <w:p w:rsidR="00650CC9" w:rsidRPr="00B81BF6" w:rsidRDefault="00B81BF6" w:rsidP="00B81BF6">
      <w:pPr>
        <w:pStyle w:val="BodyText1"/>
        <w:shd w:val="clear" w:color="auto" w:fill="auto"/>
        <w:spacing w:before="0" w:after="221" w:line="360" w:lineRule="auto"/>
        <w:ind w:left="60" w:firstLine="0"/>
        <w:jc w:val="both"/>
        <w:rPr>
          <w:rFonts w:ascii="Times New Roman" w:hAnsi="Times New Roman" w:cs="Times New Roman"/>
          <w:sz w:val="24"/>
          <w:szCs w:val="24"/>
        </w:rPr>
      </w:pPr>
      <w:r w:rsidRPr="00B81BF6">
        <w:rPr>
          <w:rFonts w:ascii="Times New Roman" w:hAnsi="Times New Roman" w:cs="Times New Roman"/>
          <w:sz w:val="24"/>
          <w:szCs w:val="24"/>
        </w:rPr>
        <w:t>Arguments for the Appellant</w:t>
      </w:r>
    </w:p>
    <w:p w:rsidR="00650CC9" w:rsidRPr="00B81BF6" w:rsidRDefault="00B81BF6" w:rsidP="00B81BF6">
      <w:pPr>
        <w:pStyle w:val="BodyText1"/>
        <w:shd w:val="clear" w:color="auto" w:fill="auto"/>
        <w:spacing w:before="0" w:after="0" w:line="360" w:lineRule="auto"/>
        <w:ind w:left="60" w:right="40" w:firstLine="0"/>
        <w:jc w:val="both"/>
        <w:rPr>
          <w:rFonts w:ascii="Times New Roman" w:hAnsi="Times New Roman" w:cs="Times New Roman"/>
          <w:sz w:val="24"/>
          <w:szCs w:val="24"/>
        </w:rPr>
      </w:pPr>
      <w:r w:rsidRPr="00B81BF6">
        <w:rPr>
          <w:rFonts w:ascii="Times New Roman" w:hAnsi="Times New Roman" w:cs="Times New Roman"/>
          <w:sz w:val="24"/>
          <w:szCs w:val="24"/>
        </w:rPr>
        <w:t xml:space="preserve">Counsel submitted that the first appellant applied for a lease over the suit land in 1995 and his application was considered and </w:t>
      </w:r>
      <w:r w:rsidRPr="00B81BF6">
        <w:rPr>
          <w:rFonts w:ascii="Times New Roman" w:hAnsi="Times New Roman" w:cs="Times New Roman"/>
          <w:sz w:val="24"/>
          <w:szCs w:val="24"/>
        </w:rPr>
        <w:t>approved by the Department of Land Administration, Ministry of Lands vide ULC MIN: 3/95(a) 25 of 6/3/1995 Appl. No. 5927. The appellant received a lease offer from the Commissioner Land Administration dated 30</w:t>
      </w:r>
      <w:r w:rsidRPr="00B81BF6">
        <w:rPr>
          <w:rFonts w:ascii="Times New Roman" w:hAnsi="Times New Roman" w:cs="Times New Roman"/>
          <w:sz w:val="24"/>
          <w:szCs w:val="24"/>
          <w:vertAlign w:val="superscript"/>
        </w:rPr>
        <w:t>th</w:t>
      </w:r>
      <w:r w:rsidRPr="00B81BF6">
        <w:rPr>
          <w:rFonts w:ascii="Times New Roman" w:hAnsi="Times New Roman" w:cs="Times New Roman"/>
          <w:sz w:val="24"/>
          <w:szCs w:val="24"/>
        </w:rPr>
        <w:t xml:space="preserve"> January 1998. In that respect, the appellant</w:t>
      </w:r>
      <w:r w:rsidRPr="00B81BF6">
        <w:rPr>
          <w:rFonts w:ascii="Times New Roman" w:hAnsi="Times New Roman" w:cs="Times New Roman"/>
          <w:sz w:val="24"/>
          <w:szCs w:val="24"/>
        </w:rPr>
        <w:t xml:space="preserve"> acquired equitable interest which only required to be perfected into a legal interest; unlike</w:t>
      </w:r>
      <w:r w:rsidR="00B215DD" w:rsidRPr="00B81BF6">
        <w:rPr>
          <w:rFonts w:ascii="Times New Roman" w:hAnsi="Times New Roman" w:cs="Times New Roman"/>
          <w:sz w:val="24"/>
          <w:szCs w:val="24"/>
        </w:rPr>
        <w:t xml:space="preserve"> </w:t>
      </w:r>
      <w:r w:rsidRPr="00B81BF6">
        <w:rPr>
          <w:rFonts w:ascii="Times New Roman" w:hAnsi="Times New Roman" w:cs="Times New Roman"/>
          <w:sz w:val="24"/>
          <w:szCs w:val="24"/>
        </w:rPr>
        <w:t xml:space="preserve">the respondent who had no title at all. Counsel for the appellant also submitted that the </w:t>
      </w:r>
      <w:r w:rsidRPr="00B81BF6">
        <w:rPr>
          <w:rStyle w:val="BodytextItalic"/>
          <w:rFonts w:ascii="Times New Roman" w:hAnsi="Times New Roman" w:cs="Times New Roman"/>
          <w:sz w:val="24"/>
          <w:szCs w:val="24"/>
        </w:rPr>
        <w:t>Bataka</w:t>
      </w:r>
      <w:r w:rsidRPr="00B81BF6">
        <w:rPr>
          <w:rFonts w:ascii="Times New Roman" w:hAnsi="Times New Roman" w:cs="Times New Roman"/>
          <w:sz w:val="24"/>
          <w:szCs w:val="24"/>
        </w:rPr>
        <w:t xml:space="preserve"> and LCs had no authority to give vacant land to the respondent w</w:t>
      </w:r>
      <w:r w:rsidRPr="00B81BF6">
        <w:rPr>
          <w:rFonts w:ascii="Times New Roman" w:hAnsi="Times New Roman" w:cs="Times New Roman"/>
          <w:sz w:val="24"/>
          <w:szCs w:val="24"/>
        </w:rPr>
        <w:t xml:space="preserve">hen the authority over suit land lay with the Hoima District Land Board. Consequently, the grant of the suit land by the </w:t>
      </w:r>
      <w:r w:rsidRPr="00B81BF6">
        <w:rPr>
          <w:rStyle w:val="BodytextItalic"/>
          <w:rFonts w:ascii="Times New Roman" w:hAnsi="Times New Roman" w:cs="Times New Roman"/>
          <w:sz w:val="24"/>
          <w:szCs w:val="24"/>
        </w:rPr>
        <w:t>Bataka</w:t>
      </w:r>
      <w:r w:rsidRPr="00B81BF6">
        <w:rPr>
          <w:rFonts w:ascii="Times New Roman" w:hAnsi="Times New Roman" w:cs="Times New Roman"/>
          <w:sz w:val="24"/>
          <w:szCs w:val="24"/>
        </w:rPr>
        <w:t xml:space="preserve"> and LCs when the </w:t>
      </w:r>
      <w:r w:rsidR="00B215DD" w:rsidRPr="00B81BF6">
        <w:rPr>
          <w:rFonts w:ascii="Times New Roman" w:hAnsi="Times New Roman" w:cs="Times New Roman"/>
          <w:sz w:val="24"/>
          <w:szCs w:val="24"/>
        </w:rPr>
        <w:t>District Land</w:t>
      </w:r>
      <w:r w:rsidRPr="00B81BF6">
        <w:rPr>
          <w:rFonts w:ascii="Times New Roman" w:hAnsi="Times New Roman" w:cs="Times New Roman"/>
          <w:sz w:val="24"/>
          <w:szCs w:val="24"/>
        </w:rPr>
        <w:t xml:space="preserve"> Board had already previously allocated the same land to the first appellant was unlawful and did not vest any title in him.</w:t>
      </w:r>
    </w:p>
    <w:p w:rsidR="00650CC9" w:rsidRPr="00B81BF6" w:rsidRDefault="00B81BF6" w:rsidP="00B81BF6">
      <w:pPr>
        <w:pStyle w:val="BodyText1"/>
        <w:shd w:val="clear" w:color="auto" w:fill="auto"/>
        <w:spacing w:before="0" w:after="379" w:line="360" w:lineRule="auto"/>
        <w:ind w:left="60" w:right="20" w:firstLine="560"/>
        <w:jc w:val="both"/>
        <w:rPr>
          <w:rFonts w:ascii="Times New Roman" w:hAnsi="Times New Roman" w:cs="Times New Roman"/>
          <w:sz w:val="24"/>
          <w:szCs w:val="24"/>
        </w:rPr>
      </w:pPr>
      <w:r w:rsidRPr="00B81BF6">
        <w:rPr>
          <w:rFonts w:ascii="Times New Roman" w:hAnsi="Times New Roman" w:cs="Times New Roman"/>
          <w:sz w:val="24"/>
          <w:szCs w:val="24"/>
        </w:rPr>
        <w:t>Counsel for the appellant further argued that assuming, the respondent had also acquired an equita</w:t>
      </w:r>
      <w:r w:rsidRPr="00B81BF6">
        <w:rPr>
          <w:rFonts w:ascii="Times New Roman" w:hAnsi="Times New Roman" w:cs="Times New Roman"/>
          <w:sz w:val="24"/>
          <w:szCs w:val="24"/>
        </w:rPr>
        <w:t xml:space="preserve">ble interest, then it followed that the first appellant's interest was the first in time. In this regard he relied on the authority of John </w:t>
      </w:r>
      <w:r w:rsidR="00B215DD" w:rsidRPr="00B81BF6">
        <w:rPr>
          <w:rFonts w:ascii="Times New Roman" w:hAnsi="Times New Roman" w:cs="Times New Roman"/>
          <w:sz w:val="24"/>
          <w:szCs w:val="24"/>
        </w:rPr>
        <w:t>Katarikawe v</w:t>
      </w:r>
      <w:r w:rsidRPr="00B81BF6">
        <w:rPr>
          <w:rFonts w:ascii="Times New Roman" w:hAnsi="Times New Roman" w:cs="Times New Roman"/>
          <w:sz w:val="24"/>
          <w:szCs w:val="24"/>
        </w:rPr>
        <w:t xml:space="preserve"> William Katwiremu (1977) HCB 187.</w:t>
      </w:r>
    </w:p>
    <w:p w:rsidR="00650CC9" w:rsidRPr="00B81BF6" w:rsidRDefault="00B81BF6" w:rsidP="00B81BF6">
      <w:pPr>
        <w:pStyle w:val="Heading30"/>
        <w:keepNext/>
        <w:keepLines/>
        <w:shd w:val="clear" w:color="auto" w:fill="auto"/>
        <w:spacing w:before="0" w:after="217" w:line="360" w:lineRule="auto"/>
        <w:ind w:left="620"/>
        <w:jc w:val="both"/>
        <w:rPr>
          <w:rFonts w:ascii="Times New Roman" w:hAnsi="Times New Roman" w:cs="Times New Roman"/>
          <w:sz w:val="24"/>
          <w:szCs w:val="24"/>
        </w:rPr>
      </w:pPr>
      <w:bookmarkStart w:id="3" w:name="bookmark4"/>
      <w:r w:rsidRPr="00B81BF6">
        <w:rPr>
          <w:rFonts w:ascii="Times New Roman" w:hAnsi="Times New Roman" w:cs="Times New Roman"/>
          <w:sz w:val="24"/>
          <w:szCs w:val="24"/>
        </w:rPr>
        <w:t>Arguments for the Respondent</w:t>
      </w:r>
      <w:bookmarkEnd w:id="3"/>
    </w:p>
    <w:p w:rsidR="00650CC9" w:rsidRPr="00B81BF6" w:rsidRDefault="00B81BF6" w:rsidP="00B81BF6">
      <w:pPr>
        <w:pStyle w:val="BodyText1"/>
        <w:shd w:val="clear" w:color="auto" w:fill="auto"/>
        <w:spacing w:before="0" w:after="1039" w:line="360" w:lineRule="auto"/>
        <w:ind w:left="620" w:right="20" w:firstLine="0"/>
        <w:jc w:val="both"/>
        <w:rPr>
          <w:rFonts w:ascii="Times New Roman" w:hAnsi="Times New Roman" w:cs="Times New Roman"/>
          <w:sz w:val="24"/>
          <w:szCs w:val="24"/>
        </w:rPr>
      </w:pPr>
      <w:r w:rsidRPr="00B81BF6">
        <w:rPr>
          <w:rFonts w:ascii="Times New Roman" w:hAnsi="Times New Roman" w:cs="Times New Roman"/>
          <w:sz w:val="24"/>
          <w:szCs w:val="24"/>
        </w:rPr>
        <w:t xml:space="preserve">Counsel for the respondent submitted </w:t>
      </w:r>
      <w:r w:rsidRPr="00B81BF6">
        <w:rPr>
          <w:rFonts w:ascii="Times New Roman" w:hAnsi="Times New Roman" w:cs="Times New Roman"/>
          <w:sz w:val="24"/>
          <w:szCs w:val="24"/>
        </w:rPr>
        <w:t xml:space="preserve">that the lease offer given to the appellant did not create any interest in the suit land. It was merely an </w:t>
      </w:r>
      <w:r w:rsidR="00B215DD" w:rsidRPr="00B81BF6">
        <w:rPr>
          <w:rFonts w:ascii="Times New Roman" w:hAnsi="Times New Roman" w:cs="Times New Roman"/>
          <w:sz w:val="24"/>
          <w:szCs w:val="24"/>
        </w:rPr>
        <w:t>“</w:t>
      </w:r>
      <w:r w:rsidRPr="00B81BF6">
        <w:rPr>
          <w:rStyle w:val="BodytextItalic"/>
          <w:rFonts w:ascii="Times New Roman" w:hAnsi="Times New Roman" w:cs="Times New Roman"/>
          <w:sz w:val="24"/>
          <w:szCs w:val="24"/>
        </w:rPr>
        <w:t>offer</w:t>
      </w:r>
      <w:r w:rsidR="00B215DD" w:rsidRPr="00B81BF6">
        <w:rPr>
          <w:rStyle w:val="BodytextItalic"/>
          <w:rFonts w:ascii="Times New Roman" w:hAnsi="Times New Roman" w:cs="Times New Roman"/>
          <w:sz w:val="24"/>
          <w:szCs w:val="24"/>
        </w:rPr>
        <w:t>”</w:t>
      </w:r>
      <w:r w:rsidRPr="00B81BF6">
        <w:rPr>
          <w:rFonts w:ascii="Times New Roman" w:hAnsi="Times New Roman" w:cs="Times New Roman"/>
          <w:sz w:val="24"/>
          <w:szCs w:val="24"/>
        </w:rPr>
        <w:t xml:space="preserve"> as the title suggests and was subject to the land being available and free from disputes at the is time of the survey. Counsel pointed out t</w:t>
      </w:r>
      <w:r w:rsidRPr="00B81BF6">
        <w:rPr>
          <w:rFonts w:ascii="Times New Roman" w:hAnsi="Times New Roman" w:cs="Times New Roman"/>
          <w:sz w:val="24"/>
          <w:szCs w:val="24"/>
        </w:rPr>
        <w:t>hat the land was never even surveyed as the respondent disrupted the exercise. He contested the interest of Babyesiza which the first appellant allegedly acquired because there is no evidence to show that he either occupied the land or made any development</w:t>
      </w:r>
      <w:r w:rsidRPr="00B81BF6">
        <w:rPr>
          <w:rFonts w:ascii="Times New Roman" w:hAnsi="Times New Roman" w:cs="Times New Roman"/>
          <w:sz w:val="24"/>
          <w:szCs w:val="24"/>
        </w:rPr>
        <w:t xml:space="preserve">s on it. Therefore, the appellant did not have either equitable or legal interest on the land and this </w:t>
      </w:r>
      <w:r w:rsidRPr="00B81BF6">
        <w:rPr>
          <w:rFonts w:ascii="Times New Roman" w:hAnsi="Times New Roman" w:cs="Times New Roman"/>
          <w:sz w:val="24"/>
          <w:szCs w:val="24"/>
        </w:rPr>
        <w:t xml:space="preserve"> appeal should be dismissed for lack of merit.</w:t>
      </w:r>
    </w:p>
    <w:p w:rsidR="00650CC9" w:rsidRPr="00B81BF6" w:rsidRDefault="00B81BF6" w:rsidP="00B81BF6">
      <w:pPr>
        <w:pStyle w:val="BodyText1"/>
        <w:shd w:val="clear" w:color="auto" w:fill="auto"/>
        <w:spacing w:before="0" w:after="407" w:line="360" w:lineRule="auto"/>
        <w:ind w:left="620" w:firstLine="0"/>
        <w:jc w:val="both"/>
        <w:rPr>
          <w:rFonts w:ascii="Times New Roman" w:hAnsi="Times New Roman" w:cs="Times New Roman"/>
          <w:sz w:val="24"/>
          <w:szCs w:val="24"/>
        </w:rPr>
      </w:pPr>
      <w:r w:rsidRPr="00B81BF6">
        <w:rPr>
          <w:rFonts w:ascii="Times New Roman" w:hAnsi="Times New Roman" w:cs="Times New Roman"/>
          <w:sz w:val="24"/>
          <w:szCs w:val="24"/>
        </w:rPr>
        <w:t>Resolution by the Court</w:t>
      </w:r>
    </w:p>
    <w:p w:rsidR="00650CC9" w:rsidRPr="00B81BF6" w:rsidRDefault="00B81BF6" w:rsidP="00B81BF6">
      <w:pPr>
        <w:pStyle w:val="BodyText1"/>
        <w:shd w:val="clear" w:color="auto" w:fill="auto"/>
        <w:spacing w:before="0" w:after="0" w:line="360" w:lineRule="auto"/>
        <w:ind w:left="620" w:firstLine="0"/>
        <w:jc w:val="both"/>
        <w:rPr>
          <w:rFonts w:ascii="Times New Roman" w:hAnsi="Times New Roman" w:cs="Times New Roman"/>
          <w:sz w:val="24"/>
          <w:szCs w:val="24"/>
        </w:rPr>
        <w:sectPr w:rsidR="00650CC9" w:rsidRPr="00B81BF6">
          <w:footerReference w:type="even" r:id="rId12"/>
          <w:footerReference w:type="default" r:id="rId13"/>
          <w:headerReference w:type="first" r:id="rId14"/>
          <w:footerReference w:type="first" r:id="rId15"/>
          <w:type w:val="continuous"/>
          <w:pgSz w:w="12240" w:h="18720"/>
          <w:pgMar w:top="1701" w:right="1034" w:bottom="2282" w:left="626" w:header="0" w:footer="3" w:gutter="0"/>
          <w:cols w:space="720"/>
          <w:noEndnote/>
          <w:titlePg/>
          <w:docGrid w:linePitch="360"/>
        </w:sectPr>
      </w:pPr>
      <w:r w:rsidRPr="00B81BF6">
        <w:rPr>
          <w:rFonts w:ascii="Times New Roman" w:hAnsi="Times New Roman" w:cs="Times New Roman"/>
          <w:sz w:val="24"/>
          <w:szCs w:val="24"/>
        </w:rPr>
        <w:t>We have considered the submissions of both parties for which we are grateful.</w:t>
      </w:r>
    </w:p>
    <w:p w:rsidR="00650CC9" w:rsidRPr="00B81BF6" w:rsidRDefault="00B81BF6" w:rsidP="00B81BF6">
      <w:pPr>
        <w:pStyle w:val="BodyText1"/>
        <w:shd w:val="clear" w:color="auto" w:fill="auto"/>
        <w:spacing w:before="0" w:after="176" w:line="360" w:lineRule="auto"/>
        <w:ind w:left="40" w:right="20" w:firstLine="0"/>
        <w:jc w:val="both"/>
        <w:rPr>
          <w:rFonts w:ascii="Times New Roman" w:hAnsi="Times New Roman" w:cs="Times New Roman"/>
          <w:sz w:val="24"/>
          <w:szCs w:val="24"/>
        </w:rPr>
      </w:pPr>
      <w:r w:rsidRPr="00B81BF6">
        <w:rPr>
          <w:rFonts w:ascii="Times New Roman" w:hAnsi="Times New Roman" w:cs="Times New Roman"/>
          <w:sz w:val="24"/>
          <w:szCs w:val="24"/>
        </w:rPr>
        <w:lastRenderedPageBreak/>
        <w:t xml:space="preserve">the respondent testified that the offer to the first appellant from the Hoima Land Board of 1998 was a forgery. However during the </w:t>
      </w:r>
      <w:r w:rsidRPr="00B81BF6">
        <w:rPr>
          <w:rFonts w:ascii="Times New Roman" w:hAnsi="Times New Roman" w:cs="Times New Roman"/>
          <w:sz w:val="24"/>
          <w:szCs w:val="24"/>
        </w:rPr>
        <w:t>hearing before the Tribunal the allegation of forgery or fraud was not proved in evidence.</w:t>
      </w:r>
    </w:p>
    <w:p w:rsidR="00650CC9" w:rsidRPr="00B81BF6" w:rsidRDefault="00B81BF6" w:rsidP="00B81BF6">
      <w:pPr>
        <w:pStyle w:val="BodyText1"/>
        <w:shd w:val="clear" w:color="auto" w:fill="auto"/>
        <w:spacing w:before="0" w:after="180" w:line="360" w:lineRule="auto"/>
        <w:ind w:left="40" w:right="20" w:firstLine="0"/>
        <w:jc w:val="both"/>
        <w:rPr>
          <w:rFonts w:ascii="Times New Roman" w:hAnsi="Times New Roman" w:cs="Times New Roman"/>
          <w:sz w:val="24"/>
          <w:szCs w:val="24"/>
        </w:rPr>
      </w:pPr>
      <w:r w:rsidRPr="00B81BF6">
        <w:rPr>
          <w:rFonts w:ascii="Times New Roman" w:hAnsi="Times New Roman" w:cs="Times New Roman"/>
          <w:sz w:val="24"/>
          <w:szCs w:val="24"/>
        </w:rPr>
        <w:t>As earlier decided here, the local authorities and residents did not have any authority over the suit land. The authority over the suit land lay with the Land Board.</w:t>
      </w:r>
      <w:r w:rsidRPr="00B81BF6">
        <w:rPr>
          <w:rFonts w:ascii="Times New Roman" w:hAnsi="Times New Roman" w:cs="Times New Roman"/>
          <w:sz w:val="24"/>
          <w:szCs w:val="24"/>
        </w:rPr>
        <w:t xml:space="preserve"> Following the procedure to acquire .land from the Land Board, the authority of the Bataka </w:t>
      </w:r>
      <w:r w:rsidRPr="00B81BF6">
        <w:rPr>
          <w:rFonts w:ascii="Times New Roman" w:hAnsi="Times New Roman" w:cs="Times New Roman"/>
          <w:sz w:val="24"/>
          <w:szCs w:val="24"/>
        </w:rPr>
        <w:lastRenderedPageBreak/>
        <w:t>or LCs ended with the recommendation as to the availability or unavailability of land so as to establish any encumbrances. We find under the law that</w:t>
      </w:r>
      <w:r w:rsidRPr="00B81BF6">
        <w:rPr>
          <w:rFonts w:ascii="Times New Roman" w:hAnsi="Times New Roman" w:cs="Times New Roman"/>
          <w:sz w:val="24"/>
          <w:szCs w:val="24"/>
        </w:rPr>
        <w:t xml:space="preserve"> the grant of th</w:t>
      </w:r>
      <w:r w:rsidRPr="00B81BF6">
        <w:rPr>
          <w:rFonts w:ascii="Times New Roman" w:hAnsi="Times New Roman" w:cs="Times New Roman"/>
          <w:sz w:val="24"/>
          <w:szCs w:val="24"/>
        </w:rPr>
        <w:t>e land beyond a recommendation to the Land Board by the LCs and Bataka was irregular. From the record, the appellant testified that he acquired the land from one Sira Babyesiza who had grazed his cattle there uncontested for over 30 years. Sira Babyesiza (</w:t>
      </w:r>
      <w:r w:rsidRPr="00B81BF6">
        <w:rPr>
          <w:rFonts w:ascii="Times New Roman" w:hAnsi="Times New Roman" w:cs="Times New Roman"/>
          <w:sz w:val="24"/>
          <w:szCs w:val="24"/>
        </w:rPr>
        <w:t>Dw3) also testified to that effect. This evidence was not challenged at all.</w:t>
      </w:r>
    </w:p>
    <w:p w:rsidR="00650CC9" w:rsidRPr="00B81BF6" w:rsidRDefault="00B81BF6" w:rsidP="00B81BF6">
      <w:pPr>
        <w:pStyle w:val="BodyText1"/>
        <w:shd w:val="clear" w:color="auto" w:fill="auto"/>
        <w:spacing w:before="0" w:after="184" w:line="360" w:lineRule="auto"/>
        <w:ind w:left="40" w:right="20" w:firstLine="0"/>
        <w:jc w:val="both"/>
        <w:rPr>
          <w:rFonts w:ascii="Times New Roman" w:hAnsi="Times New Roman" w:cs="Times New Roman"/>
          <w:sz w:val="24"/>
          <w:szCs w:val="24"/>
        </w:rPr>
      </w:pPr>
      <w:r w:rsidRPr="00B81BF6">
        <w:rPr>
          <w:rFonts w:ascii="Times New Roman" w:hAnsi="Times New Roman" w:cs="Times New Roman"/>
          <w:sz w:val="24"/>
          <w:szCs w:val="24"/>
        </w:rPr>
        <w:t>We acknowledge that both the appellant and respondent at some stage occupied the suit property. The appellant did so through the lease offer and subsequent occupation and the resp</w:t>
      </w:r>
      <w:r w:rsidRPr="00B81BF6">
        <w:rPr>
          <w:rFonts w:ascii="Times New Roman" w:hAnsi="Times New Roman" w:cs="Times New Roman"/>
          <w:sz w:val="24"/>
          <w:szCs w:val="24"/>
        </w:rPr>
        <w:t>ondent through occupying the land purportedly granted by the local authorities.</w:t>
      </w:r>
    </w:p>
    <w:p w:rsidR="00650CC9" w:rsidRPr="00B81BF6" w:rsidRDefault="00B81BF6" w:rsidP="00B81BF6">
      <w:pPr>
        <w:pStyle w:val="BodyText1"/>
        <w:shd w:val="clear" w:color="auto" w:fill="auto"/>
        <w:spacing w:before="0" w:after="176" w:line="360" w:lineRule="auto"/>
        <w:ind w:left="40" w:right="20" w:firstLine="0"/>
        <w:jc w:val="both"/>
        <w:rPr>
          <w:rFonts w:ascii="Times New Roman" w:hAnsi="Times New Roman" w:cs="Times New Roman"/>
          <w:sz w:val="24"/>
          <w:szCs w:val="24"/>
        </w:rPr>
      </w:pPr>
      <w:r w:rsidRPr="00B81BF6">
        <w:rPr>
          <w:rFonts w:ascii="Times New Roman" w:hAnsi="Times New Roman" w:cs="Times New Roman"/>
          <w:sz w:val="24"/>
          <w:szCs w:val="24"/>
        </w:rPr>
        <w:t>The Tribunal in its Judgment (p.66 of the record) found that a lease offer was not a certificate of title and therefore was not evidence of ownership of land. The Tribunal refe</w:t>
      </w:r>
      <w:r w:rsidRPr="00B81BF6">
        <w:rPr>
          <w:rFonts w:ascii="Times New Roman" w:hAnsi="Times New Roman" w:cs="Times New Roman"/>
          <w:sz w:val="24"/>
          <w:szCs w:val="24"/>
        </w:rPr>
        <w:t>rred to the lease offer EX D1 and referred to the last paragraph which read:</w:t>
      </w:r>
    </w:p>
    <w:p w:rsidR="00650CC9" w:rsidRPr="00B81BF6" w:rsidRDefault="00B81BF6" w:rsidP="00B81BF6">
      <w:pPr>
        <w:pStyle w:val="BodyText1"/>
        <w:shd w:val="clear" w:color="auto" w:fill="auto"/>
        <w:spacing w:before="0" w:after="0" w:line="360" w:lineRule="auto"/>
        <w:ind w:left="40" w:right="20" w:firstLine="0"/>
        <w:jc w:val="both"/>
        <w:rPr>
          <w:rFonts w:ascii="Times New Roman" w:hAnsi="Times New Roman" w:cs="Times New Roman"/>
          <w:sz w:val="24"/>
          <w:szCs w:val="24"/>
        </w:rPr>
      </w:pPr>
      <w:r w:rsidRPr="00B81BF6">
        <w:rPr>
          <w:rStyle w:val="BodytextItalic"/>
          <w:rFonts w:ascii="Times New Roman" w:hAnsi="Times New Roman" w:cs="Times New Roman"/>
          <w:sz w:val="24"/>
          <w:szCs w:val="24"/>
        </w:rPr>
        <w:t xml:space="preserve">"...The offer is subject to the land being </w:t>
      </w:r>
      <w:r w:rsidRPr="00B81BF6">
        <w:rPr>
          <w:rStyle w:val="BodytextItalic"/>
          <w:rFonts w:ascii="Times New Roman" w:hAnsi="Times New Roman" w:cs="Times New Roman"/>
          <w:sz w:val="24"/>
          <w:szCs w:val="24"/>
        </w:rPr>
        <w:t>available and free from disputes at the time of survey..."</w:t>
      </w:r>
      <w:r w:rsidRPr="00B81BF6">
        <w:rPr>
          <w:rFonts w:ascii="Times New Roman" w:hAnsi="Times New Roman" w:cs="Times New Roman"/>
          <w:sz w:val="24"/>
          <w:szCs w:val="24"/>
        </w:rPr>
        <w:t xml:space="preserve"> The Tribunal found that when the first appellant tried to survey the suit land in 2000, the land was already occupied by the respondent and a </w:t>
      </w:r>
      <w:r w:rsidRPr="00B81BF6">
        <w:rPr>
          <w:rFonts w:ascii="Times New Roman" w:hAnsi="Times New Roman" w:cs="Times New Roman"/>
          <w:sz w:val="24"/>
          <w:szCs w:val="24"/>
        </w:rPr>
        <w:t>dispute ensued so, technically the lease offer collapse</w:t>
      </w:r>
      <w:r w:rsidRPr="00B81BF6">
        <w:rPr>
          <w:rFonts w:ascii="Times New Roman" w:hAnsi="Times New Roman" w:cs="Times New Roman"/>
          <w:sz w:val="24"/>
          <w:szCs w:val="24"/>
        </w:rPr>
        <w:t>d. The Tribunal further held that from their visit on the site (</w:t>
      </w:r>
      <w:r w:rsidRPr="00B81BF6">
        <w:rPr>
          <w:rStyle w:val="BodytextItalic"/>
          <w:rFonts w:ascii="Times New Roman" w:hAnsi="Times New Roman" w:cs="Times New Roman"/>
          <w:sz w:val="24"/>
          <w:szCs w:val="24"/>
        </w:rPr>
        <w:t>locus in quo)</w:t>
      </w:r>
      <w:r w:rsidRPr="00B81BF6">
        <w:rPr>
          <w:rFonts w:ascii="Times New Roman" w:hAnsi="Times New Roman" w:cs="Times New Roman"/>
          <w:sz w:val="24"/>
          <w:szCs w:val="24"/>
        </w:rPr>
        <w:t xml:space="preserve"> the respondent settled on the suit land a few months before the first appellant so the first appellants had to be the trespasser.</w:t>
      </w:r>
    </w:p>
    <w:p w:rsidR="00B81BF6" w:rsidRPr="00B81BF6" w:rsidRDefault="00B81BF6" w:rsidP="00B81BF6">
      <w:pPr>
        <w:pStyle w:val="BodyText1"/>
        <w:shd w:val="clear" w:color="auto" w:fill="auto"/>
        <w:spacing w:before="0" w:after="0" w:line="360" w:lineRule="auto"/>
        <w:ind w:left="40" w:right="20" w:firstLine="0"/>
        <w:jc w:val="both"/>
        <w:rPr>
          <w:rFonts w:ascii="Times New Roman" w:hAnsi="Times New Roman" w:cs="Times New Roman"/>
          <w:sz w:val="24"/>
          <w:szCs w:val="24"/>
        </w:rPr>
      </w:pPr>
    </w:p>
    <w:p w:rsidR="00650CC9" w:rsidRPr="00B81BF6" w:rsidRDefault="00B81BF6" w:rsidP="00B81BF6">
      <w:pPr>
        <w:pStyle w:val="BodyText1"/>
        <w:shd w:val="clear" w:color="auto" w:fill="auto"/>
        <w:spacing w:before="0" w:after="227" w:line="360" w:lineRule="auto"/>
        <w:ind w:left="620" w:hanging="560"/>
        <w:jc w:val="both"/>
        <w:rPr>
          <w:rFonts w:ascii="Times New Roman" w:hAnsi="Times New Roman" w:cs="Times New Roman"/>
          <w:sz w:val="24"/>
          <w:szCs w:val="24"/>
        </w:rPr>
      </w:pPr>
      <w:r w:rsidRPr="00B81BF6">
        <w:rPr>
          <w:rFonts w:ascii="Times New Roman" w:hAnsi="Times New Roman" w:cs="Times New Roman"/>
          <w:sz w:val="24"/>
          <w:szCs w:val="24"/>
        </w:rPr>
        <w:t xml:space="preserve"> The appellate Court (P 83 of the record) found</w:t>
      </w:r>
      <w:r w:rsidRPr="00B81BF6">
        <w:rPr>
          <w:rFonts w:ascii="Times New Roman" w:hAnsi="Times New Roman" w:cs="Times New Roman"/>
          <w:sz w:val="24"/>
          <w:szCs w:val="24"/>
        </w:rPr>
        <w:t xml:space="preserve"> that:</w:t>
      </w:r>
    </w:p>
    <w:p w:rsidR="00650CC9" w:rsidRPr="00B81BF6" w:rsidRDefault="00B81BF6" w:rsidP="00B81BF6">
      <w:pPr>
        <w:pStyle w:val="Bodytext20"/>
        <w:shd w:val="clear" w:color="auto" w:fill="auto"/>
        <w:spacing w:after="184" w:line="360" w:lineRule="auto"/>
        <w:ind w:left="620" w:right="40" w:firstLine="0"/>
        <w:rPr>
          <w:rFonts w:ascii="Times New Roman" w:hAnsi="Times New Roman" w:cs="Times New Roman"/>
          <w:sz w:val="24"/>
          <w:szCs w:val="24"/>
        </w:rPr>
      </w:pPr>
      <w:r w:rsidRPr="00B81BF6">
        <w:rPr>
          <w:rFonts w:ascii="Times New Roman" w:hAnsi="Times New Roman" w:cs="Times New Roman"/>
          <w:sz w:val="24"/>
          <w:szCs w:val="24"/>
        </w:rPr>
        <w:t>"...The legal position is that a lease offer if (sic) a step in the procedure for acquiring the land in question. It does not bestow any superior interest on the land. It is subject to other conditions applicable to all offers for instance the avail</w:t>
      </w:r>
      <w:r w:rsidRPr="00B81BF6">
        <w:rPr>
          <w:rFonts w:ascii="Times New Roman" w:hAnsi="Times New Roman" w:cs="Times New Roman"/>
          <w:sz w:val="24"/>
          <w:szCs w:val="24"/>
        </w:rPr>
        <w:t>ability of land..."</w:t>
      </w:r>
      <w:r w:rsidRPr="00B81BF6">
        <w:rPr>
          <w:rStyle w:val="Bodytext2NotItalic"/>
          <w:rFonts w:ascii="Times New Roman" w:hAnsi="Times New Roman" w:cs="Times New Roman"/>
          <w:sz w:val="24"/>
          <w:szCs w:val="24"/>
        </w:rPr>
        <w:t xml:space="preserve"> The appellate Judge then faulted the first appellant for </w:t>
      </w:r>
      <w:r w:rsidRPr="00B81BF6">
        <w:rPr>
          <w:rStyle w:val="Bodytext2NotItalic"/>
          <w:rFonts w:ascii="Times New Roman" w:hAnsi="Times New Roman" w:cs="Times New Roman"/>
          <w:sz w:val="24"/>
          <w:szCs w:val="24"/>
        </w:rPr>
        <w:t xml:space="preserve"> taking long to develop the land and only rushed to do so when the respondent took possession of this </w:t>
      </w:r>
      <w:r w:rsidRPr="00B81BF6">
        <w:rPr>
          <w:rFonts w:ascii="Times New Roman" w:hAnsi="Times New Roman" w:cs="Times New Roman"/>
          <w:sz w:val="24"/>
          <w:szCs w:val="24"/>
        </w:rPr>
        <w:t>"...very important source of wealth and means of production..."</w:t>
      </w:r>
      <w:r w:rsidRPr="00B81BF6">
        <w:rPr>
          <w:rStyle w:val="Bodytext2NotItalic"/>
          <w:rFonts w:ascii="Times New Roman" w:hAnsi="Times New Roman" w:cs="Times New Roman"/>
          <w:sz w:val="24"/>
          <w:szCs w:val="24"/>
        </w:rPr>
        <w:t xml:space="preserve"> which shoul</w:t>
      </w:r>
      <w:r w:rsidRPr="00B81BF6">
        <w:rPr>
          <w:rStyle w:val="Bodytext2NotItalic"/>
          <w:rFonts w:ascii="Times New Roman" w:hAnsi="Times New Roman" w:cs="Times New Roman"/>
          <w:sz w:val="24"/>
          <w:szCs w:val="24"/>
        </w:rPr>
        <w:t>d not be allowed to go to waste. He then went on to hold that the land was free and that the respondent had acquired a customary tenure over it.</w:t>
      </w:r>
    </w:p>
    <w:p w:rsidR="00650CC9" w:rsidRPr="00B81BF6" w:rsidRDefault="00B81BF6" w:rsidP="00B81BF6">
      <w:pPr>
        <w:pStyle w:val="BodyText1"/>
        <w:shd w:val="clear" w:color="auto" w:fill="auto"/>
        <w:spacing w:before="0" w:after="0" w:line="360" w:lineRule="auto"/>
        <w:ind w:left="620" w:right="40" w:hanging="560"/>
        <w:jc w:val="both"/>
        <w:rPr>
          <w:rFonts w:ascii="Times New Roman" w:hAnsi="Times New Roman" w:cs="Times New Roman"/>
          <w:sz w:val="24"/>
          <w:szCs w:val="24"/>
        </w:rPr>
      </w:pPr>
      <w:r w:rsidRPr="00B81BF6">
        <w:rPr>
          <w:rStyle w:val="Bodytext105pt0"/>
          <w:rFonts w:ascii="Times New Roman" w:hAnsi="Times New Roman" w:cs="Times New Roman"/>
          <w:sz w:val="24"/>
          <w:szCs w:val="24"/>
        </w:rPr>
        <w:t xml:space="preserve">                     </w:t>
      </w:r>
      <w:r w:rsidRPr="00B81BF6">
        <w:rPr>
          <w:rStyle w:val="Bodytext105pt0"/>
          <w:rFonts w:ascii="Times New Roman" w:hAnsi="Times New Roman" w:cs="Times New Roman"/>
          <w:sz w:val="24"/>
          <w:szCs w:val="24"/>
        </w:rPr>
        <w:t xml:space="preserve"> </w:t>
      </w:r>
      <w:r w:rsidRPr="00B81BF6">
        <w:rPr>
          <w:rFonts w:ascii="Times New Roman" w:hAnsi="Times New Roman" w:cs="Times New Roman"/>
          <w:sz w:val="24"/>
          <w:szCs w:val="24"/>
        </w:rPr>
        <w:t>It has already been found as a fact that the jurisdiction over the suit land lay with th</w:t>
      </w:r>
      <w:r w:rsidRPr="00B81BF6">
        <w:rPr>
          <w:rFonts w:ascii="Times New Roman" w:hAnsi="Times New Roman" w:cs="Times New Roman"/>
          <w:sz w:val="24"/>
          <w:szCs w:val="24"/>
        </w:rPr>
        <w:t>e Hoima District land Board. It is also an uncontested fact that the Hoima District Land Board in 1995 vide Min ULC Min: 3/95 (a) (25) of 6/3/1995 approved and granted the first appellant a lease offer. It is not in doubt that in 1995 the respondent was no</w:t>
      </w:r>
      <w:r w:rsidRPr="00B81BF6">
        <w:rPr>
          <w:rFonts w:ascii="Times New Roman" w:hAnsi="Times New Roman" w:cs="Times New Roman"/>
          <w:sz w:val="24"/>
          <w:szCs w:val="24"/>
        </w:rPr>
        <w:t xml:space="preserve">t on the suit land. He only came in 2000. This is all on Court </w:t>
      </w:r>
      <w:r w:rsidRPr="00B81BF6">
        <w:rPr>
          <w:rFonts w:ascii="Times New Roman" w:hAnsi="Times New Roman" w:cs="Times New Roman"/>
          <w:sz w:val="24"/>
          <w:szCs w:val="24"/>
        </w:rPr>
        <w:t xml:space="preserve"> record. It is also on Court record that a formal lease offer for an initial period of 5 years was only issued to the first appellant 3 years later on the 30</w:t>
      </w:r>
      <w:r w:rsidRPr="00B81BF6">
        <w:rPr>
          <w:rFonts w:ascii="Times New Roman" w:hAnsi="Times New Roman" w:cs="Times New Roman"/>
          <w:sz w:val="24"/>
          <w:szCs w:val="24"/>
          <w:vertAlign w:val="superscript"/>
        </w:rPr>
        <w:t>lh</w:t>
      </w:r>
      <w:r w:rsidRPr="00B81BF6">
        <w:rPr>
          <w:rFonts w:ascii="Times New Roman" w:hAnsi="Times New Roman" w:cs="Times New Roman"/>
          <w:sz w:val="24"/>
          <w:szCs w:val="24"/>
        </w:rPr>
        <w:t xml:space="preserve"> January 1998. This again was be</w:t>
      </w:r>
      <w:r w:rsidRPr="00B81BF6">
        <w:rPr>
          <w:rFonts w:ascii="Times New Roman" w:hAnsi="Times New Roman" w:cs="Times New Roman"/>
          <w:sz w:val="24"/>
          <w:szCs w:val="24"/>
        </w:rPr>
        <w:t>fore the respondent came on to the suit land. The stamp on the lease offer shows that fees were paid by the first appellant on the 13</w:t>
      </w:r>
      <w:r w:rsidRPr="00B81BF6">
        <w:rPr>
          <w:rFonts w:ascii="Times New Roman" w:hAnsi="Times New Roman" w:cs="Times New Roman"/>
          <w:sz w:val="24"/>
          <w:szCs w:val="24"/>
          <w:vertAlign w:val="superscript"/>
        </w:rPr>
        <w:t>th</w:t>
      </w:r>
      <w:r w:rsidRPr="00B81BF6">
        <w:rPr>
          <w:rFonts w:ascii="Times New Roman" w:hAnsi="Times New Roman" w:cs="Times New Roman"/>
          <w:sz w:val="24"/>
          <w:szCs w:val="24"/>
        </w:rPr>
        <w:t xml:space="preserve"> November 2000. At this time the respondent was on the suit land. From the evidence, it is</w:t>
      </w:r>
    </w:p>
    <w:p w:rsidR="00650CC9" w:rsidRPr="00B81BF6" w:rsidRDefault="00650CC9" w:rsidP="00B81BF6">
      <w:pPr>
        <w:spacing w:line="360" w:lineRule="auto"/>
        <w:jc w:val="both"/>
        <w:rPr>
          <w:rFonts w:ascii="Times New Roman" w:hAnsi="Times New Roman" w:cs="Times New Roman"/>
        </w:rPr>
      </w:pPr>
    </w:p>
    <w:p w:rsidR="00650CC9" w:rsidRPr="00B81BF6" w:rsidRDefault="00650CC9" w:rsidP="00B81BF6">
      <w:pPr>
        <w:spacing w:line="360" w:lineRule="auto"/>
        <w:jc w:val="both"/>
        <w:rPr>
          <w:rFonts w:ascii="Times New Roman" w:hAnsi="Times New Roman" w:cs="Times New Roman"/>
        </w:rPr>
      </w:pPr>
    </w:p>
    <w:p w:rsidR="00650CC9" w:rsidRPr="00B81BF6" w:rsidRDefault="00650CC9" w:rsidP="00B81BF6">
      <w:pPr>
        <w:spacing w:line="360" w:lineRule="auto"/>
        <w:jc w:val="both"/>
        <w:rPr>
          <w:rFonts w:ascii="Times New Roman" w:hAnsi="Times New Roman" w:cs="Times New Roman"/>
        </w:rPr>
      </w:pPr>
    </w:p>
    <w:p w:rsidR="00650CC9" w:rsidRPr="00B81BF6" w:rsidRDefault="00650CC9" w:rsidP="00B81BF6">
      <w:pPr>
        <w:spacing w:before="26" w:after="26" w:line="360" w:lineRule="auto"/>
        <w:jc w:val="both"/>
        <w:rPr>
          <w:rFonts w:ascii="Times New Roman" w:hAnsi="Times New Roman" w:cs="Times New Roman"/>
        </w:rPr>
      </w:pPr>
    </w:p>
    <w:p w:rsidR="00650CC9" w:rsidRPr="00B81BF6" w:rsidRDefault="00650CC9" w:rsidP="00B81BF6">
      <w:pPr>
        <w:spacing w:line="360" w:lineRule="auto"/>
        <w:jc w:val="both"/>
        <w:rPr>
          <w:rFonts w:ascii="Times New Roman" w:hAnsi="Times New Roman" w:cs="Times New Roman"/>
        </w:rPr>
        <w:sectPr w:rsidR="00650CC9" w:rsidRPr="00B81BF6">
          <w:footerReference w:type="even" r:id="rId16"/>
          <w:footerReference w:type="default" r:id="rId17"/>
          <w:headerReference w:type="first" r:id="rId18"/>
          <w:footerReference w:type="first" r:id="rId19"/>
          <w:type w:val="continuous"/>
          <w:pgSz w:w="12240" w:h="18720"/>
          <w:pgMar w:top="0" w:right="0" w:bottom="0" w:left="0" w:header="0" w:footer="3" w:gutter="0"/>
          <w:cols w:space="720"/>
          <w:noEndnote/>
          <w:docGrid w:linePitch="360"/>
        </w:sectPr>
      </w:pPr>
    </w:p>
    <w:p w:rsidR="00650CC9" w:rsidRPr="00B81BF6" w:rsidRDefault="00650CC9" w:rsidP="00B81BF6">
      <w:pPr>
        <w:spacing w:line="360" w:lineRule="auto"/>
        <w:jc w:val="both"/>
        <w:rPr>
          <w:rFonts w:ascii="Times New Roman" w:hAnsi="Times New Roman" w:cs="Times New Roman"/>
        </w:rPr>
      </w:pPr>
    </w:p>
    <w:p w:rsidR="00650CC9" w:rsidRPr="00B81BF6" w:rsidRDefault="00B81BF6" w:rsidP="00B81BF6">
      <w:pPr>
        <w:pStyle w:val="BodyText1"/>
        <w:shd w:val="clear" w:color="auto" w:fill="auto"/>
        <w:spacing w:before="0" w:after="0" w:line="360" w:lineRule="auto"/>
        <w:ind w:left="640" w:right="920" w:firstLine="0"/>
        <w:jc w:val="both"/>
        <w:rPr>
          <w:rFonts w:ascii="Times New Roman" w:hAnsi="Times New Roman" w:cs="Times New Roman"/>
          <w:sz w:val="24"/>
          <w:szCs w:val="24"/>
        </w:rPr>
      </w:pPr>
      <w:r w:rsidRPr="00B81BF6">
        <w:rPr>
          <w:rFonts w:ascii="Times New Roman" w:hAnsi="Times New Roman" w:cs="Times New Roman"/>
          <w:sz w:val="24"/>
          <w:szCs w:val="24"/>
        </w:rPr>
        <w:t>clear that the first appellant had started the process of obtaining a legal title 5 years before the respondent ca</w:t>
      </w:r>
      <w:r w:rsidRPr="00B81BF6">
        <w:rPr>
          <w:rFonts w:ascii="Times New Roman" w:hAnsi="Times New Roman" w:cs="Times New Roman"/>
          <w:sz w:val="24"/>
          <w:szCs w:val="24"/>
        </w:rPr>
        <w:t xml:space="preserve">me on to the suit land. The fact that the first appellant had not yet obtained the land title by the year 2000 does not mean the first appellant had nothing as the Tribunal would seem to suggest. Until he </w:t>
      </w:r>
      <w:r w:rsidRPr="00B81BF6">
        <w:rPr>
          <w:rFonts w:ascii="Times New Roman" w:hAnsi="Times New Roman" w:cs="Times New Roman"/>
          <w:sz w:val="24"/>
          <w:szCs w:val="24"/>
        </w:rPr>
        <w:t xml:space="preserve"> perfected the legal title in law the first appell</w:t>
      </w:r>
      <w:r w:rsidRPr="00B81BF6">
        <w:rPr>
          <w:rFonts w:ascii="Times New Roman" w:hAnsi="Times New Roman" w:cs="Times New Roman"/>
          <w:sz w:val="24"/>
          <w:szCs w:val="24"/>
        </w:rPr>
        <w:t>ant had an equitable interest in the land by virtue of the lease offer. The process of perfecting the title was protracted as can be seen from the relevant time lines on record and that is not unusual in Uganda. In our considered opinion and finding, the r</w:t>
      </w:r>
      <w:r w:rsidRPr="00B81BF6">
        <w:rPr>
          <w:rFonts w:ascii="Times New Roman" w:hAnsi="Times New Roman" w:cs="Times New Roman"/>
          <w:sz w:val="24"/>
          <w:szCs w:val="24"/>
        </w:rPr>
        <w:t xml:space="preserve">espondent cannot benefit from the last paragraph of the lease offer as to availability of the land by placing </w:t>
      </w:r>
      <w:r w:rsidRPr="00B81BF6">
        <w:rPr>
          <w:rFonts w:ascii="Times New Roman" w:hAnsi="Times New Roman" w:cs="Times New Roman"/>
          <w:sz w:val="24"/>
          <w:szCs w:val="24"/>
        </w:rPr>
        <w:t>himself on the land 5 years after the lease offer had been given to the first respondent. It would be a dangerous precedent and indeed it is not</w:t>
      </w:r>
      <w:r w:rsidRPr="00B81BF6">
        <w:rPr>
          <w:rFonts w:ascii="Times New Roman" w:hAnsi="Times New Roman" w:cs="Times New Roman"/>
          <w:sz w:val="24"/>
          <w:szCs w:val="24"/>
        </w:rPr>
        <w:t xml:space="preserve"> the law that every unoccupied piece of land in Uganda is free land for anyone by whatever means to acquire.</w:t>
      </w:r>
    </w:p>
    <w:p w:rsidR="00650CC9" w:rsidRPr="00B81BF6" w:rsidRDefault="00B81BF6" w:rsidP="00B81BF6">
      <w:pPr>
        <w:pStyle w:val="BodyText1"/>
        <w:shd w:val="clear" w:color="auto" w:fill="auto"/>
        <w:spacing w:before="0" w:after="180" w:line="360" w:lineRule="auto"/>
        <w:ind w:left="80" w:right="920" w:firstLine="560"/>
        <w:jc w:val="both"/>
        <w:rPr>
          <w:rFonts w:ascii="Times New Roman" w:hAnsi="Times New Roman" w:cs="Times New Roman"/>
          <w:sz w:val="24"/>
          <w:szCs w:val="24"/>
        </w:rPr>
      </w:pPr>
      <w:r w:rsidRPr="00B81BF6">
        <w:rPr>
          <w:rFonts w:ascii="Times New Roman" w:hAnsi="Times New Roman" w:cs="Times New Roman"/>
          <w:sz w:val="24"/>
          <w:szCs w:val="24"/>
        </w:rPr>
        <w:t xml:space="preserve">The evidence on record would point to the respondent simply trying to frustrate </w:t>
      </w:r>
      <w:r w:rsidRPr="00B81BF6">
        <w:rPr>
          <w:rStyle w:val="Bodytext105pt0"/>
          <w:rFonts w:ascii="Times New Roman" w:hAnsi="Times New Roman" w:cs="Times New Roman"/>
          <w:sz w:val="24"/>
          <w:szCs w:val="24"/>
        </w:rPr>
        <w:t xml:space="preserve"> </w:t>
      </w:r>
      <w:r w:rsidRPr="00B81BF6">
        <w:rPr>
          <w:rFonts w:ascii="Times New Roman" w:hAnsi="Times New Roman" w:cs="Times New Roman"/>
          <w:sz w:val="24"/>
          <w:szCs w:val="24"/>
        </w:rPr>
        <w:t xml:space="preserve">the legal process that the first appellant was undertaking to </w:t>
      </w:r>
      <w:r w:rsidRPr="00B81BF6">
        <w:rPr>
          <w:rFonts w:ascii="Times New Roman" w:hAnsi="Times New Roman" w:cs="Times New Roman"/>
          <w:sz w:val="24"/>
          <w:szCs w:val="24"/>
        </w:rPr>
        <w:t>perfect his equitable interest in order to acquire a legal interest.</w:t>
      </w:r>
    </w:p>
    <w:p w:rsidR="00650CC9" w:rsidRPr="00B81BF6" w:rsidRDefault="00B81BF6" w:rsidP="00B81BF6">
      <w:pPr>
        <w:pStyle w:val="BodyText1"/>
        <w:shd w:val="clear" w:color="auto" w:fill="auto"/>
        <w:spacing w:before="0" w:after="184" w:line="360" w:lineRule="auto"/>
        <w:ind w:left="640" w:right="920" w:firstLine="0"/>
        <w:jc w:val="both"/>
        <w:rPr>
          <w:rFonts w:ascii="Times New Roman" w:hAnsi="Times New Roman" w:cs="Times New Roman"/>
          <w:sz w:val="24"/>
          <w:szCs w:val="24"/>
        </w:rPr>
      </w:pPr>
      <w:r w:rsidRPr="00B81BF6">
        <w:rPr>
          <w:rFonts w:ascii="Times New Roman" w:hAnsi="Times New Roman" w:cs="Times New Roman"/>
          <w:sz w:val="24"/>
          <w:szCs w:val="24"/>
        </w:rPr>
        <w:t>It is our finding both on the law and fact that if the first appellate Court had properly applied the principles in relation to its task it would have found that the first appellant's equ</w:t>
      </w:r>
      <w:r w:rsidRPr="00B81BF6">
        <w:rPr>
          <w:rFonts w:ascii="Times New Roman" w:hAnsi="Times New Roman" w:cs="Times New Roman"/>
          <w:sz w:val="24"/>
          <w:szCs w:val="24"/>
        </w:rPr>
        <w:t xml:space="preserve">ity was the first in time and hence in law in terms of </w:t>
      </w:r>
      <w:r w:rsidRPr="00B81BF6">
        <w:rPr>
          <w:rFonts w:ascii="Times New Roman" w:hAnsi="Times New Roman" w:cs="Times New Roman"/>
          <w:sz w:val="24"/>
          <w:szCs w:val="24"/>
        </w:rPr>
        <w:t xml:space="preserve"> ownership of the suit land. It erred in ignoring the grant of the lease offer in 1995.The maxim of competing equities thus applies resolving this matter in favour of the first appellant.</w:t>
      </w:r>
    </w:p>
    <w:p w:rsidR="00650CC9" w:rsidRPr="00B81BF6" w:rsidRDefault="00B81BF6" w:rsidP="00B81BF6">
      <w:pPr>
        <w:pStyle w:val="BodyText1"/>
        <w:shd w:val="clear" w:color="auto" w:fill="auto"/>
        <w:spacing w:before="0" w:after="1037" w:line="360" w:lineRule="auto"/>
        <w:ind w:left="640" w:right="920" w:firstLine="0"/>
        <w:jc w:val="both"/>
        <w:rPr>
          <w:rFonts w:ascii="Times New Roman" w:hAnsi="Times New Roman" w:cs="Times New Roman"/>
          <w:sz w:val="24"/>
          <w:szCs w:val="24"/>
        </w:rPr>
      </w:pPr>
      <w:r w:rsidRPr="00B81BF6">
        <w:rPr>
          <w:rFonts w:ascii="Times New Roman" w:hAnsi="Times New Roman" w:cs="Times New Roman"/>
          <w:sz w:val="24"/>
          <w:szCs w:val="24"/>
        </w:rPr>
        <w:t>We answer t</w:t>
      </w:r>
      <w:r w:rsidRPr="00B81BF6">
        <w:rPr>
          <w:rFonts w:ascii="Times New Roman" w:hAnsi="Times New Roman" w:cs="Times New Roman"/>
          <w:sz w:val="24"/>
          <w:szCs w:val="24"/>
        </w:rPr>
        <w:t xml:space="preserve">his ground in the affirmative and it accordingly succeeds. We subsequently overturn the decision of the Land Tribunal and that of the first </w:t>
      </w:r>
      <w:r w:rsidRPr="00B81BF6">
        <w:rPr>
          <w:rFonts w:ascii="Times New Roman" w:hAnsi="Times New Roman" w:cs="Times New Roman"/>
          <w:sz w:val="24"/>
          <w:szCs w:val="24"/>
        </w:rPr>
        <w:t>appellate Court and find that the first appellant is the lawful owner of the suit property. The first and second appellants are therefore permitted to utilize the suit land without further interference from the respondent.</w:t>
      </w:r>
    </w:p>
    <w:p w:rsidR="00650CC9" w:rsidRPr="00B81BF6" w:rsidRDefault="00B81BF6" w:rsidP="00B81BF6">
      <w:pPr>
        <w:pStyle w:val="Heading30"/>
        <w:keepNext/>
        <w:keepLines/>
        <w:shd w:val="clear" w:color="auto" w:fill="auto"/>
        <w:spacing w:before="0" w:after="286" w:line="360" w:lineRule="auto"/>
        <w:ind w:left="20"/>
        <w:jc w:val="both"/>
        <w:rPr>
          <w:rFonts w:ascii="Times New Roman" w:hAnsi="Times New Roman" w:cs="Times New Roman"/>
          <w:sz w:val="24"/>
          <w:szCs w:val="24"/>
        </w:rPr>
      </w:pPr>
      <w:bookmarkStart w:id="4" w:name="bookmark6"/>
      <w:r w:rsidRPr="00B81BF6">
        <w:rPr>
          <w:rFonts w:ascii="Times New Roman" w:hAnsi="Times New Roman" w:cs="Times New Roman"/>
          <w:sz w:val="24"/>
          <w:szCs w:val="24"/>
        </w:rPr>
        <w:lastRenderedPageBreak/>
        <w:t>Final Re</w:t>
      </w:r>
      <w:r w:rsidRPr="00B81BF6">
        <w:rPr>
          <w:rFonts w:ascii="Times New Roman" w:hAnsi="Times New Roman" w:cs="Times New Roman"/>
          <w:sz w:val="24"/>
          <w:szCs w:val="24"/>
        </w:rPr>
        <w:t>sult</w:t>
      </w:r>
      <w:bookmarkEnd w:id="4"/>
    </w:p>
    <w:p w:rsidR="00650CC9" w:rsidRPr="00B81BF6" w:rsidRDefault="00B81BF6" w:rsidP="00B81BF6">
      <w:pPr>
        <w:pStyle w:val="BodyText1"/>
        <w:shd w:val="clear" w:color="auto" w:fill="auto"/>
        <w:spacing w:before="0" w:after="375" w:line="360" w:lineRule="auto"/>
        <w:ind w:left="20" w:firstLine="0"/>
        <w:jc w:val="both"/>
        <w:rPr>
          <w:rFonts w:ascii="Times New Roman" w:hAnsi="Times New Roman" w:cs="Times New Roman"/>
          <w:sz w:val="24"/>
          <w:szCs w:val="24"/>
        </w:rPr>
      </w:pPr>
      <w:r w:rsidRPr="00B81BF6">
        <w:rPr>
          <w:rFonts w:ascii="Times New Roman" w:hAnsi="Times New Roman" w:cs="Times New Roman"/>
          <w:sz w:val="24"/>
          <w:szCs w:val="24"/>
        </w:rPr>
        <w:t>This appeal succeeds with costs to the appellants in this Court, the first appellate Court as well as those in Hoima District Land Tribunal Claim/Application No. 091 of 2003.</w:t>
      </w:r>
    </w:p>
    <w:p w:rsidR="00650CC9" w:rsidRPr="00B81BF6" w:rsidRDefault="00B81BF6" w:rsidP="00B81BF6">
      <w:pPr>
        <w:pStyle w:val="BodyText1"/>
        <w:shd w:val="clear" w:color="auto" w:fill="auto"/>
        <w:spacing w:before="0" w:after="246" w:line="360" w:lineRule="auto"/>
        <w:ind w:left="20" w:firstLine="0"/>
        <w:jc w:val="both"/>
        <w:rPr>
          <w:rFonts w:ascii="Times New Roman" w:hAnsi="Times New Roman" w:cs="Times New Roman"/>
          <w:sz w:val="24"/>
          <w:szCs w:val="24"/>
        </w:rPr>
      </w:pPr>
      <w:r w:rsidRPr="00B81BF6">
        <w:rPr>
          <w:rFonts w:ascii="Times New Roman" w:hAnsi="Times New Roman" w:cs="Times New Roman"/>
          <w:sz w:val="24"/>
          <w:szCs w:val="24"/>
        </w:rPr>
        <w:t>We so Order</w:t>
      </w:r>
    </w:p>
    <w:p w:rsidR="00B81BF6" w:rsidRPr="00B81BF6" w:rsidRDefault="00B81BF6" w:rsidP="00B81BF6">
      <w:pPr>
        <w:pStyle w:val="BodyText1"/>
        <w:shd w:val="clear" w:color="auto" w:fill="auto"/>
        <w:spacing w:before="0" w:after="246" w:line="360" w:lineRule="auto"/>
        <w:ind w:left="20" w:firstLine="0"/>
        <w:jc w:val="both"/>
        <w:rPr>
          <w:rFonts w:ascii="Times New Roman" w:hAnsi="Times New Roman" w:cs="Times New Roman"/>
          <w:sz w:val="24"/>
          <w:szCs w:val="24"/>
        </w:rPr>
      </w:pPr>
      <w:r w:rsidRPr="00B81BF6">
        <w:rPr>
          <w:rFonts w:ascii="Times New Roman" w:hAnsi="Times New Roman" w:cs="Times New Roman"/>
          <w:sz w:val="24"/>
          <w:szCs w:val="24"/>
        </w:rPr>
        <w:t>Dated this 30</w:t>
      </w:r>
      <w:r w:rsidRPr="00B81BF6">
        <w:rPr>
          <w:rFonts w:ascii="Times New Roman" w:hAnsi="Times New Roman" w:cs="Times New Roman"/>
          <w:sz w:val="24"/>
          <w:szCs w:val="24"/>
          <w:vertAlign w:val="superscript"/>
        </w:rPr>
        <w:t>th</w:t>
      </w:r>
      <w:r w:rsidRPr="00B81BF6">
        <w:rPr>
          <w:rFonts w:ascii="Times New Roman" w:hAnsi="Times New Roman" w:cs="Times New Roman"/>
          <w:sz w:val="24"/>
          <w:szCs w:val="24"/>
        </w:rPr>
        <w:t xml:space="preserve"> day of June 2015.</w:t>
      </w:r>
    </w:p>
    <w:p w:rsidR="00B81BF6" w:rsidRPr="00B81BF6" w:rsidRDefault="00B81BF6" w:rsidP="00B81BF6">
      <w:pPr>
        <w:pStyle w:val="BodyText1"/>
        <w:shd w:val="clear" w:color="auto" w:fill="auto"/>
        <w:spacing w:before="0" w:after="246" w:line="360" w:lineRule="auto"/>
        <w:ind w:left="20" w:firstLine="0"/>
        <w:jc w:val="both"/>
        <w:rPr>
          <w:rFonts w:ascii="Times New Roman" w:hAnsi="Times New Roman" w:cs="Times New Roman"/>
          <w:sz w:val="24"/>
          <w:szCs w:val="24"/>
        </w:rPr>
      </w:pPr>
      <w:r w:rsidRPr="00B81BF6">
        <w:rPr>
          <w:rFonts w:ascii="Times New Roman" w:hAnsi="Times New Roman" w:cs="Times New Roman"/>
          <w:sz w:val="24"/>
          <w:szCs w:val="24"/>
        </w:rPr>
        <w:t>Hon. Justice.Remmy Kasule, JA</w:t>
      </w:r>
    </w:p>
    <w:p w:rsidR="00B81BF6" w:rsidRPr="00B81BF6" w:rsidRDefault="00B81BF6" w:rsidP="00B81BF6">
      <w:pPr>
        <w:pStyle w:val="BodyText1"/>
        <w:shd w:val="clear" w:color="auto" w:fill="auto"/>
        <w:spacing w:before="0" w:after="246" w:line="360" w:lineRule="auto"/>
        <w:ind w:left="20" w:firstLine="0"/>
        <w:jc w:val="both"/>
        <w:rPr>
          <w:rFonts w:ascii="Times New Roman" w:hAnsi="Times New Roman" w:cs="Times New Roman"/>
          <w:sz w:val="24"/>
          <w:szCs w:val="24"/>
        </w:rPr>
      </w:pPr>
      <w:r w:rsidRPr="00B81BF6">
        <w:rPr>
          <w:rFonts w:ascii="Times New Roman" w:hAnsi="Times New Roman" w:cs="Times New Roman"/>
          <w:sz w:val="24"/>
          <w:szCs w:val="24"/>
        </w:rPr>
        <w:t>Hon. Justice.Richard Buteera, JA</w:t>
      </w:r>
    </w:p>
    <w:p w:rsidR="00B81BF6" w:rsidRPr="00B81BF6" w:rsidRDefault="00B81BF6" w:rsidP="00B81BF6">
      <w:pPr>
        <w:pStyle w:val="BodyText1"/>
        <w:shd w:val="clear" w:color="auto" w:fill="auto"/>
        <w:spacing w:before="0" w:after="246" w:line="360" w:lineRule="auto"/>
        <w:ind w:left="20" w:firstLine="0"/>
        <w:jc w:val="both"/>
        <w:rPr>
          <w:rFonts w:ascii="Times New Roman" w:hAnsi="Times New Roman" w:cs="Times New Roman"/>
          <w:sz w:val="24"/>
          <w:szCs w:val="24"/>
        </w:rPr>
      </w:pPr>
      <w:r w:rsidRPr="00B81BF6">
        <w:rPr>
          <w:rFonts w:ascii="Times New Roman" w:hAnsi="Times New Roman" w:cs="Times New Roman"/>
          <w:sz w:val="24"/>
          <w:szCs w:val="24"/>
        </w:rPr>
        <w:t>Hon.Justice. Geoffery Kiryabwire, JA</w:t>
      </w:r>
      <w:bookmarkStart w:id="5" w:name="_GoBack"/>
      <w:bookmarkEnd w:id="5"/>
    </w:p>
    <w:p w:rsidR="00650CC9" w:rsidRPr="00B81BF6" w:rsidRDefault="00650CC9" w:rsidP="00B81BF6">
      <w:pPr>
        <w:spacing w:line="360" w:lineRule="auto"/>
        <w:jc w:val="both"/>
        <w:rPr>
          <w:rFonts w:ascii="Times New Roman" w:hAnsi="Times New Roman" w:cs="Times New Roman"/>
        </w:rPr>
      </w:pPr>
    </w:p>
    <w:p w:rsidR="00650CC9" w:rsidRPr="00B81BF6" w:rsidRDefault="00650CC9" w:rsidP="00B81BF6">
      <w:pPr>
        <w:spacing w:line="360" w:lineRule="auto"/>
        <w:jc w:val="both"/>
        <w:rPr>
          <w:rFonts w:ascii="Times New Roman" w:hAnsi="Times New Roman" w:cs="Times New Roman"/>
        </w:rPr>
      </w:pPr>
    </w:p>
    <w:p w:rsidR="00650CC9" w:rsidRPr="00B81BF6" w:rsidRDefault="00650CC9" w:rsidP="00B81BF6">
      <w:pPr>
        <w:spacing w:line="360" w:lineRule="auto"/>
        <w:jc w:val="both"/>
        <w:rPr>
          <w:rFonts w:ascii="Times New Roman" w:hAnsi="Times New Roman" w:cs="Times New Roman"/>
        </w:rPr>
        <w:sectPr w:rsidR="00650CC9" w:rsidRPr="00B81BF6">
          <w:footerReference w:type="even" r:id="rId20"/>
          <w:footerReference w:type="default" r:id="rId21"/>
          <w:headerReference w:type="first" r:id="rId22"/>
          <w:footerReference w:type="first" r:id="rId23"/>
          <w:pgSz w:w="12240" w:h="18720"/>
          <w:pgMar w:top="2380" w:right="1428" w:bottom="4228" w:left="1428" w:header="0" w:footer="3" w:gutter="0"/>
          <w:cols w:space="720"/>
          <w:noEndnote/>
          <w:docGrid w:linePitch="360"/>
        </w:sectPr>
      </w:pPr>
    </w:p>
    <w:p w:rsidR="00650CC9" w:rsidRPr="00B81BF6" w:rsidRDefault="00650CC9" w:rsidP="00B81BF6">
      <w:pPr>
        <w:spacing w:line="360" w:lineRule="auto"/>
        <w:jc w:val="both"/>
        <w:rPr>
          <w:rFonts w:ascii="Times New Roman" w:hAnsi="Times New Roman" w:cs="Times New Roman"/>
        </w:rPr>
      </w:pPr>
    </w:p>
    <w:p w:rsidR="00650CC9" w:rsidRPr="00B81BF6" w:rsidRDefault="00650CC9" w:rsidP="00B81BF6">
      <w:pPr>
        <w:spacing w:line="360" w:lineRule="auto"/>
        <w:jc w:val="both"/>
        <w:rPr>
          <w:rFonts w:ascii="Times New Roman" w:hAnsi="Times New Roman" w:cs="Times New Roman"/>
        </w:rPr>
      </w:pPr>
    </w:p>
    <w:p w:rsidR="00650CC9" w:rsidRPr="00B81BF6" w:rsidRDefault="00650CC9" w:rsidP="00B81BF6">
      <w:pPr>
        <w:spacing w:line="360" w:lineRule="auto"/>
        <w:jc w:val="both"/>
        <w:rPr>
          <w:rFonts w:ascii="Times New Roman" w:hAnsi="Times New Roman" w:cs="Times New Roman"/>
        </w:rPr>
      </w:pPr>
    </w:p>
    <w:p w:rsidR="00650CC9" w:rsidRPr="00B81BF6" w:rsidRDefault="00650CC9" w:rsidP="00B81BF6">
      <w:pPr>
        <w:spacing w:line="360" w:lineRule="auto"/>
        <w:jc w:val="both"/>
        <w:rPr>
          <w:rFonts w:ascii="Times New Roman" w:hAnsi="Times New Roman" w:cs="Times New Roman"/>
        </w:rPr>
      </w:pPr>
    </w:p>
    <w:sectPr w:rsidR="00650CC9" w:rsidRPr="00B81BF6">
      <w:type w:val="continuous"/>
      <w:pgSz w:w="12240" w:h="18720"/>
      <w:pgMar w:top="2381" w:right="1404" w:bottom="2381" w:left="140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DCF" w:rsidRDefault="00F04DCF">
      <w:r>
        <w:separator/>
      </w:r>
    </w:p>
  </w:endnote>
  <w:endnote w:type="continuationSeparator" w:id="0">
    <w:p w:rsidR="00F04DCF" w:rsidRDefault="00F0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C9" w:rsidRDefault="00B81BF6">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3782060</wp:posOffset>
              </wp:positionH>
              <wp:positionV relativeFrom="page">
                <wp:posOffset>10494010</wp:posOffset>
              </wp:positionV>
              <wp:extent cx="67945" cy="162560"/>
              <wp:effectExtent l="635" t="0" r="127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CC9" w:rsidRDefault="00B81BF6">
                          <w:pPr>
                            <w:pStyle w:val="Headerorfooter0"/>
                            <w:shd w:val="clear" w:color="auto" w:fill="auto"/>
                            <w:spacing w:line="240" w:lineRule="auto"/>
                          </w:pPr>
                          <w:r>
                            <w:fldChar w:fldCharType="begin"/>
                          </w:r>
                          <w:r>
                            <w:instrText xml:space="preserve"> PAGE \* MERGEFORMAT </w:instrText>
                          </w:r>
                          <w:r>
                            <w:fldChar w:fldCharType="separate"/>
                          </w:r>
                          <w:r w:rsidRPr="00B81BF6">
                            <w:rPr>
                              <w:rStyle w:val="Headerorfooter1"/>
                              <w:noProof/>
                            </w:rPr>
                            <w:t>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97.8pt;margin-top:826.3pt;width:5.35pt;height:12.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" filled="f" stroked="f">
              <v:textbox style="mso-fit-shape-to-text:t" inset="0,0,0,0">
                <w:txbxContent>
                  <w:p w:rsidR="00650CC9" w:rsidRDefault="00B81BF6">
                    <w:pPr>
                      <w:pStyle w:val="Headerorfooter0"/>
                      <w:shd w:val="clear" w:color="auto" w:fill="auto"/>
                      <w:spacing w:line="240" w:lineRule="auto"/>
                    </w:pPr>
                    <w:r>
                      <w:fldChar w:fldCharType="begin"/>
                    </w:r>
                    <w:r>
                      <w:instrText xml:space="preserve"> PAGE \* MERGEFORMAT </w:instrText>
                    </w:r>
                    <w:r>
                      <w:fldChar w:fldCharType="separate"/>
                    </w:r>
                    <w:r w:rsidRPr="00B81BF6">
                      <w:rPr>
                        <w:rStyle w:val="Headerorfooter1"/>
                        <w:noProof/>
                      </w:rPr>
                      <w:t>4</w:t>
                    </w:r>
                    <w:r>
                      <w:rPr>
                        <w:rStyle w:val="Headerorfooter1"/>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C9" w:rsidRDefault="00B81BF6">
    <w:pPr>
      <w:rPr>
        <w:sz w:val="2"/>
        <w:szCs w:val="2"/>
      </w:rPr>
    </w:pPr>
    <w:r>
      <w:rPr>
        <w:noProof/>
      </w:rPr>
      <mc:AlternateContent>
        <mc:Choice Requires="wps">
          <w:drawing>
            <wp:anchor distT="0" distB="0" distL="63500" distR="63500" simplePos="0" relativeHeight="314572430" behindDoc="1" locked="0" layoutInCell="1" allowOverlap="1">
              <wp:simplePos x="0" y="0"/>
              <wp:positionH relativeFrom="page">
                <wp:posOffset>3814445</wp:posOffset>
              </wp:positionH>
              <wp:positionV relativeFrom="page">
                <wp:posOffset>10267315</wp:posOffset>
              </wp:positionV>
              <wp:extent cx="135255" cy="162560"/>
              <wp:effectExtent l="4445" t="0" r="381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CC9" w:rsidRDefault="00B81BF6">
                          <w:pPr>
                            <w:pStyle w:val="Headerorfooter0"/>
                            <w:shd w:val="clear" w:color="auto" w:fill="auto"/>
                            <w:spacing w:line="240" w:lineRule="auto"/>
                          </w:pPr>
                          <w:r>
                            <w:fldChar w:fldCharType="begin"/>
                          </w:r>
                          <w:r>
                            <w:instrText xml:space="preserve"> PAGE \* MERGEFORMAT </w:instrText>
                          </w:r>
                          <w:r>
                            <w:fldChar w:fldCharType="separate"/>
                          </w:r>
                          <w:r w:rsidRPr="00B81BF6">
                            <w:rPr>
                              <w:rStyle w:val="Headerorfooter1"/>
                              <w:noProof/>
                            </w:rPr>
                            <w:t>10</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300.35pt;margin-top:808.45pt;width:10.65pt;height:12.8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" filled="f" stroked="f">
              <v:textbox style="mso-fit-shape-to-text:t" inset="0,0,0,0">
                <w:txbxContent>
                  <w:p w:rsidR="00650CC9" w:rsidRDefault="00B81BF6">
                    <w:pPr>
                      <w:pStyle w:val="Headerorfooter0"/>
                      <w:shd w:val="clear" w:color="auto" w:fill="auto"/>
                      <w:spacing w:line="240" w:lineRule="auto"/>
                    </w:pPr>
                    <w:r>
                      <w:fldChar w:fldCharType="begin"/>
                    </w:r>
                    <w:r>
                      <w:instrText xml:space="preserve"> PAGE \* MERGEFORMAT </w:instrText>
                    </w:r>
                    <w:r>
                      <w:fldChar w:fldCharType="separate"/>
                    </w:r>
                    <w:r w:rsidRPr="00B81BF6">
                      <w:rPr>
                        <w:rStyle w:val="Headerorfooter1"/>
                        <w:noProof/>
                      </w:rPr>
                      <w:t>10</w:t>
                    </w:r>
                    <w:r>
                      <w:rPr>
                        <w:rStyle w:val="Headerorfooter1"/>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C9" w:rsidRDefault="00B81BF6">
    <w:pPr>
      <w:rPr>
        <w:sz w:val="2"/>
        <w:szCs w:val="2"/>
      </w:rPr>
    </w:pPr>
    <w:r>
      <w:rPr>
        <w:noProof/>
      </w:rPr>
      <mc:AlternateContent>
        <mc:Choice Requires="wps">
          <w:drawing>
            <wp:anchor distT="0" distB="0" distL="63500" distR="63500" simplePos="0" relativeHeight="314572431" behindDoc="1" locked="0" layoutInCell="1" allowOverlap="1">
              <wp:simplePos x="0" y="0"/>
              <wp:positionH relativeFrom="page">
                <wp:posOffset>3814445</wp:posOffset>
              </wp:positionH>
              <wp:positionV relativeFrom="page">
                <wp:posOffset>10267315</wp:posOffset>
              </wp:positionV>
              <wp:extent cx="135255" cy="162560"/>
              <wp:effectExtent l="4445" t="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CC9" w:rsidRDefault="00B81BF6">
                          <w:pPr>
                            <w:pStyle w:val="Headerorfooter0"/>
                            <w:shd w:val="clear" w:color="auto" w:fill="auto"/>
                            <w:spacing w:line="240" w:lineRule="auto"/>
                          </w:pPr>
                          <w:r>
                            <w:fldChar w:fldCharType="begin"/>
                          </w:r>
                          <w:r>
                            <w:instrText xml:space="preserve"> PAGE \* MERGEFORMAT </w:instrText>
                          </w:r>
                          <w:r>
                            <w:fldChar w:fldCharType="separate"/>
                          </w:r>
                          <w:r w:rsidRPr="00B81BF6">
                            <w:rPr>
                              <w:rStyle w:val="Headerorfooter1"/>
                              <w:noProof/>
                            </w:rPr>
                            <w:t>11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300.35pt;margin-top:808.45pt;width:10.65pt;height:12.8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" filled="f" stroked="f">
              <v:textbox style="mso-fit-shape-to-text:t" inset="0,0,0,0">
                <w:txbxContent>
                  <w:p w:rsidR="00650CC9" w:rsidRDefault="00B81BF6">
                    <w:pPr>
                      <w:pStyle w:val="Headerorfooter0"/>
                      <w:shd w:val="clear" w:color="auto" w:fill="auto"/>
                      <w:spacing w:line="240" w:lineRule="auto"/>
                    </w:pPr>
                    <w:r>
                      <w:fldChar w:fldCharType="begin"/>
                    </w:r>
                    <w:r>
                      <w:instrText xml:space="preserve"> PAGE \* MERGEFORMAT </w:instrText>
                    </w:r>
                    <w:r>
                      <w:fldChar w:fldCharType="separate"/>
                    </w:r>
                    <w:r w:rsidRPr="00B81BF6">
                      <w:rPr>
                        <w:rStyle w:val="Headerorfooter1"/>
                        <w:noProof/>
                      </w:rPr>
                      <w:t>11</w:t>
                    </w:r>
                    <w:r>
                      <w:rPr>
                        <w:rStyle w:val="Headerorfooter1"/>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C9" w:rsidRDefault="00650C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C9" w:rsidRDefault="00B81BF6">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3782060</wp:posOffset>
              </wp:positionH>
              <wp:positionV relativeFrom="page">
                <wp:posOffset>10494010</wp:posOffset>
              </wp:positionV>
              <wp:extent cx="67945" cy="162560"/>
              <wp:effectExtent l="635" t="0" r="127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CC9" w:rsidRDefault="00B81BF6">
                          <w:pPr>
                            <w:pStyle w:val="Headerorfooter0"/>
                            <w:shd w:val="clear" w:color="auto" w:fill="auto"/>
                            <w:spacing w:line="240" w:lineRule="auto"/>
                          </w:pPr>
                          <w:r>
                            <w:fldChar w:fldCharType="begin"/>
                          </w:r>
                          <w:r>
                            <w:instrText xml:space="preserve"> PAGE \* MERGEFORMAT </w:instrText>
                          </w:r>
                          <w:r>
                            <w:fldChar w:fldCharType="separate"/>
                          </w:r>
                          <w:r w:rsidRPr="00B81BF6">
                            <w:rPr>
                              <w:rStyle w:val="Headerorfooter1"/>
                              <w:noProof/>
                            </w:rPr>
                            <w:t>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297.8pt;margin-top:826.3pt;width:5.35pt;height:12.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" filled="f" stroked="f">
              <v:textbox style="mso-fit-shape-to-text:t" inset="0,0,0,0">
                <w:txbxContent>
                  <w:p w:rsidR="00650CC9" w:rsidRDefault="00B81BF6">
                    <w:pPr>
                      <w:pStyle w:val="Headerorfooter0"/>
                      <w:shd w:val="clear" w:color="auto" w:fill="auto"/>
                      <w:spacing w:line="240" w:lineRule="auto"/>
                    </w:pPr>
                    <w:r>
                      <w:fldChar w:fldCharType="begin"/>
                    </w:r>
                    <w:r>
                      <w:instrText xml:space="preserve"> PAGE \* MERGEFORMAT </w:instrText>
                    </w:r>
                    <w:r>
                      <w:fldChar w:fldCharType="separate"/>
                    </w:r>
                    <w:r w:rsidRPr="00B81BF6">
                      <w:rPr>
                        <w:rStyle w:val="Headerorfooter1"/>
                        <w:noProof/>
                      </w:rPr>
                      <w:t>5</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C9" w:rsidRDefault="00B81BF6">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3782695</wp:posOffset>
              </wp:positionH>
              <wp:positionV relativeFrom="page">
                <wp:posOffset>9646285</wp:posOffset>
              </wp:positionV>
              <wp:extent cx="54610" cy="91440"/>
              <wp:effectExtent l="1270" t="0" r="127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CC9" w:rsidRDefault="00B81BF6">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297.85pt;margin-top:759.55pt;width:4.3pt;height:7.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" filled="f" stroked="f">
              <v:textbox style="mso-fit-shape-to-text:t" inset="0,0,0,0">
                <w:txbxContent>
                  <w:p w:rsidR="00650CC9" w:rsidRDefault="00B81BF6">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C9" w:rsidRDefault="00650CC9">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C9" w:rsidRDefault="00650CC9">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C9" w:rsidRDefault="00B81BF6">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7060565</wp:posOffset>
              </wp:positionH>
              <wp:positionV relativeFrom="page">
                <wp:posOffset>10434955</wp:posOffset>
              </wp:positionV>
              <wp:extent cx="461645" cy="599440"/>
              <wp:effectExtent l="2540" t="0" r="254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CC9" w:rsidRDefault="00B81BF6">
                          <w:pPr>
                            <w:pStyle w:val="Headerorfooter0"/>
                            <w:shd w:val="clear" w:color="auto" w:fill="auto"/>
                            <w:spacing w:line="240" w:lineRule="auto"/>
                          </w:pPr>
                          <w:r>
                            <w:rPr>
                              <w:rStyle w:val="HeaderorfooterCenturyGothic"/>
                            </w:rPr>
                            <w:t>4</w:t>
                          </w:r>
                          <w:r>
                            <w:rPr>
                              <w:rStyle w:val="HeaderorfooterCenturyGothic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555.95pt;margin-top:821.65pt;width:36.35pt;height:47.2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" filled="f" stroked="f">
              <v:textbox style="mso-fit-shape-to-text:t" inset="0,0,0,0">
                <w:txbxContent>
                  <w:p w:rsidR="00650CC9" w:rsidRDefault="00B81BF6">
                    <w:pPr>
                      <w:pStyle w:val="Headerorfooter0"/>
                      <w:shd w:val="clear" w:color="auto" w:fill="auto"/>
                      <w:spacing w:line="240" w:lineRule="auto"/>
                    </w:pPr>
                    <w:r>
                      <w:rPr>
                        <w:rStyle w:val="HeaderorfooterCenturyGothic"/>
                      </w:rPr>
                      <w:t>4</w:t>
                    </w:r>
                    <w:r>
                      <w:rPr>
                        <w:rStyle w:val="HeaderorfooterCenturyGothic0"/>
                      </w:rPr>
                      <w:t>^-</w:t>
                    </w:r>
                  </w:p>
                </w:txbxContent>
              </v:textbox>
              <w10:wrap anchorx="page" anchory="page"/>
            </v:shape>
          </w:pict>
        </mc:Fallback>
      </mc:AlternateContent>
    </w:r>
    <w:r>
      <w:rPr>
        <w:noProof/>
      </w:rPr>
      <mc:AlternateContent>
        <mc:Choice Requires="wps">
          <w:drawing>
            <wp:anchor distT="0" distB="0" distL="63500" distR="63500" simplePos="0" relativeHeight="314572425" behindDoc="1" locked="0" layoutInCell="1" allowOverlap="1">
              <wp:simplePos x="0" y="0"/>
              <wp:positionH relativeFrom="page">
                <wp:posOffset>3743960</wp:posOffset>
              </wp:positionH>
              <wp:positionV relativeFrom="page">
                <wp:posOffset>9566275</wp:posOffset>
              </wp:positionV>
              <wp:extent cx="67945" cy="162560"/>
              <wp:effectExtent l="635" t="3175"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CC9" w:rsidRDefault="00B81BF6">
                          <w:pPr>
                            <w:pStyle w:val="Headerorfooter0"/>
                            <w:shd w:val="clear" w:color="auto" w:fill="auto"/>
                            <w:spacing w:line="240" w:lineRule="auto"/>
                          </w:pPr>
                          <w:r>
                            <w:fldChar w:fldCharType="begin"/>
                          </w:r>
                          <w:r>
                            <w:instrText xml:space="preserve"> PAGE \* MERGEFORMAT </w:instrText>
                          </w:r>
                          <w:r>
                            <w:fldChar w:fldCharType="separate"/>
                          </w:r>
                          <w:r w:rsidRPr="00B81BF6">
                            <w:rPr>
                              <w:rStyle w:val="Headerorfooter1"/>
                              <w:noProof/>
                            </w:rPr>
                            <w:t>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94.8pt;margin-top:753.25pt;width:5.35pt;height:12.8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" filled="f" stroked="f">
              <v:textbox style="mso-fit-shape-to-text:t" inset="0,0,0,0">
                <w:txbxContent>
                  <w:p w:rsidR="00650CC9" w:rsidRDefault="00B81BF6">
                    <w:pPr>
                      <w:pStyle w:val="Headerorfooter0"/>
                      <w:shd w:val="clear" w:color="auto" w:fill="auto"/>
                      <w:spacing w:line="240" w:lineRule="auto"/>
                    </w:pPr>
                    <w:r>
                      <w:fldChar w:fldCharType="begin"/>
                    </w:r>
                    <w:r>
                      <w:instrText xml:space="preserve"> PAGE \* MERGEFORMAT </w:instrText>
                    </w:r>
                    <w:r>
                      <w:fldChar w:fldCharType="separate"/>
                    </w:r>
                    <w:r w:rsidRPr="00B81BF6">
                      <w:rPr>
                        <w:rStyle w:val="Headerorfooter1"/>
                        <w:noProof/>
                      </w:rPr>
                      <w:t>6</w:t>
                    </w:r>
                    <w:r>
                      <w:rPr>
                        <w:rStyle w:val="Headerorfooter1"/>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C9" w:rsidRDefault="00B81BF6">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3700145</wp:posOffset>
              </wp:positionH>
              <wp:positionV relativeFrom="page">
                <wp:posOffset>9841230</wp:posOffset>
              </wp:positionV>
              <wp:extent cx="135255" cy="162560"/>
              <wp:effectExtent l="4445" t="1905" r="635"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CC9" w:rsidRDefault="00B81BF6">
                          <w:pPr>
                            <w:pStyle w:val="Headerorfooter0"/>
                            <w:shd w:val="clear" w:color="auto" w:fill="auto"/>
                            <w:spacing w:line="240" w:lineRule="auto"/>
                          </w:pPr>
                          <w:r>
                            <w:fldChar w:fldCharType="begin"/>
                          </w:r>
                          <w:r>
                            <w:instrText xml:space="preserve"> PAGE \* MERGEFORMAT </w:instrText>
                          </w:r>
                          <w:r>
                            <w:fldChar w:fldCharType="separate"/>
                          </w:r>
                          <w:r w:rsidRPr="00B81BF6">
                            <w:rPr>
                              <w:rStyle w:val="Headerorfooter1"/>
                              <w:noProof/>
                            </w:rPr>
                            <w:t>12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291.35pt;margin-top:774.9pt;width:10.65pt;height:12.8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" filled="f" stroked="f">
              <v:textbox style="mso-fit-shape-to-text:t" inset="0,0,0,0">
                <w:txbxContent>
                  <w:p w:rsidR="00650CC9" w:rsidRDefault="00B81BF6">
                    <w:pPr>
                      <w:pStyle w:val="Headerorfooter0"/>
                      <w:shd w:val="clear" w:color="auto" w:fill="auto"/>
                      <w:spacing w:line="240" w:lineRule="auto"/>
                    </w:pPr>
                    <w:r>
                      <w:fldChar w:fldCharType="begin"/>
                    </w:r>
                    <w:r>
                      <w:instrText xml:space="preserve"> PAGE \* MERGEFORMAT </w:instrText>
                    </w:r>
                    <w:r>
                      <w:fldChar w:fldCharType="separate"/>
                    </w:r>
                    <w:r w:rsidRPr="00B81BF6">
                      <w:rPr>
                        <w:rStyle w:val="Headerorfooter1"/>
                        <w:noProof/>
                      </w:rPr>
                      <w:t>12</w:t>
                    </w:r>
                    <w:r>
                      <w:rPr>
                        <w:rStyle w:val="Headerorfooter1"/>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C9" w:rsidRDefault="00B81BF6">
    <w:pPr>
      <w:rPr>
        <w:sz w:val="2"/>
        <w:szCs w:val="2"/>
      </w:rPr>
    </w:pPr>
    <w:r>
      <w:rPr>
        <w:noProof/>
      </w:rPr>
      <mc:AlternateContent>
        <mc:Choice Requires="wps">
          <w:drawing>
            <wp:anchor distT="0" distB="0" distL="63500" distR="63500" simplePos="0" relativeHeight="314572427" behindDoc="1" locked="0" layoutInCell="1" allowOverlap="1">
              <wp:simplePos x="0" y="0"/>
              <wp:positionH relativeFrom="page">
                <wp:posOffset>3700145</wp:posOffset>
              </wp:positionH>
              <wp:positionV relativeFrom="page">
                <wp:posOffset>9841230</wp:posOffset>
              </wp:positionV>
              <wp:extent cx="67945" cy="162560"/>
              <wp:effectExtent l="4445" t="1905" r="63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CC9" w:rsidRDefault="00B81BF6">
                          <w:pPr>
                            <w:pStyle w:val="Headerorfooter0"/>
                            <w:shd w:val="clear" w:color="auto" w:fill="auto"/>
                            <w:spacing w:line="240" w:lineRule="auto"/>
                          </w:pPr>
                          <w:r>
                            <w:fldChar w:fldCharType="begin"/>
                          </w:r>
                          <w:r>
                            <w:instrText xml:space="preserve"> PAGE \* MERGEFORMAT </w:instrText>
                          </w:r>
                          <w:r>
                            <w:fldChar w:fldCharType="separate"/>
                          </w:r>
                          <w:r w:rsidRPr="00B81BF6">
                            <w:rPr>
                              <w:rStyle w:val="Headerorfooter1"/>
                              <w:noProof/>
                            </w:rPr>
                            <w:t>9</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291.35pt;margin-top:774.9pt;width:5.35pt;height:12.8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" filled="f" stroked="f">
              <v:textbox style="mso-fit-shape-to-text:t" inset="0,0,0,0">
                <w:txbxContent>
                  <w:p w:rsidR="00650CC9" w:rsidRDefault="00B81BF6">
                    <w:pPr>
                      <w:pStyle w:val="Headerorfooter0"/>
                      <w:shd w:val="clear" w:color="auto" w:fill="auto"/>
                      <w:spacing w:line="240" w:lineRule="auto"/>
                    </w:pPr>
                    <w:r>
                      <w:fldChar w:fldCharType="begin"/>
                    </w:r>
                    <w:r>
                      <w:instrText xml:space="preserve"> PAGE \* MERGEFORMAT </w:instrText>
                    </w:r>
                    <w:r>
                      <w:fldChar w:fldCharType="separate"/>
                    </w:r>
                    <w:r w:rsidRPr="00B81BF6">
                      <w:rPr>
                        <w:rStyle w:val="Headerorfooter1"/>
                        <w:noProof/>
                      </w:rPr>
                      <w:t>9</w:t>
                    </w:r>
                    <w:r>
                      <w:rPr>
                        <w:rStyle w:val="Headerorfooter1"/>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C9" w:rsidRDefault="00B81BF6">
    <w:pPr>
      <w:rPr>
        <w:sz w:val="2"/>
        <w:szCs w:val="2"/>
      </w:rPr>
    </w:pPr>
    <w:r>
      <w:rPr>
        <w:noProof/>
      </w:rPr>
      <mc:AlternateContent>
        <mc:Choice Requires="wps">
          <w:drawing>
            <wp:anchor distT="0" distB="0" distL="63500" distR="63500" simplePos="0" relativeHeight="314572429" behindDoc="1" locked="0" layoutInCell="1" allowOverlap="1">
              <wp:simplePos x="0" y="0"/>
              <wp:positionH relativeFrom="page">
                <wp:posOffset>3826510</wp:posOffset>
              </wp:positionH>
              <wp:positionV relativeFrom="page">
                <wp:posOffset>10155555</wp:posOffset>
              </wp:positionV>
              <wp:extent cx="125095" cy="88265"/>
              <wp:effectExtent l="0" t="1905"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CC9" w:rsidRDefault="00B81BF6">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301.3pt;margin-top:799.65pt;width:9.85pt;height:6.9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" filled="f" stroked="f">
              <v:textbox style="mso-fit-shape-to-text:t" inset="0,0,0,0">
                <w:txbxContent>
                  <w:p w:rsidR="00650CC9" w:rsidRDefault="00B81BF6">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DCF" w:rsidRDefault="00F04DCF"/>
  </w:footnote>
  <w:footnote w:type="continuationSeparator" w:id="0">
    <w:p w:rsidR="00F04DCF" w:rsidRDefault="00F04D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C9" w:rsidRDefault="00B81BF6">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551815</wp:posOffset>
              </wp:positionH>
              <wp:positionV relativeFrom="page">
                <wp:posOffset>2791460</wp:posOffset>
              </wp:positionV>
              <wp:extent cx="60960" cy="94615"/>
              <wp:effectExtent l="0" t="635"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CC9" w:rsidRDefault="00B81BF6">
                          <w:pPr>
                            <w:pStyle w:val="Headerorfooter0"/>
                            <w:shd w:val="clear" w:color="auto" w:fill="auto"/>
                            <w:spacing w:line="240" w:lineRule="auto"/>
                          </w:pPr>
                          <w:r>
                            <w:rPr>
                              <w:rStyle w:val="Headerorfooter1"/>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43.45pt;margin-top:219.8pt;width:4.8pt;height:7.4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" filled="f" stroked="f">
              <v:textbox style="mso-fit-shape-to-text:t" inset="0,0,0,0">
                <w:txbxContent>
                  <w:p w:rsidR="00650CC9" w:rsidRDefault="00B81BF6">
                    <w:pPr>
                      <w:pStyle w:val="Headerorfooter0"/>
                      <w:shd w:val="clear" w:color="auto" w:fill="auto"/>
                      <w:spacing w:line="240" w:lineRule="auto"/>
                    </w:pPr>
                    <w:r>
                      <w:rPr>
                        <w:rStyle w:val="Headerorfooter1"/>
                      </w:rPr>
                      <w:t>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C9" w:rsidRDefault="00650CC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C9" w:rsidRDefault="00B81BF6">
    <w:pPr>
      <w:rPr>
        <w:sz w:val="2"/>
        <w:szCs w:val="2"/>
      </w:rPr>
    </w:pPr>
    <w:r>
      <w:rPr>
        <w:noProof/>
      </w:rPr>
      <mc:AlternateContent>
        <mc:Choice Requires="wps">
          <w:drawing>
            <wp:anchor distT="0" distB="0" distL="63500" distR="63500" simplePos="0" relativeHeight="314572428" behindDoc="1" locked="0" layoutInCell="1" allowOverlap="1">
              <wp:simplePos x="0" y="0"/>
              <wp:positionH relativeFrom="page">
                <wp:posOffset>1004570</wp:posOffset>
              </wp:positionH>
              <wp:positionV relativeFrom="page">
                <wp:posOffset>1636395</wp:posOffset>
              </wp:positionV>
              <wp:extent cx="27305" cy="39370"/>
              <wp:effectExtent l="4445"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3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CC9" w:rsidRDefault="00B81BF6">
                          <w:pPr>
                            <w:pStyle w:val="Headerorfooter0"/>
                            <w:shd w:val="clear" w:color="auto" w:fill="auto"/>
                            <w:spacing w:line="240" w:lineRule="auto"/>
                          </w:pPr>
                          <w:r>
                            <w:rPr>
                              <w:rStyle w:val="HeaderorfooterFranklinGothicBook"/>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79.1pt;margin-top:128.85pt;width:2.15pt;height:3.1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" filled="f" stroked="f">
              <v:textbox style="mso-fit-shape-to-text:t" inset="0,0,0,0">
                <w:txbxContent>
                  <w:p w:rsidR="00650CC9" w:rsidRDefault="00B81BF6">
                    <w:pPr>
                      <w:pStyle w:val="Headerorfooter0"/>
                      <w:shd w:val="clear" w:color="auto" w:fill="auto"/>
                      <w:spacing w:line="240" w:lineRule="auto"/>
                    </w:pPr>
                    <w:r>
                      <w:rPr>
                        <w:rStyle w:val="HeaderorfooterFranklinGothicBook"/>
                      </w:rPr>
                      <w:t>1</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C9" w:rsidRDefault="00650C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C3026"/>
    <w:multiLevelType w:val="multilevel"/>
    <w:tmpl w:val="B8B47B9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D53F49"/>
    <w:multiLevelType w:val="multilevel"/>
    <w:tmpl w:val="3DC8830E"/>
    <w:lvl w:ilvl="0">
      <w:start w:val="2"/>
      <w:numFmt w:val="lowerLetter"/>
      <w:lvlText w:val="(%1)"/>
      <w:lvlJc w:val="left"/>
      <w:rPr>
        <w:rFonts w:ascii="Calibri" w:eastAsia="Calibri" w:hAnsi="Calibri" w:cs="Calibri"/>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6C42B7"/>
    <w:multiLevelType w:val="multilevel"/>
    <w:tmpl w:val="62C46632"/>
    <w:lvl w:ilvl="0">
      <w:start w:val="1"/>
      <w:numFmt w:val="lowerLetter"/>
      <w:lvlText w:val="(%1)"/>
      <w:lvlJc w:val="left"/>
      <w:rPr>
        <w:rFonts w:ascii="Calibri" w:eastAsia="Calibri" w:hAnsi="Calibri" w:cs="Calibri"/>
        <w:b w:val="0"/>
        <w:bCs w:val="0"/>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C9"/>
    <w:rsid w:val="005F0C4E"/>
    <w:rsid w:val="00650CC9"/>
    <w:rsid w:val="00B215DD"/>
    <w:rsid w:val="00B81BF6"/>
    <w:rsid w:val="00E321B9"/>
    <w:rsid w:val="00F0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z w:val="61"/>
      <w:szCs w:val="61"/>
      <w:u w:val="none"/>
    </w:rPr>
  </w:style>
  <w:style w:type="character" w:customStyle="1" w:styleId="Heading1135pt">
    <w:name w:val="Heading #1 + 13.5 pt"/>
    <w:basedOn w:val="Heading1"/>
    <w:rPr>
      <w:rFonts w:ascii="Calibri" w:eastAsia="Calibri" w:hAnsi="Calibri" w:cs="Calibri"/>
      <w:b w:val="0"/>
      <w:bCs w:val="0"/>
      <w:i w:val="0"/>
      <w:iCs w:val="0"/>
      <w:smallCaps w:val="0"/>
      <w:strike w:val="0"/>
      <w:color w:val="000000"/>
      <w:spacing w:val="0"/>
      <w:w w:val="100"/>
      <w:position w:val="0"/>
      <w:sz w:val="27"/>
      <w:szCs w:val="27"/>
      <w:u w:val="none"/>
    </w:rPr>
  </w:style>
  <w:style w:type="character" w:customStyle="1" w:styleId="Bodytext">
    <w:name w:val="Body text_"/>
    <w:basedOn w:val="DefaultParagraphFont"/>
    <w:link w:val="BodyText1"/>
    <w:rPr>
      <w:rFonts w:ascii="Calibri" w:eastAsia="Calibri" w:hAnsi="Calibri" w:cs="Calibri"/>
      <w:b w:val="0"/>
      <w:bCs w:val="0"/>
      <w:i w:val="0"/>
      <w:iCs w:val="0"/>
      <w:smallCaps w:val="0"/>
      <w:strike w:val="0"/>
      <w:sz w:val="27"/>
      <w:szCs w:val="27"/>
      <w:u w:val="none"/>
    </w:rPr>
  </w:style>
  <w:style w:type="character" w:customStyle="1" w:styleId="Heading3">
    <w:name w:val="Heading #3_"/>
    <w:basedOn w:val="DefaultParagraphFont"/>
    <w:link w:val="Heading30"/>
    <w:rPr>
      <w:rFonts w:ascii="Calibri" w:eastAsia="Calibri" w:hAnsi="Calibri" w:cs="Calibri"/>
      <w:b w:val="0"/>
      <w:bCs w:val="0"/>
      <w:i w:val="0"/>
      <w:iCs w:val="0"/>
      <w:smallCaps w:val="0"/>
      <w:strike w:val="0"/>
      <w:sz w:val="27"/>
      <w:szCs w:val="27"/>
      <w:u w:val="none"/>
    </w:rPr>
  </w:style>
  <w:style w:type="character" w:customStyle="1" w:styleId="Heading31">
    <w:name w:val="Heading #3"/>
    <w:basedOn w:val="Heading3"/>
    <w:rPr>
      <w:rFonts w:ascii="Calibri" w:eastAsia="Calibri" w:hAnsi="Calibri" w:cs="Calibri"/>
      <w:b w:val="0"/>
      <w:bCs w:val="0"/>
      <w:i w:val="0"/>
      <w:iCs w:val="0"/>
      <w:smallCaps w:val="0"/>
      <w:strike w:val="0"/>
      <w:color w:val="000000"/>
      <w:spacing w:val="0"/>
      <w:w w:val="100"/>
      <w:position w:val="0"/>
      <w:sz w:val="27"/>
      <w:szCs w:val="27"/>
      <w:u w:val="single"/>
      <w:lang w:val="en-US"/>
    </w:rPr>
  </w:style>
  <w:style w:type="character" w:customStyle="1" w:styleId="Bodytext105pt">
    <w:name w:val="Body text + 10.5 pt"/>
    <w:basedOn w:val="Bodytext"/>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Bodytext105pt0">
    <w:name w:val="Body text + 10.5 pt"/>
    <w:basedOn w:val="Bodytext"/>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odytext105pt1">
    <w:name w:val="Body text + 10.5 pt"/>
    <w:basedOn w:val="Bodytext"/>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odytext2">
    <w:name w:val="Body text (2)_"/>
    <w:basedOn w:val="DefaultParagraphFont"/>
    <w:link w:val="Bodytext20"/>
    <w:rPr>
      <w:rFonts w:ascii="Calibri" w:eastAsia="Calibri" w:hAnsi="Calibri" w:cs="Calibri"/>
      <w:b w:val="0"/>
      <w:bCs w:val="0"/>
      <w:i/>
      <w:iCs/>
      <w:smallCaps w:val="0"/>
      <w:strike w:val="0"/>
      <w:sz w:val="27"/>
      <w:szCs w:val="27"/>
      <w:u w:val="none"/>
    </w:rPr>
  </w:style>
  <w:style w:type="character" w:customStyle="1" w:styleId="Bodytext2NotItalic">
    <w:name w:val="Body text (2) + Not Italic"/>
    <w:basedOn w:val="Bodytext2"/>
    <w:rPr>
      <w:rFonts w:ascii="Calibri" w:eastAsia="Calibri" w:hAnsi="Calibri" w:cs="Calibri"/>
      <w:b w:val="0"/>
      <w:bCs w:val="0"/>
      <w:i/>
      <w:iCs/>
      <w:smallCaps w:val="0"/>
      <w:strike w:val="0"/>
      <w:color w:val="000000"/>
      <w:spacing w:val="0"/>
      <w:w w:val="100"/>
      <w:position w:val="0"/>
      <w:sz w:val="27"/>
      <w:szCs w:val="27"/>
      <w:u w:val="none"/>
      <w:lang w:val="en-US"/>
    </w:rPr>
  </w:style>
  <w:style w:type="character" w:customStyle="1" w:styleId="BodytextItalic">
    <w:name w:val="Body text + Italic"/>
    <w:basedOn w:val="Bodytext"/>
    <w:rPr>
      <w:rFonts w:ascii="Calibri" w:eastAsia="Calibri" w:hAnsi="Calibri" w:cs="Calibri"/>
      <w:b w:val="0"/>
      <w:bCs w:val="0"/>
      <w:i/>
      <w:iCs/>
      <w:smallCaps w:val="0"/>
      <w:strike w:val="0"/>
      <w:color w:val="000000"/>
      <w:spacing w:val="0"/>
      <w:w w:val="100"/>
      <w:position w:val="0"/>
      <w:sz w:val="27"/>
      <w:szCs w:val="27"/>
      <w:u w:val="none"/>
      <w:lang w:val="en-US"/>
    </w:rPr>
  </w:style>
  <w:style w:type="character" w:customStyle="1" w:styleId="Bodytext21">
    <w:name w:val="Body text (2)"/>
    <w:basedOn w:val="Bodytext2"/>
    <w:rPr>
      <w:rFonts w:ascii="Calibri" w:eastAsia="Calibri" w:hAnsi="Calibri" w:cs="Calibri"/>
      <w:b w:val="0"/>
      <w:bCs w:val="0"/>
      <w:i/>
      <w:iCs/>
      <w:smallCaps w:val="0"/>
      <w:strike w:val="0"/>
      <w:color w:val="000000"/>
      <w:spacing w:val="0"/>
      <w:w w:val="100"/>
      <w:position w:val="0"/>
      <w:sz w:val="27"/>
      <w:szCs w:val="27"/>
      <w:u w:val="none"/>
      <w:lang w:val="en-US"/>
    </w:rPr>
  </w:style>
  <w:style w:type="character" w:customStyle="1" w:styleId="Bodytext3">
    <w:name w:val="Body text (3)_"/>
    <w:basedOn w:val="DefaultParagraphFont"/>
    <w:link w:val="Bodytext30"/>
    <w:rPr>
      <w:rFonts w:ascii="Calibri" w:eastAsia="Calibri" w:hAnsi="Calibri" w:cs="Calibri"/>
      <w:b w:val="0"/>
      <w:bCs w:val="0"/>
      <w:i/>
      <w:iCs/>
      <w:smallCaps w:val="0"/>
      <w:strike w:val="0"/>
      <w:sz w:val="27"/>
      <w:szCs w:val="27"/>
      <w:u w:val="none"/>
    </w:rPr>
  </w:style>
  <w:style w:type="character" w:customStyle="1" w:styleId="Bodytext311pt">
    <w:name w:val="Body text (3) + 11 pt"/>
    <w:aliases w:val="Not Italic"/>
    <w:basedOn w:val="Bodytext3"/>
    <w:rPr>
      <w:rFonts w:ascii="Calibri" w:eastAsia="Calibri" w:hAnsi="Calibri" w:cs="Calibri"/>
      <w:b w:val="0"/>
      <w:bCs w:val="0"/>
      <w:i/>
      <w:iCs/>
      <w:smallCaps w:val="0"/>
      <w:strike w:val="0"/>
      <w:color w:val="000000"/>
      <w:spacing w:val="0"/>
      <w:w w:val="100"/>
      <w:position w:val="0"/>
      <w:sz w:val="22"/>
      <w:szCs w:val="22"/>
      <w:u w:val="none"/>
      <w:lang w:val="en-US"/>
    </w:rPr>
  </w:style>
  <w:style w:type="character" w:customStyle="1" w:styleId="Bodytext3NotItalic">
    <w:name w:val="Body text (3) + Not Italic"/>
    <w:basedOn w:val="Bodytext3"/>
    <w:rPr>
      <w:rFonts w:ascii="Calibri" w:eastAsia="Calibri" w:hAnsi="Calibri" w:cs="Calibri"/>
      <w:b w:val="0"/>
      <w:bCs w:val="0"/>
      <w:i/>
      <w:iCs/>
      <w:smallCaps w:val="0"/>
      <w:strike w:val="0"/>
      <w:color w:val="000000"/>
      <w:spacing w:val="0"/>
      <w:w w:val="100"/>
      <w:position w:val="0"/>
      <w:sz w:val="27"/>
      <w:szCs w:val="27"/>
      <w:u w:val="none"/>
    </w:rPr>
  </w:style>
  <w:style w:type="character" w:customStyle="1" w:styleId="Bodytext2105pt">
    <w:name w:val="Body text (2) + 10.5 pt"/>
    <w:aliases w:val="Not Italic"/>
    <w:basedOn w:val="Bodytext2"/>
    <w:rPr>
      <w:rFonts w:ascii="Calibri" w:eastAsia="Calibri" w:hAnsi="Calibri" w:cs="Calibri"/>
      <w:b w:val="0"/>
      <w:bCs w:val="0"/>
      <w:i/>
      <w:iCs/>
      <w:smallCaps w:val="0"/>
      <w:strike w:val="0"/>
      <w:color w:val="000000"/>
      <w:spacing w:val="0"/>
      <w:w w:val="100"/>
      <w:position w:val="0"/>
      <w:sz w:val="21"/>
      <w:szCs w:val="21"/>
      <w:u w:val="none"/>
      <w:lang w:val="en-US"/>
    </w:rPr>
  </w:style>
  <w:style w:type="character" w:customStyle="1" w:styleId="BodytextPalatinoLinotype">
    <w:name w:val="Body text + Palatino Linotype"/>
    <w:aliases w:val="6 pt,Scale 200%"/>
    <w:basedOn w:val="Bodytext"/>
    <w:rPr>
      <w:rFonts w:ascii="Palatino Linotype" w:eastAsia="Palatino Linotype" w:hAnsi="Palatino Linotype" w:cs="Palatino Linotype"/>
      <w:b w:val="0"/>
      <w:bCs w:val="0"/>
      <w:i w:val="0"/>
      <w:iCs w:val="0"/>
      <w:smallCaps w:val="0"/>
      <w:strike w:val="0"/>
      <w:color w:val="000000"/>
      <w:spacing w:val="0"/>
      <w:w w:val="200"/>
      <w:position w:val="0"/>
      <w:sz w:val="12"/>
      <w:szCs w:val="12"/>
      <w:u w:val="none"/>
    </w:rPr>
  </w:style>
  <w:style w:type="character" w:customStyle="1" w:styleId="Bodytext65pt">
    <w:name w:val="Body text + 6.5 pt"/>
    <w:basedOn w:val="Bodytext"/>
    <w:rPr>
      <w:rFonts w:ascii="Calibri" w:eastAsia="Calibri" w:hAnsi="Calibri" w:cs="Calibri"/>
      <w:b w:val="0"/>
      <w:bCs w:val="0"/>
      <w:i w:val="0"/>
      <w:iCs w:val="0"/>
      <w:smallCaps w:val="0"/>
      <w:strike w:val="0"/>
      <w:color w:val="000000"/>
      <w:spacing w:val="0"/>
      <w:w w:val="100"/>
      <w:position w:val="0"/>
      <w:sz w:val="13"/>
      <w:szCs w:val="13"/>
      <w:u w:val="none"/>
    </w:rPr>
  </w:style>
  <w:style w:type="character" w:customStyle="1" w:styleId="HeaderorfooterCenturyGothic">
    <w:name w:val="Header or footer + Century Gothic"/>
    <w:aliases w:val="38.5 pt,Italic"/>
    <w:basedOn w:val="Headerorfooter"/>
    <w:rPr>
      <w:rFonts w:ascii="Century Gothic" w:eastAsia="Century Gothic" w:hAnsi="Century Gothic" w:cs="Century Gothic"/>
      <w:b w:val="0"/>
      <w:bCs w:val="0"/>
      <w:i/>
      <w:iCs/>
      <w:smallCaps w:val="0"/>
      <w:strike w:val="0"/>
      <w:color w:val="000000"/>
      <w:spacing w:val="0"/>
      <w:w w:val="100"/>
      <w:position w:val="0"/>
      <w:sz w:val="77"/>
      <w:szCs w:val="77"/>
      <w:u w:val="none"/>
    </w:rPr>
  </w:style>
  <w:style w:type="character" w:customStyle="1" w:styleId="HeaderorfooterCenturyGothic0">
    <w:name w:val="Header or footer + Century Gothic"/>
    <w:aliases w:val="17.5 pt,Italic,Spacing -3 pt"/>
    <w:basedOn w:val="Headerorfooter"/>
    <w:rPr>
      <w:rFonts w:ascii="Century Gothic" w:eastAsia="Century Gothic" w:hAnsi="Century Gothic" w:cs="Century Gothic"/>
      <w:b w:val="0"/>
      <w:bCs w:val="0"/>
      <w:i/>
      <w:iCs/>
      <w:smallCaps w:val="0"/>
      <w:strike w:val="0"/>
      <w:color w:val="000000"/>
      <w:spacing w:val="-70"/>
      <w:w w:val="100"/>
      <w:position w:val="0"/>
      <w:sz w:val="35"/>
      <w:szCs w:val="35"/>
      <w:u w:val="none"/>
      <w:lang w:val="en-US"/>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z w:val="21"/>
      <w:szCs w:val="21"/>
      <w:u w:val="none"/>
    </w:rPr>
  </w:style>
  <w:style w:type="character" w:customStyle="1" w:styleId="HeaderorfooterFranklinGothicBook">
    <w:name w:val="Header or footer + Franklin Gothic Book"/>
    <w:aliases w:val="4 pt"/>
    <w:basedOn w:val="Headerorfooter"/>
    <w:rPr>
      <w:rFonts w:ascii="Franklin Gothic Book" w:eastAsia="Franklin Gothic Book" w:hAnsi="Franklin Gothic Book" w:cs="Franklin Gothic Book"/>
      <w:b w:val="0"/>
      <w:bCs w:val="0"/>
      <w:i w:val="0"/>
      <w:iCs w:val="0"/>
      <w:smallCaps w:val="0"/>
      <w:strike w:val="0"/>
      <w:color w:val="000000"/>
      <w:spacing w:val="0"/>
      <w:w w:val="100"/>
      <w:position w:val="0"/>
      <w:sz w:val="8"/>
      <w:szCs w:val="8"/>
      <w:u w:val="none"/>
    </w:rPr>
  </w:style>
  <w:style w:type="character" w:customStyle="1" w:styleId="Heading2">
    <w:name w:val="Heading #2_"/>
    <w:basedOn w:val="DefaultParagraphFont"/>
    <w:link w:val="Heading20"/>
    <w:rPr>
      <w:rFonts w:ascii="Century Schoolbook" w:eastAsia="Century Schoolbook" w:hAnsi="Century Schoolbook" w:cs="Century Schoolbook"/>
      <w:b/>
      <w:bCs/>
      <w:i/>
      <w:iCs/>
      <w:smallCaps w:val="0"/>
      <w:strike w:val="0"/>
      <w:spacing w:val="60"/>
      <w:sz w:val="58"/>
      <w:szCs w:val="58"/>
      <w:u w:val="none"/>
    </w:rPr>
  </w:style>
  <w:style w:type="character" w:customStyle="1" w:styleId="Picturecaption2">
    <w:name w:val="Picture caption (2)_"/>
    <w:basedOn w:val="DefaultParagraphFont"/>
    <w:link w:val="Picturecaption20"/>
    <w:rPr>
      <w:rFonts w:ascii="Calibri" w:eastAsia="Calibri" w:hAnsi="Calibri" w:cs="Calibri"/>
      <w:b w:val="0"/>
      <w:bCs w:val="0"/>
      <w:i w:val="0"/>
      <w:iCs w:val="0"/>
      <w:smallCaps w:val="0"/>
      <w:strike w:val="0"/>
      <w:spacing w:val="-10"/>
      <w:sz w:val="20"/>
      <w:szCs w:val="20"/>
      <w:u w:val="none"/>
    </w:rPr>
  </w:style>
  <w:style w:type="character" w:customStyle="1" w:styleId="Picturecaption2135pt">
    <w:name w:val="Picture caption (2) + 13.5 pt"/>
    <w:aliases w:val="Spacing 0 pt"/>
    <w:basedOn w:val="Picturecaption2"/>
    <w:rPr>
      <w:rFonts w:ascii="Calibri" w:eastAsia="Calibri" w:hAnsi="Calibri" w:cs="Calibri"/>
      <w:b w:val="0"/>
      <w:bCs w:val="0"/>
      <w:i w:val="0"/>
      <w:iCs w:val="0"/>
      <w:smallCaps w:val="0"/>
      <w:strike w:val="0"/>
      <w:color w:val="000000"/>
      <w:spacing w:val="0"/>
      <w:w w:val="100"/>
      <w:position w:val="0"/>
      <w:sz w:val="27"/>
      <w:szCs w:val="27"/>
      <w:u w:val="none"/>
    </w:rPr>
  </w:style>
  <w:style w:type="character" w:customStyle="1" w:styleId="Picturecaption">
    <w:name w:val="Picture caption_"/>
    <w:basedOn w:val="DefaultParagraphFont"/>
    <w:link w:val="Picturecaption0"/>
    <w:rPr>
      <w:rFonts w:ascii="Calibri" w:eastAsia="Calibri" w:hAnsi="Calibri" w:cs="Calibri"/>
      <w:b w:val="0"/>
      <w:bCs w:val="0"/>
      <w:i w:val="0"/>
      <w:iCs w:val="0"/>
      <w:smallCaps w:val="0"/>
      <w:strike w:val="0"/>
      <w:sz w:val="27"/>
      <w:szCs w:val="27"/>
      <w:u w:val="none"/>
    </w:rPr>
  </w:style>
  <w:style w:type="character" w:customStyle="1" w:styleId="BodytextExact">
    <w:name w:val="Body text Exact"/>
    <w:basedOn w:val="DefaultParagraphFont"/>
    <w:rPr>
      <w:rFonts w:ascii="Calibri" w:eastAsia="Calibri" w:hAnsi="Calibri" w:cs="Calibri"/>
      <w:b w:val="0"/>
      <w:bCs w:val="0"/>
      <w:i w:val="0"/>
      <w:iCs w:val="0"/>
      <w:smallCaps w:val="0"/>
      <w:strike w:val="0"/>
      <w:spacing w:val="4"/>
      <w:sz w:val="25"/>
      <w:szCs w:val="25"/>
      <w:u w:val="none"/>
    </w:rPr>
  </w:style>
  <w:style w:type="character" w:customStyle="1" w:styleId="BodytextItalic0">
    <w:name w:val="Body text + Italic"/>
    <w:aliases w:val="Spacing 0 pt Exact"/>
    <w:basedOn w:val="Bodytext"/>
    <w:rPr>
      <w:rFonts w:ascii="Calibri" w:eastAsia="Calibri" w:hAnsi="Calibri" w:cs="Calibri"/>
      <w:b w:val="0"/>
      <w:bCs w:val="0"/>
      <w:i/>
      <w:iCs/>
      <w:smallCaps w:val="0"/>
      <w:strike w:val="0"/>
      <w:color w:val="000000"/>
      <w:spacing w:val="2"/>
      <w:w w:val="100"/>
      <w:position w:val="0"/>
      <w:sz w:val="25"/>
      <w:szCs w:val="25"/>
      <w:u w:val="none"/>
    </w:rPr>
  </w:style>
  <w:style w:type="paragraph" w:customStyle="1" w:styleId="Heading10">
    <w:name w:val="Heading #1"/>
    <w:basedOn w:val="Normal"/>
    <w:link w:val="Heading1"/>
    <w:pPr>
      <w:shd w:val="clear" w:color="auto" w:fill="FFFFFF"/>
      <w:spacing w:after="60" w:line="0" w:lineRule="atLeast"/>
      <w:outlineLvl w:val="0"/>
    </w:pPr>
    <w:rPr>
      <w:rFonts w:ascii="Calibri" w:eastAsia="Calibri" w:hAnsi="Calibri" w:cs="Calibri"/>
      <w:sz w:val="61"/>
      <w:szCs w:val="61"/>
    </w:rPr>
  </w:style>
  <w:style w:type="paragraph" w:customStyle="1" w:styleId="BodyText1">
    <w:name w:val="Body Text1"/>
    <w:basedOn w:val="Normal"/>
    <w:link w:val="Bodytext"/>
    <w:pPr>
      <w:shd w:val="clear" w:color="auto" w:fill="FFFFFF"/>
      <w:spacing w:before="60" w:after="360" w:line="0" w:lineRule="atLeast"/>
      <w:ind w:hanging="1280"/>
    </w:pPr>
    <w:rPr>
      <w:rFonts w:ascii="Calibri" w:eastAsia="Calibri" w:hAnsi="Calibri" w:cs="Calibri"/>
      <w:sz w:val="27"/>
      <w:szCs w:val="27"/>
    </w:rPr>
  </w:style>
  <w:style w:type="paragraph" w:customStyle="1" w:styleId="Heading30">
    <w:name w:val="Heading #3"/>
    <w:basedOn w:val="Normal"/>
    <w:link w:val="Heading3"/>
    <w:pPr>
      <w:shd w:val="clear" w:color="auto" w:fill="FFFFFF"/>
      <w:spacing w:before="360" w:line="547" w:lineRule="exact"/>
      <w:outlineLvl w:val="2"/>
    </w:pPr>
    <w:rPr>
      <w:rFonts w:ascii="Calibri" w:eastAsia="Calibri" w:hAnsi="Calibri" w:cs="Calibri"/>
      <w:sz w:val="27"/>
      <w:szCs w:val="27"/>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Bodytext20">
    <w:name w:val="Body text (2)"/>
    <w:basedOn w:val="Normal"/>
    <w:link w:val="Bodytext2"/>
    <w:pPr>
      <w:shd w:val="clear" w:color="auto" w:fill="FFFFFF"/>
      <w:spacing w:after="480" w:line="0" w:lineRule="atLeast"/>
      <w:ind w:hanging="340"/>
      <w:jc w:val="both"/>
    </w:pPr>
    <w:rPr>
      <w:rFonts w:ascii="Calibri" w:eastAsia="Calibri" w:hAnsi="Calibri" w:cs="Calibri"/>
      <w:i/>
      <w:iCs/>
      <w:sz w:val="27"/>
      <w:szCs w:val="27"/>
    </w:rPr>
  </w:style>
  <w:style w:type="paragraph" w:customStyle="1" w:styleId="Bodytext30">
    <w:name w:val="Body text (3)"/>
    <w:basedOn w:val="Normal"/>
    <w:link w:val="Bodytext3"/>
    <w:pPr>
      <w:shd w:val="clear" w:color="auto" w:fill="FFFFFF"/>
      <w:spacing w:line="518" w:lineRule="exact"/>
      <w:ind w:hanging="560"/>
      <w:jc w:val="both"/>
    </w:pPr>
    <w:rPr>
      <w:rFonts w:ascii="Calibri" w:eastAsia="Calibri" w:hAnsi="Calibri" w:cs="Calibri"/>
      <w:i/>
      <w:iCs/>
      <w:sz w:val="27"/>
      <w:szCs w:val="27"/>
    </w:rPr>
  </w:style>
  <w:style w:type="paragraph" w:customStyle="1" w:styleId="Bodytext40">
    <w:name w:val="Body text (4)"/>
    <w:basedOn w:val="Normal"/>
    <w:link w:val="Bodytext4"/>
    <w:pPr>
      <w:shd w:val="clear" w:color="auto" w:fill="FFFFFF"/>
      <w:spacing w:after="300" w:line="0" w:lineRule="atLeast"/>
      <w:ind w:hanging="560"/>
      <w:jc w:val="both"/>
    </w:pPr>
    <w:rPr>
      <w:rFonts w:ascii="Calibri" w:eastAsia="Calibri" w:hAnsi="Calibri" w:cs="Calibri"/>
      <w:sz w:val="21"/>
      <w:szCs w:val="21"/>
    </w:rPr>
  </w:style>
  <w:style w:type="paragraph" w:customStyle="1" w:styleId="Heading20">
    <w:name w:val="Heading #2"/>
    <w:basedOn w:val="Normal"/>
    <w:link w:val="Heading2"/>
    <w:pPr>
      <w:shd w:val="clear" w:color="auto" w:fill="FFFFFF"/>
      <w:spacing w:line="0" w:lineRule="atLeast"/>
      <w:outlineLvl w:val="1"/>
    </w:pPr>
    <w:rPr>
      <w:rFonts w:ascii="Century Schoolbook" w:eastAsia="Century Schoolbook" w:hAnsi="Century Schoolbook" w:cs="Century Schoolbook"/>
      <w:b/>
      <w:bCs/>
      <w:i/>
      <w:iCs/>
      <w:spacing w:val="60"/>
      <w:sz w:val="58"/>
      <w:szCs w:val="58"/>
    </w:rPr>
  </w:style>
  <w:style w:type="paragraph" w:customStyle="1" w:styleId="Picturecaption20">
    <w:name w:val="Picture caption (2)"/>
    <w:basedOn w:val="Normal"/>
    <w:link w:val="Picturecaption2"/>
    <w:pPr>
      <w:shd w:val="clear" w:color="auto" w:fill="FFFFFF"/>
      <w:spacing w:after="60" w:line="0" w:lineRule="atLeast"/>
    </w:pPr>
    <w:rPr>
      <w:rFonts w:ascii="Calibri" w:eastAsia="Calibri" w:hAnsi="Calibri" w:cs="Calibri"/>
      <w:spacing w:val="-10"/>
      <w:sz w:val="20"/>
      <w:szCs w:val="20"/>
    </w:rPr>
  </w:style>
  <w:style w:type="paragraph" w:customStyle="1" w:styleId="Picturecaption0">
    <w:name w:val="Picture caption"/>
    <w:basedOn w:val="Normal"/>
    <w:link w:val="Picturecaption"/>
    <w:pPr>
      <w:shd w:val="clear" w:color="auto" w:fill="FFFFFF"/>
      <w:spacing w:before="60" w:line="0" w:lineRule="atLeast"/>
    </w:pPr>
    <w:rPr>
      <w:rFonts w:ascii="Calibri" w:eastAsia="Calibri" w:hAnsi="Calibri" w:cs="Calibri"/>
      <w:sz w:val="27"/>
      <w:szCs w:val="27"/>
    </w:rPr>
  </w:style>
  <w:style w:type="paragraph" w:styleId="Header">
    <w:name w:val="header"/>
    <w:basedOn w:val="Normal"/>
    <w:link w:val="HeaderChar"/>
    <w:uiPriority w:val="99"/>
    <w:unhideWhenUsed/>
    <w:rsid w:val="00B215DD"/>
    <w:pPr>
      <w:tabs>
        <w:tab w:val="center" w:pos="4680"/>
        <w:tab w:val="right" w:pos="9360"/>
      </w:tabs>
    </w:pPr>
  </w:style>
  <w:style w:type="character" w:customStyle="1" w:styleId="HeaderChar">
    <w:name w:val="Header Char"/>
    <w:basedOn w:val="DefaultParagraphFont"/>
    <w:link w:val="Header"/>
    <w:uiPriority w:val="99"/>
    <w:rsid w:val="00B215DD"/>
    <w:rPr>
      <w:color w:val="000000"/>
    </w:rPr>
  </w:style>
  <w:style w:type="paragraph" w:styleId="Footer">
    <w:name w:val="footer"/>
    <w:basedOn w:val="Normal"/>
    <w:link w:val="FooterChar"/>
    <w:uiPriority w:val="99"/>
    <w:unhideWhenUsed/>
    <w:rsid w:val="00B215DD"/>
    <w:pPr>
      <w:tabs>
        <w:tab w:val="center" w:pos="4680"/>
        <w:tab w:val="right" w:pos="9360"/>
      </w:tabs>
    </w:pPr>
  </w:style>
  <w:style w:type="character" w:customStyle="1" w:styleId="FooterChar">
    <w:name w:val="Footer Char"/>
    <w:basedOn w:val="DefaultParagraphFont"/>
    <w:link w:val="Footer"/>
    <w:uiPriority w:val="99"/>
    <w:rsid w:val="00B215D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z w:val="61"/>
      <w:szCs w:val="61"/>
      <w:u w:val="none"/>
    </w:rPr>
  </w:style>
  <w:style w:type="character" w:customStyle="1" w:styleId="Heading1135pt">
    <w:name w:val="Heading #1 + 13.5 pt"/>
    <w:basedOn w:val="Heading1"/>
    <w:rPr>
      <w:rFonts w:ascii="Calibri" w:eastAsia="Calibri" w:hAnsi="Calibri" w:cs="Calibri"/>
      <w:b w:val="0"/>
      <w:bCs w:val="0"/>
      <w:i w:val="0"/>
      <w:iCs w:val="0"/>
      <w:smallCaps w:val="0"/>
      <w:strike w:val="0"/>
      <w:color w:val="000000"/>
      <w:spacing w:val="0"/>
      <w:w w:val="100"/>
      <w:position w:val="0"/>
      <w:sz w:val="27"/>
      <w:szCs w:val="27"/>
      <w:u w:val="none"/>
    </w:rPr>
  </w:style>
  <w:style w:type="character" w:customStyle="1" w:styleId="Bodytext">
    <w:name w:val="Body text_"/>
    <w:basedOn w:val="DefaultParagraphFont"/>
    <w:link w:val="BodyText1"/>
    <w:rPr>
      <w:rFonts w:ascii="Calibri" w:eastAsia="Calibri" w:hAnsi="Calibri" w:cs="Calibri"/>
      <w:b w:val="0"/>
      <w:bCs w:val="0"/>
      <w:i w:val="0"/>
      <w:iCs w:val="0"/>
      <w:smallCaps w:val="0"/>
      <w:strike w:val="0"/>
      <w:sz w:val="27"/>
      <w:szCs w:val="27"/>
      <w:u w:val="none"/>
    </w:rPr>
  </w:style>
  <w:style w:type="character" w:customStyle="1" w:styleId="Heading3">
    <w:name w:val="Heading #3_"/>
    <w:basedOn w:val="DefaultParagraphFont"/>
    <w:link w:val="Heading30"/>
    <w:rPr>
      <w:rFonts w:ascii="Calibri" w:eastAsia="Calibri" w:hAnsi="Calibri" w:cs="Calibri"/>
      <w:b w:val="0"/>
      <w:bCs w:val="0"/>
      <w:i w:val="0"/>
      <w:iCs w:val="0"/>
      <w:smallCaps w:val="0"/>
      <w:strike w:val="0"/>
      <w:sz w:val="27"/>
      <w:szCs w:val="27"/>
      <w:u w:val="none"/>
    </w:rPr>
  </w:style>
  <w:style w:type="character" w:customStyle="1" w:styleId="Heading31">
    <w:name w:val="Heading #3"/>
    <w:basedOn w:val="Heading3"/>
    <w:rPr>
      <w:rFonts w:ascii="Calibri" w:eastAsia="Calibri" w:hAnsi="Calibri" w:cs="Calibri"/>
      <w:b w:val="0"/>
      <w:bCs w:val="0"/>
      <w:i w:val="0"/>
      <w:iCs w:val="0"/>
      <w:smallCaps w:val="0"/>
      <w:strike w:val="0"/>
      <w:color w:val="000000"/>
      <w:spacing w:val="0"/>
      <w:w w:val="100"/>
      <w:position w:val="0"/>
      <w:sz w:val="27"/>
      <w:szCs w:val="27"/>
      <w:u w:val="single"/>
      <w:lang w:val="en-US"/>
    </w:rPr>
  </w:style>
  <w:style w:type="character" w:customStyle="1" w:styleId="Bodytext105pt">
    <w:name w:val="Body text + 10.5 pt"/>
    <w:basedOn w:val="Bodytext"/>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Bodytext105pt0">
    <w:name w:val="Body text + 10.5 pt"/>
    <w:basedOn w:val="Bodytext"/>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odytext105pt1">
    <w:name w:val="Body text + 10.5 pt"/>
    <w:basedOn w:val="Bodytext"/>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odytext2">
    <w:name w:val="Body text (2)_"/>
    <w:basedOn w:val="DefaultParagraphFont"/>
    <w:link w:val="Bodytext20"/>
    <w:rPr>
      <w:rFonts w:ascii="Calibri" w:eastAsia="Calibri" w:hAnsi="Calibri" w:cs="Calibri"/>
      <w:b w:val="0"/>
      <w:bCs w:val="0"/>
      <w:i/>
      <w:iCs/>
      <w:smallCaps w:val="0"/>
      <w:strike w:val="0"/>
      <w:sz w:val="27"/>
      <w:szCs w:val="27"/>
      <w:u w:val="none"/>
    </w:rPr>
  </w:style>
  <w:style w:type="character" w:customStyle="1" w:styleId="Bodytext2NotItalic">
    <w:name w:val="Body text (2) + Not Italic"/>
    <w:basedOn w:val="Bodytext2"/>
    <w:rPr>
      <w:rFonts w:ascii="Calibri" w:eastAsia="Calibri" w:hAnsi="Calibri" w:cs="Calibri"/>
      <w:b w:val="0"/>
      <w:bCs w:val="0"/>
      <w:i/>
      <w:iCs/>
      <w:smallCaps w:val="0"/>
      <w:strike w:val="0"/>
      <w:color w:val="000000"/>
      <w:spacing w:val="0"/>
      <w:w w:val="100"/>
      <w:position w:val="0"/>
      <w:sz w:val="27"/>
      <w:szCs w:val="27"/>
      <w:u w:val="none"/>
      <w:lang w:val="en-US"/>
    </w:rPr>
  </w:style>
  <w:style w:type="character" w:customStyle="1" w:styleId="BodytextItalic">
    <w:name w:val="Body text + Italic"/>
    <w:basedOn w:val="Bodytext"/>
    <w:rPr>
      <w:rFonts w:ascii="Calibri" w:eastAsia="Calibri" w:hAnsi="Calibri" w:cs="Calibri"/>
      <w:b w:val="0"/>
      <w:bCs w:val="0"/>
      <w:i/>
      <w:iCs/>
      <w:smallCaps w:val="0"/>
      <w:strike w:val="0"/>
      <w:color w:val="000000"/>
      <w:spacing w:val="0"/>
      <w:w w:val="100"/>
      <w:position w:val="0"/>
      <w:sz w:val="27"/>
      <w:szCs w:val="27"/>
      <w:u w:val="none"/>
      <w:lang w:val="en-US"/>
    </w:rPr>
  </w:style>
  <w:style w:type="character" w:customStyle="1" w:styleId="Bodytext21">
    <w:name w:val="Body text (2)"/>
    <w:basedOn w:val="Bodytext2"/>
    <w:rPr>
      <w:rFonts w:ascii="Calibri" w:eastAsia="Calibri" w:hAnsi="Calibri" w:cs="Calibri"/>
      <w:b w:val="0"/>
      <w:bCs w:val="0"/>
      <w:i/>
      <w:iCs/>
      <w:smallCaps w:val="0"/>
      <w:strike w:val="0"/>
      <w:color w:val="000000"/>
      <w:spacing w:val="0"/>
      <w:w w:val="100"/>
      <w:position w:val="0"/>
      <w:sz w:val="27"/>
      <w:szCs w:val="27"/>
      <w:u w:val="none"/>
      <w:lang w:val="en-US"/>
    </w:rPr>
  </w:style>
  <w:style w:type="character" w:customStyle="1" w:styleId="Bodytext3">
    <w:name w:val="Body text (3)_"/>
    <w:basedOn w:val="DefaultParagraphFont"/>
    <w:link w:val="Bodytext30"/>
    <w:rPr>
      <w:rFonts w:ascii="Calibri" w:eastAsia="Calibri" w:hAnsi="Calibri" w:cs="Calibri"/>
      <w:b w:val="0"/>
      <w:bCs w:val="0"/>
      <w:i/>
      <w:iCs/>
      <w:smallCaps w:val="0"/>
      <w:strike w:val="0"/>
      <w:sz w:val="27"/>
      <w:szCs w:val="27"/>
      <w:u w:val="none"/>
    </w:rPr>
  </w:style>
  <w:style w:type="character" w:customStyle="1" w:styleId="Bodytext311pt">
    <w:name w:val="Body text (3) + 11 pt"/>
    <w:aliases w:val="Not Italic"/>
    <w:basedOn w:val="Bodytext3"/>
    <w:rPr>
      <w:rFonts w:ascii="Calibri" w:eastAsia="Calibri" w:hAnsi="Calibri" w:cs="Calibri"/>
      <w:b w:val="0"/>
      <w:bCs w:val="0"/>
      <w:i/>
      <w:iCs/>
      <w:smallCaps w:val="0"/>
      <w:strike w:val="0"/>
      <w:color w:val="000000"/>
      <w:spacing w:val="0"/>
      <w:w w:val="100"/>
      <w:position w:val="0"/>
      <w:sz w:val="22"/>
      <w:szCs w:val="22"/>
      <w:u w:val="none"/>
      <w:lang w:val="en-US"/>
    </w:rPr>
  </w:style>
  <w:style w:type="character" w:customStyle="1" w:styleId="Bodytext3NotItalic">
    <w:name w:val="Body text (3) + Not Italic"/>
    <w:basedOn w:val="Bodytext3"/>
    <w:rPr>
      <w:rFonts w:ascii="Calibri" w:eastAsia="Calibri" w:hAnsi="Calibri" w:cs="Calibri"/>
      <w:b w:val="0"/>
      <w:bCs w:val="0"/>
      <w:i/>
      <w:iCs/>
      <w:smallCaps w:val="0"/>
      <w:strike w:val="0"/>
      <w:color w:val="000000"/>
      <w:spacing w:val="0"/>
      <w:w w:val="100"/>
      <w:position w:val="0"/>
      <w:sz w:val="27"/>
      <w:szCs w:val="27"/>
      <w:u w:val="none"/>
    </w:rPr>
  </w:style>
  <w:style w:type="character" w:customStyle="1" w:styleId="Bodytext2105pt">
    <w:name w:val="Body text (2) + 10.5 pt"/>
    <w:aliases w:val="Not Italic"/>
    <w:basedOn w:val="Bodytext2"/>
    <w:rPr>
      <w:rFonts w:ascii="Calibri" w:eastAsia="Calibri" w:hAnsi="Calibri" w:cs="Calibri"/>
      <w:b w:val="0"/>
      <w:bCs w:val="0"/>
      <w:i/>
      <w:iCs/>
      <w:smallCaps w:val="0"/>
      <w:strike w:val="0"/>
      <w:color w:val="000000"/>
      <w:spacing w:val="0"/>
      <w:w w:val="100"/>
      <w:position w:val="0"/>
      <w:sz w:val="21"/>
      <w:szCs w:val="21"/>
      <w:u w:val="none"/>
      <w:lang w:val="en-US"/>
    </w:rPr>
  </w:style>
  <w:style w:type="character" w:customStyle="1" w:styleId="BodytextPalatinoLinotype">
    <w:name w:val="Body text + Palatino Linotype"/>
    <w:aliases w:val="6 pt,Scale 200%"/>
    <w:basedOn w:val="Bodytext"/>
    <w:rPr>
      <w:rFonts w:ascii="Palatino Linotype" w:eastAsia="Palatino Linotype" w:hAnsi="Palatino Linotype" w:cs="Palatino Linotype"/>
      <w:b w:val="0"/>
      <w:bCs w:val="0"/>
      <w:i w:val="0"/>
      <w:iCs w:val="0"/>
      <w:smallCaps w:val="0"/>
      <w:strike w:val="0"/>
      <w:color w:val="000000"/>
      <w:spacing w:val="0"/>
      <w:w w:val="200"/>
      <w:position w:val="0"/>
      <w:sz w:val="12"/>
      <w:szCs w:val="12"/>
      <w:u w:val="none"/>
    </w:rPr>
  </w:style>
  <w:style w:type="character" w:customStyle="1" w:styleId="Bodytext65pt">
    <w:name w:val="Body text + 6.5 pt"/>
    <w:basedOn w:val="Bodytext"/>
    <w:rPr>
      <w:rFonts w:ascii="Calibri" w:eastAsia="Calibri" w:hAnsi="Calibri" w:cs="Calibri"/>
      <w:b w:val="0"/>
      <w:bCs w:val="0"/>
      <w:i w:val="0"/>
      <w:iCs w:val="0"/>
      <w:smallCaps w:val="0"/>
      <w:strike w:val="0"/>
      <w:color w:val="000000"/>
      <w:spacing w:val="0"/>
      <w:w w:val="100"/>
      <w:position w:val="0"/>
      <w:sz w:val="13"/>
      <w:szCs w:val="13"/>
      <w:u w:val="none"/>
    </w:rPr>
  </w:style>
  <w:style w:type="character" w:customStyle="1" w:styleId="HeaderorfooterCenturyGothic">
    <w:name w:val="Header or footer + Century Gothic"/>
    <w:aliases w:val="38.5 pt,Italic"/>
    <w:basedOn w:val="Headerorfooter"/>
    <w:rPr>
      <w:rFonts w:ascii="Century Gothic" w:eastAsia="Century Gothic" w:hAnsi="Century Gothic" w:cs="Century Gothic"/>
      <w:b w:val="0"/>
      <w:bCs w:val="0"/>
      <w:i/>
      <w:iCs/>
      <w:smallCaps w:val="0"/>
      <w:strike w:val="0"/>
      <w:color w:val="000000"/>
      <w:spacing w:val="0"/>
      <w:w w:val="100"/>
      <w:position w:val="0"/>
      <w:sz w:val="77"/>
      <w:szCs w:val="77"/>
      <w:u w:val="none"/>
    </w:rPr>
  </w:style>
  <w:style w:type="character" w:customStyle="1" w:styleId="HeaderorfooterCenturyGothic0">
    <w:name w:val="Header or footer + Century Gothic"/>
    <w:aliases w:val="17.5 pt,Italic,Spacing -3 pt"/>
    <w:basedOn w:val="Headerorfooter"/>
    <w:rPr>
      <w:rFonts w:ascii="Century Gothic" w:eastAsia="Century Gothic" w:hAnsi="Century Gothic" w:cs="Century Gothic"/>
      <w:b w:val="0"/>
      <w:bCs w:val="0"/>
      <w:i/>
      <w:iCs/>
      <w:smallCaps w:val="0"/>
      <w:strike w:val="0"/>
      <w:color w:val="000000"/>
      <w:spacing w:val="-70"/>
      <w:w w:val="100"/>
      <w:position w:val="0"/>
      <w:sz w:val="35"/>
      <w:szCs w:val="35"/>
      <w:u w:val="none"/>
      <w:lang w:val="en-US"/>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z w:val="21"/>
      <w:szCs w:val="21"/>
      <w:u w:val="none"/>
    </w:rPr>
  </w:style>
  <w:style w:type="character" w:customStyle="1" w:styleId="HeaderorfooterFranklinGothicBook">
    <w:name w:val="Header or footer + Franklin Gothic Book"/>
    <w:aliases w:val="4 pt"/>
    <w:basedOn w:val="Headerorfooter"/>
    <w:rPr>
      <w:rFonts w:ascii="Franklin Gothic Book" w:eastAsia="Franklin Gothic Book" w:hAnsi="Franklin Gothic Book" w:cs="Franklin Gothic Book"/>
      <w:b w:val="0"/>
      <w:bCs w:val="0"/>
      <w:i w:val="0"/>
      <w:iCs w:val="0"/>
      <w:smallCaps w:val="0"/>
      <w:strike w:val="0"/>
      <w:color w:val="000000"/>
      <w:spacing w:val="0"/>
      <w:w w:val="100"/>
      <w:position w:val="0"/>
      <w:sz w:val="8"/>
      <w:szCs w:val="8"/>
      <w:u w:val="none"/>
    </w:rPr>
  </w:style>
  <w:style w:type="character" w:customStyle="1" w:styleId="Heading2">
    <w:name w:val="Heading #2_"/>
    <w:basedOn w:val="DefaultParagraphFont"/>
    <w:link w:val="Heading20"/>
    <w:rPr>
      <w:rFonts w:ascii="Century Schoolbook" w:eastAsia="Century Schoolbook" w:hAnsi="Century Schoolbook" w:cs="Century Schoolbook"/>
      <w:b/>
      <w:bCs/>
      <w:i/>
      <w:iCs/>
      <w:smallCaps w:val="0"/>
      <w:strike w:val="0"/>
      <w:spacing w:val="60"/>
      <w:sz w:val="58"/>
      <w:szCs w:val="58"/>
      <w:u w:val="none"/>
    </w:rPr>
  </w:style>
  <w:style w:type="character" w:customStyle="1" w:styleId="Picturecaption2">
    <w:name w:val="Picture caption (2)_"/>
    <w:basedOn w:val="DefaultParagraphFont"/>
    <w:link w:val="Picturecaption20"/>
    <w:rPr>
      <w:rFonts w:ascii="Calibri" w:eastAsia="Calibri" w:hAnsi="Calibri" w:cs="Calibri"/>
      <w:b w:val="0"/>
      <w:bCs w:val="0"/>
      <w:i w:val="0"/>
      <w:iCs w:val="0"/>
      <w:smallCaps w:val="0"/>
      <w:strike w:val="0"/>
      <w:spacing w:val="-10"/>
      <w:sz w:val="20"/>
      <w:szCs w:val="20"/>
      <w:u w:val="none"/>
    </w:rPr>
  </w:style>
  <w:style w:type="character" w:customStyle="1" w:styleId="Picturecaption2135pt">
    <w:name w:val="Picture caption (2) + 13.5 pt"/>
    <w:aliases w:val="Spacing 0 pt"/>
    <w:basedOn w:val="Picturecaption2"/>
    <w:rPr>
      <w:rFonts w:ascii="Calibri" w:eastAsia="Calibri" w:hAnsi="Calibri" w:cs="Calibri"/>
      <w:b w:val="0"/>
      <w:bCs w:val="0"/>
      <w:i w:val="0"/>
      <w:iCs w:val="0"/>
      <w:smallCaps w:val="0"/>
      <w:strike w:val="0"/>
      <w:color w:val="000000"/>
      <w:spacing w:val="0"/>
      <w:w w:val="100"/>
      <w:position w:val="0"/>
      <w:sz w:val="27"/>
      <w:szCs w:val="27"/>
      <w:u w:val="none"/>
    </w:rPr>
  </w:style>
  <w:style w:type="character" w:customStyle="1" w:styleId="Picturecaption">
    <w:name w:val="Picture caption_"/>
    <w:basedOn w:val="DefaultParagraphFont"/>
    <w:link w:val="Picturecaption0"/>
    <w:rPr>
      <w:rFonts w:ascii="Calibri" w:eastAsia="Calibri" w:hAnsi="Calibri" w:cs="Calibri"/>
      <w:b w:val="0"/>
      <w:bCs w:val="0"/>
      <w:i w:val="0"/>
      <w:iCs w:val="0"/>
      <w:smallCaps w:val="0"/>
      <w:strike w:val="0"/>
      <w:sz w:val="27"/>
      <w:szCs w:val="27"/>
      <w:u w:val="none"/>
    </w:rPr>
  </w:style>
  <w:style w:type="character" w:customStyle="1" w:styleId="BodytextExact">
    <w:name w:val="Body text Exact"/>
    <w:basedOn w:val="DefaultParagraphFont"/>
    <w:rPr>
      <w:rFonts w:ascii="Calibri" w:eastAsia="Calibri" w:hAnsi="Calibri" w:cs="Calibri"/>
      <w:b w:val="0"/>
      <w:bCs w:val="0"/>
      <w:i w:val="0"/>
      <w:iCs w:val="0"/>
      <w:smallCaps w:val="0"/>
      <w:strike w:val="0"/>
      <w:spacing w:val="4"/>
      <w:sz w:val="25"/>
      <w:szCs w:val="25"/>
      <w:u w:val="none"/>
    </w:rPr>
  </w:style>
  <w:style w:type="character" w:customStyle="1" w:styleId="BodytextItalic0">
    <w:name w:val="Body text + Italic"/>
    <w:aliases w:val="Spacing 0 pt Exact"/>
    <w:basedOn w:val="Bodytext"/>
    <w:rPr>
      <w:rFonts w:ascii="Calibri" w:eastAsia="Calibri" w:hAnsi="Calibri" w:cs="Calibri"/>
      <w:b w:val="0"/>
      <w:bCs w:val="0"/>
      <w:i/>
      <w:iCs/>
      <w:smallCaps w:val="0"/>
      <w:strike w:val="0"/>
      <w:color w:val="000000"/>
      <w:spacing w:val="2"/>
      <w:w w:val="100"/>
      <w:position w:val="0"/>
      <w:sz w:val="25"/>
      <w:szCs w:val="25"/>
      <w:u w:val="none"/>
    </w:rPr>
  </w:style>
  <w:style w:type="paragraph" w:customStyle="1" w:styleId="Heading10">
    <w:name w:val="Heading #1"/>
    <w:basedOn w:val="Normal"/>
    <w:link w:val="Heading1"/>
    <w:pPr>
      <w:shd w:val="clear" w:color="auto" w:fill="FFFFFF"/>
      <w:spacing w:after="60" w:line="0" w:lineRule="atLeast"/>
      <w:outlineLvl w:val="0"/>
    </w:pPr>
    <w:rPr>
      <w:rFonts w:ascii="Calibri" w:eastAsia="Calibri" w:hAnsi="Calibri" w:cs="Calibri"/>
      <w:sz w:val="61"/>
      <w:szCs w:val="61"/>
    </w:rPr>
  </w:style>
  <w:style w:type="paragraph" w:customStyle="1" w:styleId="BodyText1">
    <w:name w:val="Body Text1"/>
    <w:basedOn w:val="Normal"/>
    <w:link w:val="Bodytext"/>
    <w:pPr>
      <w:shd w:val="clear" w:color="auto" w:fill="FFFFFF"/>
      <w:spacing w:before="60" w:after="360" w:line="0" w:lineRule="atLeast"/>
      <w:ind w:hanging="1280"/>
    </w:pPr>
    <w:rPr>
      <w:rFonts w:ascii="Calibri" w:eastAsia="Calibri" w:hAnsi="Calibri" w:cs="Calibri"/>
      <w:sz w:val="27"/>
      <w:szCs w:val="27"/>
    </w:rPr>
  </w:style>
  <w:style w:type="paragraph" w:customStyle="1" w:styleId="Heading30">
    <w:name w:val="Heading #3"/>
    <w:basedOn w:val="Normal"/>
    <w:link w:val="Heading3"/>
    <w:pPr>
      <w:shd w:val="clear" w:color="auto" w:fill="FFFFFF"/>
      <w:spacing w:before="360" w:line="547" w:lineRule="exact"/>
      <w:outlineLvl w:val="2"/>
    </w:pPr>
    <w:rPr>
      <w:rFonts w:ascii="Calibri" w:eastAsia="Calibri" w:hAnsi="Calibri" w:cs="Calibri"/>
      <w:sz w:val="27"/>
      <w:szCs w:val="27"/>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Bodytext20">
    <w:name w:val="Body text (2)"/>
    <w:basedOn w:val="Normal"/>
    <w:link w:val="Bodytext2"/>
    <w:pPr>
      <w:shd w:val="clear" w:color="auto" w:fill="FFFFFF"/>
      <w:spacing w:after="480" w:line="0" w:lineRule="atLeast"/>
      <w:ind w:hanging="340"/>
      <w:jc w:val="both"/>
    </w:pPr>
    <w:rPr>
      <w:rFonts w:ascii="Calibri" w:eastAsia="Calibri" w:hAnsi="Calibri" w:cs="Calibri"/>
      <w:i/>
      <w:iCs/>
      <w:sz w:val="27"/>
      <w:szCs w:val="27"/>
    </w:rPr>
  </w:style>
  <w:style w:type="paragraph" w:customStyle="1" w:styleId="Bodytext30">
    <w:name w:val="Body text (3)"/>
    <w:basedOn w:val="Normal"/>
    <w:link w:val="Bodytext3"/>
    <w:pPr>
      <w:shd w:val="clear" w:color="auto" w:fill="FFFFFF"/>
      <w:spacing w:line="518" w:lineRule="exact"/>
      <w:ind w:hanging="560"/>
      <w:jc w:val="both"/>
    </w:pPr>
    <w:rPr>
      <w:rFonts w:ascii="Calibri" w:eastAsia="Calibri" w:hAnsi="Calibri" w:cs="Calibri"/>
      <w:i/>
      <w:iCs/>
      <w:sz w:val="27"/>
      <w:szCs w:val="27"/>
    </w:rPr>
  </w:style>
  <w:style w:type="paragraph" w:customStyle="1" w:styleId="Bodytext40">
    <w:name w:val="Body text (4)"/>
    <w:basedOn w:val="Normal"/>
    <w:link w:val="Bodytext4"/>
    <w:pPr>
      <w:shd w:val="clear" w:color="auto" w:fill="FFFFFF"/>
      <w:spacing w:after="300" w:line="0" w:lineRule="atLeast"/>
      <w:ind w:hanging="560"/>
      <w:jc w:val="both"/>
    </w:pPr>
    <w:rPr>
      <w:rFonts w:ascii="Calibri" w:eastAsia="Calibri" w:hAnsi="Calibri" w:cs="Calibri"/>
      <w:sz w:val="21"/>
      <w:szCs w:val="21"/>
    </w:rPr>
  </w:style>
  <w:style w:type="paragraph" w:customStyle="1" w:styleId="Heading20">
    <w:name w:val="Heading #2"/>
    <w:basedOn w:val="Normal"/>
    <w:link w:val="Heading2"/>
    <w:pPr>
      <w:shd w:val="clear" w:color="auto" w:fill="FFFFFF"/>
      <w:spacing w:line="0" w:lineRule="atLeast"/>
      <w:outlineLvl w:val="1"/>
    </w:pPr>
    <w:rPr>
      <w:rFonts w:ascii="Century Schoolbook" w:eastAsia="Century Schoolbook" w:hAnsi="Century Schoolbook" w:cs="Century Schoolbook"/>
      <w:b/>
      <w:bCs/>
      <w:i/>
      <w:iCs/>
      <w:spacing w:val="60"/>
      <w:sz w:val="58"/>
      <w:szCs w:val="58"/>
    </w:rPr>
  </w:style>
  <w:style w:type="paragraph" w:customStyle="1" w:styleId="Picturecaption20">
    <w:name w:val="Picture caption (2)"/>
    <w:basedOn w:val="Normal"/>
    <w:link w:val="Picturecaption2"/>
    <w:pPr>
      <w:shd w:val="clear" w:color="auto" w:fill="FFFFFF"/>
      <w:spacing w:after="60" w:line="0" w:lineRule="atLeast"/>
    </w:pPr>
    <w:rPr>
      <w:rFonts w:ascii="Calibri" w:eastAsia="Calibri" w:hAnsi="Calibri" w:cs="Calibri"/>
      <w:spacing w:val="-10"/>
      <w:sz w:val="20"/>
      <w:szCs w:val="20"/>
    </w:rPr>
  </w:style>
  <w:style w:type="paragraph" w:customStyle="1" w:styleId="Picturecaption0">
    <w:name w:val="Picture caption"/>
    <w:basedOn w:val="Normal"/>
    <w:link w:val="Picturecaption"/>
    <w:pPr>
      <w:shd w:val="clear" w:color="auto" w:fill="FFFFFF"/>
      <w:spacing w:before="60" w:line="0" w:lineRule="atLeast"/>
    </w:pPr>
    <w:rPr>
      <w:rFonts w:ascii="Calibri" w:eastAsia="Calibri" w:hAnsi="Calibri" w:cs="Calibri"/>
      <w:sz w:val="27"/>
      <w:szCs w:val="27"/>
    </w:rPr>
  </w:style>
  <w:style w:type="paragraph" w:styleId="Header">
    <w:name w:val="header"/>
    <w:basedOn w:val="Normal"/>
    <w:link w:val="HeaderChar"/>
    <w:uiPriority w:val="99"/>
    <w:unhideWhenUsed/>
    <w:rsid w:val="00B215DD"/>
    <w:pPr>
      <w:tabs>
        <w:tab w:val="center" w:pos="4680"/>
        <w:tab w:val="right" w:pos="9360"/>
      </w:tabs>
    </w:pPr>
  </w:style>
  <w:style w:type="character" w:customStyle="1" w:styleId="HeaderChar">
    <w:name w:val="Header Char"/>
    <w:basedOn w:val="DefaultParagraphFont"/>
    <w:link w:val="Header"/>
    <w:uiPriority w:val="99"/>
    <w:rsid w:val="00B215DD"/>
    <w:rPr>
      <w:color w:val="000000"/>
    </w:rPr>
  </w:style>
  <w:style w:type="paragraph" w:styleId="Footer">
    <w:name w:val="footer"/>
    <w:basedOn w:val="Normal"/>
    <w:link w:val="FooterChar"/>
    <w:uiPriority w:val="99"/>
    <w:unhideWhenUsed/>
    <w:rsid w:val="00B215DD"/>
    <w:pPr>
      <w:tabs>
        <w:tab w:val="center" w:pos="4680"/>
        <w:tab w:val="right" w:pos="9360"/>
      </w:tabs>
    </w:pPr>
  </w:style>
  <w:style w:type="character" w:customStyle="1" w:styleId="FooterChar">
    <w:name w:val="Footer Char"/>
    <w:basedOn w:val="DefaultParagraphFont"/>
    <w:link w:val="Footer"/>
    <w:uiPriority w:val="99"/>
    <w:rsid w:val="00B215D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11</Pages>
  <Words>3729</Words>
  <Characters>21257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2016-07-11T11:47:00Z</dcterms:created>
  <dcterms:modified xsi:type="dcterms:W3CDTF">2016-07-11T12:38:00Z</dcterms:modified>
</cp:coreProperties>
</file>