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9" w:rsidRPr="006A4C3F" w:rsidRDefault="007D7C07" w:rsidP="006A4C3F">
      <w:pPr>
        <w:pStyle w:val="Bodytext20"/>
        <w:shd w:val="clear" w:color="auto" w:fill="auto"/>
        <w:spacing w:after="613" w:line="360" w:lineRule="auto"/>
        <w:ind w:right="40"/>
        <w:jc w:val="both"/>
        <w:rPr>
          <w:rStyle w:val="Bodytext21"/>
          <w:b/>
          <w:bCs/>
          <w:sz w:val="24"/>
          <w:szCs w:val="24"/>
          <w:u w:val="none"/>
        </w:rPr>
      </w:pPr>
      <w:bookmarkStart w:id="0" w:name="_GoBack"/>
      <w:bookmarkEnd w:id="0"/>
      <w:r w:rsidRPr="006A4C3F">
        <w:rPr>
          <w:rStyle w:val="Bodytext21"/>
          <w:b/>
          <w:bCs/>
          <w:sz w:val="24"/>
          <w:szCs w:val="24"/>
          <w:u w:val="none"/>
        </w:rPr>
        <w:t>T</w:t>
      </w:r>
      <w:r w:rsidR="008B1F39" w:rsidRPr="006A4C3F">
        <w:rPr>
          <w:rStyle w:val="Bodytext21"/>
          <w:b/>
          <w:bCs/>
          <w:sz w:val="24"/>
          <w:szCs w:val="24"/>
          <w:u w:val="none"/>
        </w:rPr>
        <w:t>HE REPUBLIC OF UGANDA</w:t>
      </w:r>
    </w:p>
    <w:p w:rsidR="008B1F39" w:rsidRPr="006A4C3F" w:rsidRDefault="008B1F39" w:rsidP="006A4C3F">
      <w:pPr>
        <w:pStyle w:val="Bodytext20"/>
        <w:shd w:val="clear" w:color="auto" w:fill="auto"/>
        <w:spacing w:after="287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COURT OF APPEAL</w:t>
      </w:r>
    </w:p>
    <w:p w:rsidR="008B1F39" w:rsidRPr="006A4C3F" w:rsidRDefault="008B1F39" w:rsidP="006A4C3F">
      <w:pPr>
        <w:pStyle w:val="Bodytext20"/>
        <w:shd w:val="clear" w:color="auto" w:fill="auto"/>
        <w:spacing w:after="248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CIVIL APPEAL NO. 46 OF 2005</w:t>
      </w:r>
    </w:p>
    <w:p w:rsidR="00D136F4" w:rsidRPr="006A4C3F" w:rsidRDefault="00D136F4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Bold"/>
          <w:sz w:val="24"/>
          <w:szCs w:val="24"/>
        </w:rPr>
      </w:pPr>
      <w:r w:rsidRPr="006A4C3F">
        <w:rPr>
          <w:rStyle w:val="BodyText1"/>
          <w:sz w:val="24"/>
          <w:szCs w:val="24"/>
        </w:rPr>
        <w:t>(An Appeal from the decision of the High Court at Kampala</w:t>
      </w:r>
      <w:r w:rsidRPr="006A4C3F">
        <w:rPr>
          <w:rStyle w:val="BodyText1"/>
          <w:sz w:val="24"/>
          <w:szCs w:val="24"/>
        </w:rPr>
        <w:t xml:space="preserve"> </w:t>
      </w:r>
      <w:r w:rsidR="006A4C3F" w:rsidRPr="006A4C3F">
        <w:rPr>
          <w:rStyle w:val="BodyText1"/>
          <w:sz w:val="24"/>
          <w:szCs w:val="24"/>
        </w:rPr>
        <w:t>dated Decembe</w:t>
      </w:r>
      <w:r w:rsidRPr="006A4C3F">
        <w:rPr>
          <w:rStyle w:val="BodyText1"/>
          <w:sz w:val="24"/>
          <w:szCs w:val="24"/>
        </w:rPr>
        <w:t>r 15, 2004 in High Court Civil Suit No. 77 of 2003)</w:t>
      </w:r>
      <w:r w:rsidRPr="006A4C3F">
        <w:rPr>
          <w:rStyle w:val="BodyText23"/>
          <w:sz w:val="24"/>
          <w:szCs w:val="24"/>
        </w:rPr>
        <w:t xml:space="preserve">(Yorokamu </w:t>
      </w:r>
      <w:r w:rsidRPr="006A4C3F">
        <w:rPr>
          <w:rStyle w:val="BodyText1"/>
          <w:sz w:val="24"/>
          <w:szCs w:val="24"/>
        </w:rPr>
        <w:t xml:space="preserve">Bamwine, </w:t>
      </w:r>
      <w:r w:rsidRPr="006A4C3F">
        <w:rPr>
          <w:rStyle w:val="BodytextBold"/>
          <w:sz w:val="24"/>
          <w:szCs w:val="24"/>
        </w:rPr>
        <w:t>J.)</w:t>
      </w:r>
    </w:p>
    <w:p w:rsidR="008B1F39" w:rsidRPr="006A4C3F" w:rsidRDefault="008B1F39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</w:p>
    <w:p w:rsidR="008B1F39" w:rsidRPr="006A4C3F" w:rsidRDefault="008B1F39" w:rsidP="006A4C3F">
      <w:pPr>
        <w:pStyle w:val="Bodytext20"/>
        <w:shd w:val="clear" w:color="auto" w:fill="auto"/>
        <w:spacing w:after="287" w:line="360" w:lineRule="auto"/>
        <w:ind w:right="40"/>
        <w:jc w:val="both"/>
        <w:rPr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(CORAM: MUKASA-KIKONYOGO; DC.J, TWINOMUJUNI AND KAVUMA, JJ.A)</w:t>
      </w:r>
    </w:p>
    <w:p w:rsidR="008B1F39" w:rsidRPr="006A4C3F" w:rsidRDefault="008B1F39" w:rsidP="006A4C3F">
      <w:pPr>
        <w:pStyle w:val="Bodytext20"/>
        <w:shd w:val="clear" w:color="auto" w:fill="auto"/>
        <w:spacing w:after="613" w:line="360" w:lineRule="auto"/>
        <w:ind w:right="40"/>
        <w:jc w:val="both"/>
        <w:rPr>
          <w:rStyle w:val="Bodytext21"/>
          <w:b/>
          <w:bCs/>
          <w:sz w:val="24"/>
          <w:szCs w:val="24"/>
        </w:rPr>
      </w:pPr>
    </w:p>
    <w:p w:rsidR="007D7C07" w:rsidRPr="006A4C3F" w:rsidRDefault="006A4C3F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UGANDA ELECTRICITY BOARD</w:t>
      </w:r>
      <w:proofErr w:type="gramStart"/>
      <w:r w:rsidR="007D7C07" w:rsidRPr="006A4C3F">
        <w:rPr>
          <w:rStyle w:val="Bodytext22"/>
          <w:b/>
          <w:bCs/>
          <w:sz w:val="24"/>
          <w:szCs w:val="24"/>
        </w:rPr>
        <w:t>;;;;;;;;;;;;;;;;;;;;;;;;;;;;</w:t>
      </w:r>
      <w:proofErr w:type="gramEnd"/>
      <w:r w:rsidR="007D7C07" w:rsidRPr="006A4C3F">
        <w:rPr>
          <w:rStyle w:val="Bodytext22"/>
          <w:b/>
          <w:bCs/>
          <w:sz w:val="24"/>
          <w:szCs w:val="24"/>
        </w:rPr>
        <w:t xml:space="preserve"> APPELLANT</w:t>
      </w:r>
    </w:p>
    <w:p w:rsidR="007D7C07" w:rsidRPr="006A4C3F" w:rsidRDefault="00FE7471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 xml:space="preserve">            </w:t>
      </w:r>
      <w:r w:rsidR="006A4C3F" w:rsidRPr="006A4C3F">
        <w:rPr>
          <w:rStyle w:val="Bodytext22"/>
          <w:b/>
          <w:bCs/>
          <w:sz w:val="24"/>
          <w:szCs w:val="24"/>
        </w:rPr>
        <w:t xml:space="preserve"> </w:t>
      </w:r>
      <w:r w:rsidR="006A4C3F" w:rsidRPr="006A4C3F">
        <w:rPr>
          <w:rStyle w:val="Bodytext2Italic0"/>
          <w:b/>
          <w:bCs/>
          <w:sz w:val="24"/>
          <w:szCs w:val="24"/>
        </w:rPr>
        <w:t>V</w:t>
      </w:r>
      <w:r w:rsidR="007D7C07" w:rsidRPr="006A4C3F">
        <w:rPr>
          <w:rStyle w:val="Bodytext2Italic0"/>
          <w:b/>
          <w:bCs/>
          <w:sz w:val="24"/>
          <w:szCs w:val="24"/>
        </w:rPr>
        <w:t>ERSES</w:t>
      </w:r>
      <w:r w:rsidR="006A4C3F" w:rsidRPr="006A4C3F">
        <w:rPr>
          <w:rStyle w:val="Bodytext22"/>
          <w:b/>
          <w:bCs/>
          <w:sz w:val="24"/>
          <w:szCs w:val="24"/>
        </w:rPr>
        <w:t xml:space="preserve"> </w:t>
      </w:r>
    </w:p>
    <w:p w:rsidR="007D7C07" w:rsidRPr="006A4C3F" w:rsidRDefault="006A4C3F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KIGANDA PETER</w:t>
      </w:r>
      <w:proofErr w:type="gramStart"/>
      <w:r w:rsidR="007D7C07" w:rsidRPr="006A4C3F">
        <w:rPr>
          <w:rStyle w:val="Bodytext22"/>
          <w:b/>
          <w:bCs/>
          <w:sz w:val="24"/>
          <w:szCs w:val="24"/>
        </w:rPr>
        <w:t>;;;;;;;;;;;;;;;;;;;;;;;;;;;;;;;;;;;;;;;;;;;;;</w:t>
      </w:r>
      <w:proofErr w:type="gramEnd"/>
      <w:r w:rsidR="007D7C07" w:rsidRPr="006A4C3F">
        <w:rPr>
          <w:rStyle w:val="Bodytext22"/>
          <w:b/>
          <w:bCs/>
          <w:sz w:val="24"/>
          <w:szCs w:val="24"/>
        </w:rPr>
        <w:t xml:space="preserve"> DEFENDANTS</w:t>
      </w:r>
    </w:p>
    <w:p w:rsidR="007D7C07" w:rsidRPr="006A4C3F" w:rsidRDefault="007D7C07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rStyle w:val="Bodytext22"/>
          <w:b/>
          <w:bCs/>
          <w:sz w:val="24"/>
          <w:szCs w:val="24"/>
        </w:rPr>
      </w:pPr>
    </w:p>
    <w:p w:rsidR="004831CE" w:rsidRPr="006A4C3F" w:rsidRDefault="008B1F39" w:rsidP="006A4C3F">
      <w:pPr>
        <w:pStyle w:val="Bodytext20"/>
        <w:shd w:val="clear" w:color="auto" w:fill="auto"/>
        <w:spacing w:after="211" w:line="360" w:lineRule="auto"/>
        <w:ind w:right="40"/>
        <w:jc w:val="both"/>
        <w:rPr>
          <w:sz w:val="24"/>
          <w:szCs w:val="24"/>
        </w:rPr>
      </w:pPr>
      <w:r w:rsidRPr="006A4C3F">
        <w:rPr>
          <w:rStyle w:val="BodyText1"/>
          <w:sz w:val="24"/>
          <w:szCs w:val="24"/>
        </w:rPr>
        <w:t xml:space="preserve"> </w:t>
      </w:r>
      <w:proofErr w:type="spellStart"/>
      <w:r w:rsidR="006A4C3F" w:rsidRPr="006A4C3F">
        <w:rPr>
          <w:rStyle w:val="Bodytext3Bold"/>
          <w:sz w:val="24"/>
          <w:szCs w:val="24"/>
        </w:rPr>
        <w:t>Labour</w:t>
      </w:r>
      <w:proofErr w:type="spellEnd"/>
      <w:r w:rsidR="006A4C3F" w:rsidRPr="006A4C3F">
        <w:rPr>
          <w:rStyle w:val="Bodytext3Bold"/>
          <w:sz w:val="24"/>
          <w:szCs w:val="24"/>
        </w:rPr>
        <w:t xml:space="preserve"> Law</w:t>
      </w:r>
      <w:r w:rsidR="006A4C3F" w:rsidRPr="006A4C3F">
        <w:rPr>
          <w:rStyle w:val="Bodytext3Bold0"/>
          <w:i w:val="0"/>
          <w:iCs w:val="0"/>
          <w:sz w:val="24"/>
          <w:szCs w:val="24"/>
        </w:rPr>
        <w:t>—</w:t>
      </w:r>
      <w:r w:rsidR="006A4C3F" w:rsidRPr="006A4C3F">
        <w:rPr>
          <w:rStyle w:val="Bodytext32"/>
          <w:sz w:val="24"/>
          <w:szCs w:val="24"/>
        </w:rPr>
        <w:t>Employment</w:t>
      </w:r>
      <w:r w:rsidR="006A4C3F" w:rsidRPr="006A4C3F">
        <w:rPr>
          <w:rStyle w:val="Bodytext34pt"/>
          <w:i w:val="0"/>
          <w:iCs w:val="0"/>
          <w:sz w:val="24"/>
          <w:szCs w:val="24"/>
        </w:rPr>
        <w:t>—</w:t>
      </w:r>
      <w:r w:rsidR="006A4C3F" w:rsidRPr="006A4C3F">
        <w:rPr>
          <w:rStyle w:val="Bodytext32"/>
          <w:sz w:val="24"/>
          <w:szCs w:val="24"/>
        </w:rPr>
        <w:t>Pension—Calculation of pension for employee where salary/wages and allowances are conso</w:t>
      </w:r>
      <w:r w:rsidR="006A4C3F" w:rsidRPr="006A4C3F">
        <w:rPr>
          <w:rStyle w:val="Bodytext32"/>
          <w:sz w:val="24"/>
          <w:szCs w:val="24"/>
        </w:rPr>
        <w:t>lidated</w:t>
      </w:r>
    </w:p>
    <w:p w:rsidR="004831CE" w:rsidRPr="006A4C3F" w:rsidRDefault="006A4C3F" w:rsidP="006A4C3F">
      <w:pPr>
        <w:pStyle w:val="BodyText3"/>
        <w:shd w:val="clear" w:color="auto" w:fill="auto"/>
        <w:spacing w:before="0" w:after="236" w:line="360" w:lineRule="auto"/>
        <w:ind w:left="20" w:right="40"/>
        <w:jc w:val="both"/>
        <w:rPr>
          <w:sz w:val="24"/>
          <w:szCs w:val="24"/>
        </w:rPr>
      </w:pPr>
      <w:r w:rsidRPr="006A4C3F">
        <w:rPr>
          <w:rStyle w:val="BodyText1"/>
          <w:sz w:val="24"/>
          <w:szCs w:val="24"/>
        </w:rPr>
        <w:t xml:space="preserve">The respondent was employed by the appellant from </w:t>
      </w:r>
      <w:r w:rsidRPr="006A4C3F">
        <w:rPr>
          <w:rStyle w:val="BodyText23"/>
          <w:sz w:val="24"/>
          <w:szCs w:val="24"/>
        </w:rPr>
        <w:t xml:space="preserve">June 1980 as </w:t>
      </w:r>
      <w:r w:rsidRPr="006A4C3F">
        <w:rPr>
          <w:rStyle w:val="BodyText1"/>
          <w:sz w:val="24"/>
          <w:szCs w:val="24"/>
        </w:rPr>
        <w:t xml:space="preserve">an Accounts Assistant. He was subsequently promoted to the post of Accounts Clerk. His services were terminated on grounds of flouting the Board's </w:t>
      </w:r>
      <w:r w:rsidRPr="006A4C3F">
        <w:rPr>
          <w:rStyle w:val="BodyText23"/>
          <w:sz w:val="24"/>
          <w:szCs w:val="24"/>
        </w:rPr>
        <w:t xml:space="preserve">procurement; hence </w:t>
      </w:r>
      <w:r w:rsidRPr="006A4C3F">
        <w:rPr>
          <w:rStyle w:val="BodyText1"/>
          <w:sz w:val="24"/>
          <w:szCs w:val="24"/>
        </w:rPr>
        <w:t xml:space="preserve">gross misconduct. </w:t>
      </w:r>
      <w:r w:rsidRPr="006A4C3F">
        <w:rPr>
          <w:rStyle w:val="BodyText23"/>
          <w:sz w:val="24"/>
          <w:szCs w:val="24"/>
        </w:rPr>
        <w:t>O</w:t>
      </w:r>
      <w:r w:rsidRPr="006A4C3F">
        <w:rPr>
          <w:rStyle w:val="BodyText23"/>
          <w:sz w:val="24"/>
          <w:szCs w:val="24"/>
        </w:rPr>
        <w:t xml:space="preserve">n </w:t>
      </w:r>
      <w:r w:rsidRPr="006A4C3F">
        <w:rPr>
          <w:rStyle w:val="BodyText1"/>
          <w:sz w:val="24"/>
          <w:szCs w:val="24"/>
        </w:rPr>
        <w:t xml:space="preserve">termination, the respondent was paid terminal benefits which </w:t>
      </w:r>
      <w:r w:rsidRPr="006A4C3F">
        <w:rPr>
          <w:rStyle w:val="BodyText23"/>
          <w:sz w:val="24"/>
          <w:szCs w:val="24"/>
        </w:rPr>
        <w:t xml:space="preserve">he disputed </w:t>
      </w:r>
      <w:r w:rsidRPr="006A4C3F">
        <w:rPr>
          <w:rStyle w:val="BodyText1"/>
          <w:sz w:val="24"/>
          <w:szCs w:val="24"/>
        </w:rPr>
        <w:t xml:space="preserve">and claimed for </w:t>
      </w:r>
      <w:r w:rsidRPr="006A4C3F">
        <w:rPr>
          <w:rStyle w:val="BodyText1"/>
          <w:sz w:val="24"/>
          <w:szCs w:val="24"/>
        </w:rPr>
        <w:lastRenderedPageBreak/>
        <w:t xml:space="preserve">gratuity. It was contended that the appellant did not </w:t>
      </w:r>
      <w:r w:rsidRPr="006A4C3F">
        <w:rPr>
          <w:rStyle w:val="BodyText23"/>
          <w:sz w:val="24"/>
          <w:szCs w:val="24"/>
        </w:rPr>
        <w:t xml:space="preserve">qualify </w:t>
      </w:r>
      <w:r w:rsidRPr="006A4C3F">
        <w:rPr>
          <w:rStyle w:val="BodyText1"/>
          <w:sz w:val="24"/>
          <w:szCs w:val="24"/>
        </w:rPr>
        <w:t xml:space="preserve">for pension </w:t>
      </w:r>
      <w:r w:rsidRPr="006A4C3F">
        <w:rPr>
          <w:rStyle w:val="BodyText23"/>
          <w:sz w:val="24"/>
          <w:szCs w:val="24"/>
        </w:rPr>
        <w:t xml:space="preserve">at </w:t>
      </w:r>
      <w:r w:rsidRPr="006A4C3F">
        <w:rPr>
          <w:rStyle w:val="BodyText1"/>
          <w:sz w:val="24"/>
          <w:szCs w:val="24"/>
        </w:rPr>
        <w:t xml:space="preserve">the time his services were terminated. The appellant denied any liability. Save for the </w:t>
      </w:r>
      <w:r w:rsidRPr="006A4C3F">
        <w:rPr>
          <w:rStyle w:val="BodyText1"/>
          <w:sz w:val="24"/>
          <w:szCs w:val="24"/>
        </w:rPr>
        <w:t xml:space="preserve">extra two months in lieu of notice, the appellant asserted that it had paid the </w:t>
      </w:r>
      <w:r w:rsidRPr="006A4C3F">
        <w:rPr>
          <w:rStyle w:val="BodyText23"/>
          <w:sz w:val="24"/>
          <w:szCs w:val="24"/>
        </w:rPr>
        <w:t xml:space="preserve">entire respondent’s </w:t>
      </w:r>
      <w:r w:rsidRPr="006A4C3F">
        <w:rPr>
          <w:rStyle w:val="BodyText1"/>
          <w:sz w:val="24"/>
          <w:szCs w:val="24"/>
        </w:rPr>
        <w:t>terminal benefits/gratuity.</w:t>
      </w:r>
    </w:p>
    <w:p w:rsidR="004831CE" w:rsidRPr="006A4C3F" w:rsidRDefault="006A4C3F" w:rsidP="006A4C3F">
      <w:pPr>
        <w:pStyle w:val="BodyText3"/>
        <w:shd w:val="clear" w:color="auto" w:fill="auto"/>
        <w:spacing w:before="0" w:after="244" w:line="360" w:lineRule="auto"/>
        <w:ind w:left="20" w:right="40"/>
        <w:jc w:val="both"/>
        <w:rPr>
          <w:sz w:val="24"/>
          <w:szCs w:val="24"/>
        </w:rPr>
      </w:pPr>
      <w:r w:rsidRPr="006A4C3F">
        <w:rPr>
          <w:rStyle w:val="BodyText1"/>
          <w:sz w:val="24"/>
          <w:szCs w:val="24"/>
        </w:rPr>
        <w:t xml:space="preserve">Judgment was entered in favour of the respondent. Aggrieved by part </w:t>
      </w:r>
      <w:r w:rsidRPr="006A4C3F">
        <w:rPr>
          <w:rStyle w:val="BodyText23"/>
          <w:sz w:val="24"/>
          <w:szCs w:val="24"/>
        </w:rPr>
        <w:t xml:space="preserve">of the judgment, an </w:t>
      </w:r>
      <w:r w:rsidRPr="006A4C3F">
        <w:rPr>
          <w:rStyle w:val="BodyText1"/>
          <w:sz w:val="24"/>
          <w:szCs w:val="24"/>
        </w:rPr>
        <w:t xml:space="preserve">appeal was lodged on grounds inter alia that the consolidated </w:t>
      </w:r>
      <w:r w:rsidRPr="006A4C3F">
        <w:rPr>
          <w:rStyle w:val="BodyText23"/>
          <w:sz w:val="24"/>
          <w:szCs w:val="24"/>
        </w:rPr>
        <w:t xml:space="preserve">salary figure did not </w:t>
      </w:r>
      <w:r w:rsidRPr="006A4C3F">
        <w:rPr>
          <w:rStyle w:val="BodyText1"/>
          <w:sz w:val="24"/>
          <w:szCs w:val="24"/>
        </w:rPr>
        <w:t>constitute his basic pay after consolidation.</w:t>
      </w:r>
    </w:p>
    <w:p w:rsidR="004831CE" w:rsidRPr="006A4C3F" w:rsidRDefault="006A4C3F" w:rsidP="006A4C3F">
      <w:pPr>
        <w:pStyle w:val="Bodytext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6A4C3F">
        <w:rPr>
          <w:rStyle w:val="Bodytext22"/>
          <w:b/>
          <w:bCs/>
          <w:sz w:val="24"/>
          <w:szCs w:val="24"/>
        </w:rPr>
        <w:t>HELD:</w:t>
      </w:r>
    </w:p>
    <w:p w:rsidR="004831CE" w:rsidRPr="006A4C3F" w:rsidRDefault="006A4C3F" w:rsidP="006A4C3F">
      <w:pPr>
        <w:pStyle w:val="BodyText3"/>
        <w:shd w:val="clear" w:color="auto" w:fill="auto"/>
        <w:spacing w:before="0" w:after="283" w:line="360" w:lineRule="auto"/>
        <w:ind w:left="400" w:right="40"/>
        <w:jc w:val="both"/>
        <w:rPr>
          <w:sz w:val="24"/>
          <w:szCs w:val="24"/>
        </w:rPr>
      </w:pPr>
      <w:r w:rsidRPr="006A4C3F">
        <w:rPr>
          <w:rStyle w:val="BodyText1"/>
          <w:sz w:val="24"/>
          <w:szCs w:val="24"/>
        </w:rPr>
        <w:t xml:space="preserve">Calculation of pension for employee where salary/wages </w:t>
      </w:r>
      <w:r w:rsidRPr="006A4C3F">
        <w:rPr>
          <w:rStyle w:val="BodyText23"/>
          <w:sz w:val="24"/>
          <w:szCs w:val="24"/>
        </w:rPr>
        <w:t xml:space="preserve">and allowances are </w:t>
      </w:r>
      <w:r w:rsidRPr="006A4C3F">
        <w:rPr>
          <w:rStyle w:val="BodyText1"/>
          <w:sz w:val="24"/>
          <w:szCs w:val="24"/>
        </w:rPr>
        <w:t>consolidated should be based on the consolidat</w:t>
      </w:r>
      <w:r w:rsidRPr="006A4C3F">
        <w:rPr>
          <w:rStyle w:val="BodyText1"/>
          <w:sz w:val="24"/>
          <w:szCs w:val="24"/>
        </w:rPr>
        <w:t xml:space="preserve">ed figure. In the instant </w:t>
      </w:r>
      <w:r w:rsidRPr="006A4C3F">
        <w:rPr>
          <w:rStyle w:val="BodyText23"/>
          <w:sz w:val="24"/>
          <w:szCs w:val="24"/>
        </w:rPr>
        <w:t xml:space="preserve">case, it would </w:t>
      </w:r>
      <w:r w:rsidRPr="006A4C3F">
        <w:rPr>
          <w:rStyle w:val="BodyText1"/>
          <w:sz w:val="24"/>
          <w:szCs w:val="24"/>
        </w:rPr>
        <w:t xml:space="preserve">have been better for the </w:t>
      </w:r>
      <w:r w:rsidRPr="006A4C3F">
        <w:rPr>
          <w:rStyle w:val="BodyText23"/>
          <w:sz w:val="24"/>
          <w:szCs w:val="24"/>
        </w:rPr>
        <w:t xml:space="preserve">Board </w:t>
      </w:r>
      <w:r w:rsidRPr="006A4C3F">
        <w:rPr>
          <w:rStyle w:val="BodyText1"/>
          <w:sz w:val="24"/>
          <w:szCs w:val="24"/>
        </w:rPr>
        <w:t xml:space="preserve">to come out with a specific </w:t>
      </w:r>
      <w:r w:rsidRPr="006A4C3F">
        <w:rPr>
          <w:rStyle w:val="BodyText23"/>
          <w:sz w:val="24"/>
          <w:szCs w:val="24"/>
        </w:rPr>
        <w:t xml:space="preserve">statement on the </w:t>
      </w:r>
      <w:r w:rsidRPr="006A4C3F">
        <w:rPr>
          <w:rStyle w:val="BodyText1"/>
          <w:sz w:val="24"/>
          <w:szCs w:val="24"/>
        </w:rPr>
        <w:t xml:space="preserve">computation of service gratuity. The defendant having agreed </w:t>
      </w:r>
      <w:r w:rsidRPr="006A4C3F">
        <w:rPr>
          <w:rStyle w:val="BodyText23"/>
          <w:sz w:val="24"/>
          <w:szCs w:val="24"/>
        </w:rPr>
        <w:t xml:space="preserve">to consolidate the </w:t>
      </w:r>
      <w:proofErr w:type="gramStart"/>
      <w:r w:rsidRPr="006A4C3F">
        <w:rPr>
          <w:rStyle w:val="BodyText1"/>
          <w:sz w:val="24"/>
          <w:szCs w:val="24"/>
        </w:rPr>
        <w:t>plaintiffs</w:t>
      </w:r>
      <w:proofErr w:type="gramEnd"/>
      <w:r w:rsidRPr="006A4C3F">
        <w:rPr>
          <w:rStyle w:val="BodyText1"/>
          <w:sz w:val="24"/>
          <w:szCs w:val="24"/>
        </w:rPr>
        <w:t xml:space="preserve"> emoluments, it could not now turn around and see</w:t>
      </w:r>
      <w:r w:rsidRPr="006A4C3F">
        <w:rPr>
          <w:rStyle w:val="BodyText1"/>
          <w:sz w:val="24"/>
          <w:szCs w:val="24"/>
        </w:rPr>
        <w:t xml:space="preserve">k to </w:t>
      </w:r>
      <w:r w:rsidRPr="006A4C3F">
        <w:rPr>
          <w:rStyle w:val="BodyText23"/>
          <w:sz w:val="24"/>
          <w:szCs w:val="24"/>
        </w:rPr>
        <w:t xml:space="preserve">open it </w:t>
      </w:r>
      <w:r w:rsidRPr="006A4C3F">
        <w:rPr>
          <w:rStyle w:val="BodyText1"/>
          <w:sz w:val="24"/>
          <w:szCs w:val="24"/>
        </w:rPr>
        <w:t xml:space="preserve">to </w:t>
      </w:r>
      <w:r w:rsidRPr="006A4C3F">
        <w:rPr>
          <w:rStyle w:val="BodyText23"/>
          <w:sz w:val="24"/>
          <w:szCs w:val="24"/>
        </w:rPr>
        <w:t xml:space="preserve">look at the </w:t>
      </w:r>
      <w:r w:rsidRPr="006A4C3F">
        <w:rPr>
          <w:rStyle w:val="BodyText1"/>
          <w:sz w:val="24"/>
          <w:szCs w:val="24"/>
        </w:rPr>
        <w:t xml:space="preserve">individual elements of that package for purposes of computing his </w:t>
      </w:r>
      <w:r w:rsidRPr="006A4C3F">
        <w:rPr>
          <w:rStyle w:val="BodyText23"/>
          <w:sz w:val="24"/>
          <w:szCs w:val="24"/>
        </w:rPr>
        <w:t>gratuity.</w:t>
      </w:r>
    </w:p>
    <w:p w:rsidR="004831CE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rStyle w:val="Bodytext32"/>
          <w:i/>
          <w:iCs/>
          <w:sz w:val="24"/>
          <w:szCs w:val="24"/>
        </w:rPr>
      </w:pPr>
      <w:r w:rsidRPr="006A4C3F">
        <w:rPr>
          <w:rStyle w:val="Bodytext32"/>
          <w:i/>
          <w:iCs/>
          <w:sz w:val="24"/>
          <w:szCs w:val="24"/>
        </w:rPr>
        <w:t>Appeal dismissed with costs. Orders of High Court upheld.</w:t>
      </w: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rStyle w:val="Bodytext32"/>
          <w:i/>
          <w:iCs/>
          <w:sz w:val="24"/>
          <w:szCs w:val="24"/>
        </w:rPr>
      </w:pP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rStyle w:val="Bodytext32"/>
          <w:i/>
          <w:iCs/>
          <w:sz w:val="24"/>
          <w:szCs w:val="24"/>
        </w:rPr>
      </w:pP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rStyle w:val="Bodytext32"/>
          <w:i/>
          <w:iCs/>
          <w:sz w:val="24"/>
          <w:szCs w:val="24"/>
        </w:rPr>
      </w:pPr>
      <w:r w:rsidRPr="006A4C3F">
        <w:rPr>
          <w:rStyle w:val="Bodytext32"/>
          <w:i/>
          <w:iCs/>
          <w:sz w:val="24"/>
          <w:szCs w:val="24"/>
        </w:rPr>
        <w:t>Dated this 27</w:t>
      </w:r>
      <w:r w:rsidRPr="006A4C3F">
        <w:rPr>
          <w:rStyle w:val="Bodytext32"/>
          <w:i/>
          <w:iCs/>
          <w:sz w:val="24"/>
          <w:szCs w:val="24"/>
          <w:vertAlign w:val="superscript"/>
        </w:rPr>
        <w:t>th</w:t>
      </w:r>
      <w:r w:rsidRPr="006A4C3F">
        <w:rPr>
          <w:rStyle w:val="Bodytext32"/>
          <w:i/>
          <w:iCs/>
          <w:sz w:val="24"/>
          <w:szCs w:val="24"/>
        </w:rPr>
        <w:t xml:space="preserve"> day of October 2006</w:t>
      </w:r>
    </w:p>
    <w:p w:rsidR="008B1F39" w:rsidRPr="006A4C3F" w:rsidRDefault="008B1F39" w:rsidP="006A4C3F">
      <w:pPr>
        <w:pStyle w:val="Bodytext31"/>
        <w:shd w:val="clear" w:color="auto" w:fill="auto"/>
        <w:spacing w:before="0" w:after="0" w:line="360" w:lineRule="auto"/>
        <w:ind w:left="20"/>
        <w:rPr>
          <w:rStyle w:val="Bodytext32"/>
          <w:i/>
          <w:iCs/>
          <w:sz w:val="24"/>
          <w:szCs w:val="24"/>
        </w:rPr>
      </w:pPr>
    </w:p>
    <w:p w:rsidR="008B1F39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6A4C3F">
        <w:rPr>
          <w:sz w:val="24"/>
          <w:szCs w:val="24"/>
        </w:rPr>
        <w:t>Mukasa Kikonyogo, D.C.J</w:t>
      </w: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6A4C3F">
        <w:rPr>
          <w:sz w:val="24"/>
          <w:szCs w:val="24"/>
        </w:rPr>
        <w:t xml:space="preserve">Twinomujuni, J.A </w:t>
      </w: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</w:p>
    <w:p w:rsidR="006A4C3F" w:rsidRPr="006A4C3F" w:rsidRDefault="006A4C3F" w:rsidP="006A4C3F">
      <w:pPr>
        <w:pStyle w:val="Bodytext31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6A4C3F">
        <w:rPr>
          <w:sz w:val="24"/>
          <w:szCs w:val="24"/>
        </w:rPr>
        <w:t xml:space="preserve">Kavuma J.A </w:t>
      </w:r>
    </w:p>
    <w:sectPr w:rsidR="006A4C3F" w:rsidRPr="006A4C3F">
      <w:type w:val="continuous"/>
      <w:pgSz w:w="12240" w:h="15840"/>
      <w:pgMar w:top="2206" w:right="1778" w:bottom="2206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39" w:rsidRDefault="008B1F39">
      <w:r>
        <w:separator/>
      </w:r>
    </w:p>
  </w:endnote>
  <w:endnote w:type="continuationSeparator" w:id="0">
    <w:p w:rsidR="008B1F39" w:rsidRDefault="008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39" w:rsidRDefault="008B1F39"/>
  </w:footnote>
  <w:footnote w:type="continuationSeparator" w:id="0">
    <w:p w:rsidR="008B1F39" w:rsidRDefault="008B1F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E"/>
    <w:rsid w:val="004831CE"/>
    <w:rsid w:val="006A4C3F"/>
    <w:rsid w:val="007D7C07"/>
    <w:rsid w:val="008B1F39"/>
    <w:rsid w:val="00D136F4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Bold0">
    <w:name w:val="Body text (3) + Bold"/>
    <w:aliases w:val="Not Italic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pt">
    <w:name w:val="Body text (3) + 4 pt"/>
    <w:aliases w:val="Not Italic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">
    <w:name w:val="Body text (3) + Bold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Bold0">
    <w:name w:val="Body text (3) + Bold"/>
    <w:aliases w:val="Not Italic"/>
    <w:basedOn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34pt">
    <w:name w:val="Body text (3) + 4 pt"/>
    <w:aliases w:val="Not Italic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2016-06-02T08:00:00Z</dcterms:created>
  <dcterms:modified xsi:type="dcterms:W3CDTF">2016-06-02T09:00:00Z</dcterms:modified>
</cp:coreProperties>
</file>