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67D6" w14:textId="77777777" w:rsidR="008D42C5" w:rsidRPr="00D159A5" w:rsidRDefault="00431678">
      <w:pPr>
        <w:jc w:val="center"/>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THE REPUBLIC OF UGANDA</w:t>
      </w:r>
    </w:p>
    <w:p w14:paraId="2E5156CF" w14:textId="77777777" w:rsidR="008D42C5" w:rsidRPr="00D159A5" w:rsidRDefault="00431678">
      <w:pPr>
        <w:jc w:val="center"/>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IN THE HIGH COURT OF UGANDA AT KAMPALA</w:t>
      </w:r>
    </w:p>
    <w:p w14:paraId="017C036B" w14:textId="77777777" w:rsidR="008D42C5" w:rsidRPr="00D159A5" w:rsidRDefault="00431678">
      <w:pPr>
        <w:jc w:val="center"/>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INTERNATIONAL CRIMES DIVISION</w:t>
      </w:r>
    </w:p>
    <w:p w14:paraId="0D9BC68A" w14:textId="77777777" w:rsidR="008D42C5" w:rsidRPr="00D159A5" w:rsidRDefault="00431678">
      <w:pPr>
        <w:jc w:val="center"/>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HCT-00-ICD-SC-0016-2022</w:t>
      </w:r>
    </w:p>
    <w:p w14:paraId="2C1C451F" w14:textId="00212884" w:rsidR="008D42C5" w:rsidRPr="00D159A5" w:rsidRDefault="00D159A5">
      <w:pPr>
        <w:jc w:val="center"/>
        <w:rPr>
          <w:rFonts w:ascii="Arial Hebrew Scholar" w:hAnsi="Arial Hebrew Scholar" w:cs="Arial Hebrew Scholar"/>
          <w:b/>
          <w:sz w:val="24"/>
          <w:szCs w:val="24"/>
        </w:rPr>
      </w:pPr>
      <w:proofErr w:type="gramStart"/>
      <w:r>
        <w:rPr>
          <w:rFonts w:ascii="Arial Hebrew Scholar" w:hAnsi="Arial Hebrew Scholar" w:cs="Arial Hebrew Scholar" w:hint="cs"/>
          <w:b/>
          <w:sz w:val="24"/>
          <w:szCs w:val="24"/>
        </w:rPr>
        <w:t>UGANDA :</w:t>
      </w:r>
      <w:proofErr w:type="gramEnd"/>
      <w:r>
        <w:rPr>
          <w:rFonts w:ascii="Arial Hebrew Scholar" w:hAnsi="Arial Hebrew Scholar" w:cs="Arial Hebrew Scholar" w:hint="cs"/>
          <w:b/>
          <w:sz w:val="24"/>
          <w:szCs w:val="24"/>
        </w:rPr>
        <w:t>::::::::::::</w:t>
      </w:r>
      <w:r w:rsidR="00431678" w:rsidRPr="00D159A5">
        <w:rPr>
          <w:rFonts w:ascii="Arial Hebrew Scholar" w:hAnsi="Arial Hebrew Scholar" w:cs="Arial Hebrew Scholar" w:hint="cs"/>
          <w:b/>
          <w:sz w:val="24"/>
          <w:szCs w:val="24"/>
        </w:rPr>
        <w:t>::::::::::::::::::::::::::::::::::::::::::::::::::::::::::::::: PROSECUTOR</w:t>
      </w:r>
    </w:p>
    <w:p w14:paraId="539482F3" w14:textId="77777777" w:rsidR="008D42C5" w:rsidRPr="00D159A5" w:rsidRDefault="00431678">
      <w:pPr>
        <w:jc w:val="center"/>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VERSUS</w:t>
      </w:r>
    </w:p>
    <w:p w14:paraId="03708DD1" w14:textId="77777777" w:rsidR="008D42C5" w:rsidRPr="00D159A5" w:rsidRDefault="00431678">
      <w:pPr>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 xml:space="preserve"> A1 KASIBANTE DAVID </w:t>
      </w:r>
    </w:p>
    <w:p w14:paraId="0FFD4B84" w14:textId="4A0A1ED1" w:rsidR="008D42C5" w:rsidRPr="00D159A5" w:rsidRDefault="00431678">
      <w:pPr>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 xml:space="preserve"> A2 NAMAK</w:t>
      </w:r>
      <w:r w:rsidR="00D159A5">
        <w:rPr>
          <w:rFonts w:ascii="Arial Hebrew Scholar" w:hAnsi="Arial Hebrew Scholar" w:cs="Arial Hebrew Scholar" w:hint="cs"/>
          <w:b/>
          <w:sz w:val="24"/>
          <w:szCs w:val="24"/>
        </w:rPr>
        <w:t xml:space="preserve">ULA </w:t>
      </w:r>
      <w:proofErr w:type="gramStart"/>
      <w:r w:rsidR="00D159A5">
        <w:rPr>
          <w:rFonts w:ascii="Arial Hebrew Scholar" w:hAnsi="Arial Hebrew Scholar" w:cs="Arial Hebrew Scholar" w:hint="cs"/>
          <w:b/>
          <w:sz w:val="24"/>
          <w:szCs w:val="24"/>
        </w:rPr>
        <w:t>MARIAM  :</w:t>
      </w:r>
      <w:proofErr w:type="gramEnd"/>
      <w:r w:rsidR="00D159A5">
        <w:rPr>
          <w:rFonts w:ascii="Arial Hebrew Scholar" w:hAnsi="Arial Hebrew Scholar" w:cs="Arial Hebrew Scholar" w:hint="cs"/>
          <w:b/>
          <w:sz w:val="24"/>
          <w:szCs w:val="24"/>
        </w:rPr>
        <w:t>:::::::</w:t>
      </w:r>
      <w:r w:rsidRPr="00D159A5">
        <w:rPr>
          <w:rFonts w:ascii="Arial Hebrew Scholar" w:hAnsi="Arial Hebrew Scholar" w:cs="Arial Hebrew Scholar" w:hint="cs"/>
          <w:b/>
          <w:sz w:val="24"/>
          <w:szCs w:val="24"/>
        </w:rPr>
        <w:t>::::::::::::::::::::::::::::::::::::::::::::::: ACCUSED</w:t>
      </w:r>
    </w:p>
    <w:p w14:paraId="0346D076" w14:textId="77777777" w:rsidR="008D42C5" w:rsidRPr="00D159A5" w:rsidRDefault="00431678">
      <w:pPr>
        <w:rPr>
          <w:rFonts w:ascii="Arial Hebrew Scholar" w:hAnsi="Arial Hebrew Scholar" w:cs="Arial Hebrew Scholar"/>
          <w:b/>
          <w:sz w:val="24"/>
          <w:szCs w:val="24"/>
        </w:rPr>
      </w:pPr>
      <w:r w:rsidRPr="00D159A5">
        <w:rPr>
          <w:rFonts w:ascii="Arial Hebrew Scholar" w:hAnsi="Arial Hebrew Scholar" w:cs="Arial Hebrew Scholar" w:hint="cs"/>
          <w:sz w:val="24"/>
          <w:szCs w:val="24"/>
        </w:rPr>
        <w:tab/>
      </w:r>
      <w:r w:rsidRPr="00D159A5">
        <w:rPr>
          <w:rFonts w:ascii="Arial Hebrew Scholar" w:hAnsi="Arial Hebrew Scholar" w:cs="Arial Hebrew Scholar" w:hint="cs"/>
          <w:sz w:val="24"/>
          <w:szCs w:val="24"/>
        </w:rPr>
        <w:tab/>
      </w:r>
      <w:r w:rsidRPr="00D159A5">
        <w:rPr>
          <w:rFonts w:ascii="Arial Hebrew Scholar" w:hAnsi="Arial Hebrew Scholar" w:cs="Arial Hebrew Scholar" w:hint="cs"/>
          <w:sz w:val="24"/>
          <w:szCs w:val="24"/>
        </w:rPr>
        <w:tab/>
      </w:r>
      <w:r w:rsidRPr="00D159A5">
        <w:rPr>
          <w:rFonts w:ascii="Arial Hebrew Scholar" w:hAnsi="Arial Hebrew Scholar" w:cs="Arial Hebrew Scholar" w:hint="cs"/>
          <w:b/>
          <w:sz w:val="24"/>
          <w:szCs w:val="24"/>
        </w:rPr>
        <w:t>BEFORE: HON JUSTICE SUSAN OKALANY</w:t>
      </w:r>
    </w:p>
    <w:p w14:paraId="4EB7F99C" w14:textId="77777777" w:rsidR="008D42C5" w:rsidRPr="00D159A5" w:rsidRDefault="00431678">
      <w:pPr>
        <w:jc w:val="center"/>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CONFIRMATION OF CHARGES RULING</w:t>
      </w:r>
    </w:p>
    <w:p w14:paraId="02EFBF1A" w14:textId="77777777" w:rsidR="008D42C5" w:rsidRPr="00D159A5" w:rsidRDefault="00431678">
      <w:pPr>
        <w:jc w:val="both"/>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BACKGROUND</w:t>
      </w:r>
    </w:p>
    <w:p w14:paraId="4283025D"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b/>
          <w:i/>
          <w:sz w:val="24"/>
          <w:szCs w:val="24"/>
        </w:rPr>
      </w:pPr>
      <w:r w:rsidRPr="00D159A5">
        <w:rPr>
          <w:rFonts w:ascii="Arial Hebrew Scholar" w:hAnsi="Arial Hebrew Scholar" w:cs="Arial Hebrew Scholar" w:hint="cs"/>
          <w:sz w:val="24"/>
          <w:szCs w:val="24"/>
        </w:rPr>
        <w:t xml:space="preserve">In count 1 of the indictment, </w:t>
      </w:r>
      <w:proofErr w:type="spellStart"/>
      <w:r w:rsidRPr="00D159A5">
        <w:rPr>
          <w:rFonts w:ascii="Arial Hebrew Scholar" w:hAnsi="Arial Hebrew Scholar" w:cs="Arial Hebrew Scholar" w:hint="cs"/>
          <w:sz w:val="24"/>
          <w:szCs w:val="24"/>
        </w:rPr>
        <w:t>Kasibante</w:t>
      </w:r>
      <w:proofErr w:type="spellEnd"/>
      <w:r w:rsidRPr="00D159A5">
        <w:rPr>
          <w:rFonts w:ascii="Arial Hebrew Scholar" w:hAnsi="Arial Hebrew Scholar" w:cs="Arial Hebrew Scholar" w:hint="cs"/>
          <w:sz w:val="24"/>
          <w:szCs w:val="24"/>
        </w:rPr>
        <w:t xml:space="preserve"> David alias Mustafa (A1) and Namakula Ma</w:t>
      </w:r>
      <w:r w:rsidRPr="00D159A5">
        <w:rPr>
          <w:rFonts w:ascii="Arial Hebrew Scholar" w:hAnsi="Arial Hebrew Scholar" w:cs="Arial Hebrew Scholar" w:hint="cs"/>
          <w:sz w:val="24"/>
          <w:szCs w:val="24"/>
        </w:rPr>
        <w:t xml:space="preserve">riam (A2) are jointly charged with </w:t>
      </w:r>
      <w:r w:rsidRPr="00D159A5">
        <w:rPr>
          <w:rFonts w:ascii="Arial Hebrew Scholar" w:hAnsi="Arial Hebrew Scholar" w:cs="Arial Hebrew Scholar" w:hint="cs"/>
          <w:b/>
          <w:i/>
          <w:sz w:val="24"/>
          <w:szCs w:val="24"/>
        </w:rPr>
        <w:t>Aggravated Trafficking in children contrary to Section 3(1) (a) and 5(a) of Prevention of Trafficking in Persons Act, (PTIPA) 2009</w:t>
      </w:r>
      <w:r w:rsidRPr="00D159A5">
        <w:rPr>
          <w:rFonts w:ascii="Arial Hebrew Scholar" w:hAnsi="Arial Hebrew Scholar" w:cs="Arial Hebrew Scholar" w:hint="cs"/>
          <w:sz w:val="24"/>
          <w:szCs w:val="24"/>
        </w:rPr>
        <w:t xml:space="preserve"> and in count 2 of the indictment, A1 is charged with </w:t>
      </w:r>
      <w:r w:rsidRPr="00D159A5">
        <w:rPr>
          <w:rFonts w:ascii="Arial Hebrew Scholar" w:hAnsi="Arial Hebrew Scholar" w:cs="Arial Hebrew Scholar" w:hint="cs"/>
          <w:b/>
          <w:i/>
          <w:sz w:val="24"/>
          <w:szCs w:val="24"/>
        </w:rPr>
        <w:t>Aggravated Defilement contrary to Sec</w:t>
      </w:r>
      <w:r w:rsidRPr="00D159A5">
        <w:rPr>
          <w:rFonts w:ascii="Arial Hebrew Scholar" w:hAnsi="Arial Hebrew Scholar" w:cs="Arial Hebrew Scholar" w:hint="cs"/>
          <w:b/>
          <w:i/>
          <w:sz w:val="24"/>
          <w:szCs w:val="24"/>
        </w:rPr>
        <w:t>tion 129(3) and 4(a) of the Penal Code Act Cap. 120 as amended.</w:t>
      </w:r>
    </w:p>
    <w:p w14:paraId="36FE934A" w14:textId="2D893058" w:rsidR="008D42C5" w:rsidRPr="00D159A5" w:rsidRDefault="00431678">
      <w:pPr>
        <w:pStyle w:val="ListParagraph"/>
        <w:numPr>
          <w:ilvl w:val="0"/>
          <w:numId w:val="1"/>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It is alleged in count 1 that between December 2018 and April 2021 at </w:t>
      </w:r>
      <w:proofErr w:type="spellStart"/>
      <w:r w:rsidRPr="00D159A5">
        <w:rPr>
          <w:rFonts w:ascii="Arial Hebrew Scholar" w:hAnsi="Arial Hebrew Scholar" w:cs="Arial Hebrew Scholar" w:hint="cs"/>
          <w:sz w:val="24"/>
          <w:szCs w:val="24"/>
        </w:rPr>
        <w:t>Seeta</w:t>
      </w:r>
      <w:proofErr w:type="spellEnd"/>
      <w:r w:rsidRPr="00D159A5">
        <w:rPr>
          <w:rFonts w:ascii="Arial Hebrew Scholar" w:hAnsi="Arial Hebrew Scholar" w:cs="Arial Hebrew Scholar" w:hint="cs"/>
          <w:sz w:val="24"/>
          <w:szCs w:val="24"/>
        </w:rPr>
        <w:t xml:space="preserve">, in </w:t>
      </w:r>
      <w:proofErr w:type="spellStart"/>
      <w:r w:rsidRPr="00D159A5">
        <w:rPr>
          <w:rFonts w:ascii="Arial Hebrew Scholar" w:hAnsi="Arial Hebrew Scholar" w:cs="Arial Hebrew Scholar" w:hint="cs"/>
          <w:sz w:val="24"/>
          <w:szCs w:val="24"/>
        </w:rPr>
        <w:t>Mukono</w:t>
      </w:r>
      <w:proofErr w:type="spellEnd"/>
      <w:r w:rsidRPr="00D159A5">
        <w:rPr>
          <w:rFonts w:ascii="Arial Hebrew Scholar" w:hAnsi="Arial Hebrew Scholar" w:cs="Arial Hebrew Scholar" w:hint="cs"/>
          <w:sz w:val="24"/>
          <w:szCs w:val="24"/>
        </w:rPr>
        <w:t xml:space="preserve"> District and at </w:t>
      </w:r>
      <w:proofErr w:type="spellStart"/>
      <w:r w:rsidRPr="00D159A5">
        <w:rPr>
          <w:rFonts w:ascii="Arial Hebrew Scholar" w:hAnsi="Arial Hebrew Scholar" w:cs="Arial Hebrew Scholar" w:hint="cs"/>
          <w:sz w:val="24"/>
          <w:szCs w:val="24"/>
        </w:rPr>
        <w:t>Nanfuka</w:t>
      </w:r>
      <w:proofErr w:type="spellEnd"/>
      <w:r w:rsidRPr="00D159A5">
        <w:rPr>
          <w:rFonts w:ascii="Arial Hebrew Scholar" w:hAnsi="Arial Hebrew Scholar" w:cs="Arial Hebrew Scholar" w:hint="cs"/>
          <w:sz w:val="24"/>
          <w:szCs w:val="24"/>
        </w:rPr>
        <w:t xml:space="preserve"> Zone-</w:t>
      </w:r>
      <w:proofErr w:type="spellStart"/>
      <w:r w:rsidRPr="00D159A5">
        <w:rPr>
          <w:rFonts w:ascii="Arial Hebrew Scholar" w:hAnsi="Arial Hebrew Scholar" w:cs="Arial Hebrew Scholar" w:hint="cs"/>
          <w:sz w:val="24"/>
          <w:szCs w:val="24"/>
        </w:rPr>
        <w:t>Nateete</w:t>
      </w:r>
      <w:proofErr w:type="spellEnd"/>
      <w:r w:rsidRPr="00D159A5">
        <w:rPr>
          <w:rFonts w:ascii="Arial Hebrew Scholar" w:hAnsi="Arial Hebrew Scholar" w:cs="Arial Hebrew Scholar" w:hint="cs"/>
          <w:sz w:val="24"/>
          <w:szCs w:val="24"/>
        </w:rPr>
        <w:t xml:space="preserve">, </w:t>
      </w:r>
      <w:proofErr w:type="spellStart"/>
      <w:r w:rsidRPr="00D159A5">
        <w:rPr>
          <w:rFonts w:ascii="Arial Hebrew Scholar" w:hAnsi="Arial Hebrew Scholar" w:cs="Arial Hebrew Scholar" w:hint="cs"/>
          <w:sz w:val="24"/>
          <w:szCs w:val="24"/>
        </w:rPr>
        <w:t>Rubaga</w:t>
      </w:r>
      <w:proofErr w:type="spellEnd"/>
      <w:r w:rsidRPr="00D159A5">
        <w:rPr>
          <w:rFonts w:ascii="Arial Hebrew Scholar" w:hAnsi="Arial Hebrew Scholar" w:cs="Arial Hebrew Scholar" w:hint="cs"/>
          <w:sz w:val="24"/>
          <w:szCs w:val="24"/>
        </w:rPr>
        <w:t xml:space="preserve"> Division in Kampala District, the accused persons recruited </w:t>
      </w:r>
      <w:r w:rsidRPr="00D159A5">
        <w:rPr>
          <w:rFonts w:ascii="Arial Hebrew Scholar" w:hAnsi="Arial Hebrew Scholar" w:cs="Arial Hebrew Scholar" w:hint="cs"/>
          <w:sz w:val="24"/>
          <w:szCs w:val="24"/>
        </w:rPr>
        <w:t>or transferred or harboured or received Kisakye Betty (herein after referred to as the victim), a girl aged 16 years</w:t>
      </w:r>
      <w:r w:rsidRPr="00D159A5">
        <w:rPr>
          <w:rFonts w:ascii="Arial Hebrew Scholar" w:hAnsi="Arial Hebrew Scholar" w:cs="Arial Hebrew Scholar" w:hint="cs"/>
          <w:color w:val="000000" w:themeColor="text1"/>
          <w:sz w:val="24"/>
          <w:szCs w:val="24"/>
        </w:rPr>
        <w:t>,</w:t>
      </w:r>
      <w:r w:rsidRPr="00D159A5">
        <w:rPr>
          <w:rFonts w:ascii="Arial Hebrew Scholar" w:hAnsi="Arial Hebrew Scholar" w:cs="Arial Hebrew Scholar" w:hint="cs"/>
          <w:sz w:val="24"/>
          <w:szCs w:val="24"/>
        </w:rPr>
        <w:t xml:space="preserve"> by means of deception or abuse of power or position of vulnerability, for the purpose of sexual exploitation. It is also alleged that A1 i</w:t>
      </w:r>
      <w:r w:rsidRPr="00D159A5">
        <w:rPr>
          <w:rFonts w:ascii="Arial Hebrew Scholar" w:hAnsi="Arial Hebrew Scholar" w:cs="Arial Hebrew Scholar" w:hint="cs"/>
          <w:sz w:val="24"/>
          <w:szCs w:val="24"/>
        </w:rPr>
        <w:t>n the same period and places as aforementioned, performed a sexual act with the victim.</w:t>
      </w:r>
    </w:p>
    <w:p w14:paraId="5F653EC5"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z w:val="24"/>
          <w:szCs w:val="24"/>
        </w:rPr>
      </w:pPr>
      <w:r w:rsidRPr="00D159A5">
        <w:rPr>
          <w:rFonts w:ascii="Arial Hebrew Scholar" w:eastAsia="Times New Roman" w:hAnsi="Arial Hebrew Scholar" w:cs="Arial Hebrew Scholar" w:hint="cs"/>
          <w:sz w:val="24"/>
          <w:szCs w:val="24"/>
        </w:rPr>
        <w:t xml:space="preserve">The summary of the evidence on record as well as the evidence disclosed by the prosecution to the accused and to this court is that A1 and A2 are residents </w:t>
      </w:r>
      <w:r w:rsidRPr="00D159A5">
        <w:rPr>
          <w:rFonts w:ascii="Arial Hebrew Scholar" w:eastAsia="Times New Roman" w:hAnsi="Arial Hebrew Scholar" w:cs="Arial Hebrew Scholar" w:hint="cs"/>
          <w:sz w:val="24"/>
          <w:szCs w:val="24"/>
        </w:rPr>
        <w:lastRenderedPageBreak/>
        <w:t xml:space="preserve">of </w:t>
      </w:r>
      <w:proofErr w:type="spellStart"/>
      <w:r w:rsidRPr="00D159A5">
        <w:rPr>
          <w:rFonts w:ascii="Arial Hebrew Scholar" w:hAnsi="Arial Hebrew Scholar" w:cs="Arial Hebrew Scholar" w:hint="cs"/>
          <w:sz w:val="24"/>
          <w:szCs w:val="24"/>
        </w:rPr>
        <w:t>Nanfuka</w:t>
      </w:r>
      <w:proofErr w:type="spellEnd"/>
      <w:r w:rsidRPr="00D159A5">
        <w:rPr>
          <w:rFonts w:ascii="Arial Hebrew Scholar" w:hAnsi="Arial Hebrew Scholar" w:cs="Arial Hebrew Scholar" w:hint="cs"/>
          <w:sz w:val="24"/>
          <w:szCs w:val="24"/>
        </w:rPr>
        <w:t xml:space="preserve"> Zone-</w:t>
      </w:r>
      <w:proofErr w:type="spellStart"/>
      <w:r w:rsidRPr="00D159A5">
        <w:rPr>
          <w:rFonts w:ascii="Arial Hebrew Scholar" w:hAnsi="Arial Hebrew Scholar" w:cs="Arial Hebrew Scholar" w:hint="cs"/>
          <w:sz w:val="24"/>
          <w:szCs w:val="24"/>
        </w:rPr>
        <w:t>Nateete</w:t>
      </w:r>
      <w:proofErr w:type="spellEnd"/>
      <w:r w:rsidRPr="00D159A5">
        <w:rPr>
          <w:rFonts w:ascii="Arial Hebrew Scholar" w:hAnsi="Arial Hebrew Scholar" w:cs="Arial Hebrew Scholar" w:hint="cs"/>
          <w:sz w:val="24"/>
          <w:szCs w:val="24"/>
        </w:rPr>
        <w:t xml:space="preserve">, </w:t>
      </w:r>
      <w:proofErr w:type="spellStart"/>
      <w:r w:rsidRPr="00D159A5">
        <w:rPr>
          <w:rFonts w:ascii="Arial Hebrew Scholar" w:hAnsi="Arial Hebrew Scholar" w:cs="Arial Hebrew Scholar" w:hint="cs"/>
          <w:sz w:val="24"/>
          <w:szCs w:val="24"/>
        </w:rPr>
        <w:t>Rubaga</w:t>
      </w:r>
      <w:proofErr w:type="spellEnd"/>
      <w:r w:rsidRPr="00D159A5">
        <w:rPr>
          <w:rFonts w:ascii="Arial Hebrew Scholar" w:hAnsi="Arial Hebrew Scholar" w:cs="Arial Hebrew Scholar" w:hint="cs"/>
          <w:sz w:val="24"/>
          <w:szCs w:val="24"/>
        </w:rPr>
        <w:t xml:space="preserve"> Division in Kampala District and </w:t>
      </w:r>
      <w:proofErr w:type="spellStart"/>
      <w:r w:rsidRPr="00D159A5">
        <w:rPr>
          <w:rFonts w:ascii="Arial Hebrew Scholar" w:hAnsi="Arial Hebrew Scholar" w:cs="Arial Hebrew Scholar" w:hint="cs"/>
          <w:sz w:val="24"/>
          <w:szCs w:val="24"/>
        </w:rPr>
        <w:t>Seeta</w:t>
      </w:r>
      <w:proofErr w:type="spellEnd"/>
      <w:r w:rsidRPr="00D159A5">
        <w:rPr>
          <w:rFonts w:ascii="Arial Hebrew Scholar" w:hAnsi="Arial Hebrew Scholar" w:cs="Arial Hebrew Scholar" w:hint="cs"/>
          <w:sz w:val="24"/>
          <w:szCs w:val="24"/>
        </w:rPr>
        <w:t xml:space="preserve"> in </w:t>
      </w:r>
      <w:proofErr w:type="spellStart"/>
      <w:r w:rsidRPr="00D159A5">
        <w:rPr>
          <w:rFonts w:ascii="Arial Hebrew Scholar" w:hAnsi="Arial Hebrew Scholar" w:cs="Arial Hebrew Scholar" w:hint="cs"/>
          <w:sz w:val="24"/>
          <w:szCs w:val="24"/>
        </w:rPr>
        <w:t>Mukono</w:t>
      </w:r>
      <w:proofErr w:type="spellEnd"/>
      <w:r w:rsidRPr="00D159A5">
        <w:rPr>
          <w:rFonts w:ascii="Arial Hebrew Scholar" w:hAnsi="Arial Hebrew Scholar" w:cs="Arial Hebrew Scholar" w:hint="cs"/>
          <w:sz w:val="24"/>
          <w:szCs w:val="24"/>
        </w:rPr>
        <w:t xml:space="preserve"> District respectively.</w:t>
      </w:r>
    </w:p>
    <w:p w14:paraId="4A25F0F2"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z w:val="24"/>
          <w:szCs w:val="24"/>
        </w:rPr>
      </w:pPr>
      <w:r w:rsidRPr="00D159A5">
        <w:rPr>
          <w:rFonts w:ascii="Arial Hebrew Scholar" w:eastAsia="Times New Roman" w:hAnsi="Arial Hebrew Scholar" w:cs="Arial Hebrew Scholar" w:hint="cs"/>
          <w:sz w:val="24"/>
          <w:szCs w:val="24"/>
        </w:rPr>
        <w:t xml:space="preserve">In 2017, the accused met the victim and befriended her. That same year, the victim disappeared from A2’s home where she used to live and entered into a purported </w:t>
      </w:r>
      <w:r w:rsidRPr="00D159A5">
        <w:rPr>
          <w:rFonts w:ascii="Arial Hebrew Scholar" w:eastAsia="Times New Roman" w:hAnsi="Arial Hebrew Scholar" w:cs="Arial Hebrew Scholar" w:hint="cs"/>
          <w:sz w:val="24"/>
          <w:szCs w:val="24"/>
        </w:rPr>
        <w:t xml:space="preserve">marriage with A1. A2, who is also her aunt, reported the victim’s disappearance to the area Local Council 1 (LC1) chairperson, but never followed up the matter. The victim subsequently got pregnant but her baby died at birth. </w:t>
      </w:r>
    </w:p>
    <w:p w14:paraId="2C99448A"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 A1 having observed that the </w:t>
      </w:r>
      <w:r w:rsidRPr="00D159A5">
        <w:rPr>
          <w:rFonts w:ascii="Arial Hebrew Scholar" w:hAnsi="Arial Hebrew Scholar" w:cs="Arial Hebrew Scholar" w:hint="cs"/>
          <w:sz w:val="24"/>
          <w:szCs w:val="24"/>
        </w:rPr>
        <w:t>victim’s health was deteriorating after giving birth, called A2 who picked the victim from him and took her to her home for treatment. When the victim recovered, A1 with approval of A2, took the victim back to his home having allegedly given A2 three loave</w:t>
      </w:r>
      <w:r w:rsidRPr="00D159A5">
        <w:rPr>
          <w:rFonts w:ascii="Arial Hebrew Scholar" w:hAnsi="Arial Hebrew Scholar" w:cs="Arial Hebrew Scholar" w:hint="cs"/>
          <w:sz w:val="24"/>
          <w:szCs w:val="24"/>
        </w:rPr>
        <w:t>s of bread, three kilogrammes of sugar, two bars of soap and three hundred thousand shillings.</w:t>
      </w:r>
    </w:p>
    <w:p w14:paraId="0EE726B2"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After a short while, the victim informed A2 that she was returning home as her intended job of being a house maid had failed. However, the victim did not return </w:t>
      </w:r>
      <w:r w:rsidRPr="00D159A5">
        <w:rPr>
          <w:rFonts w:ascii="Arial Hebrew Scholar" w:hAnsi="Arial Hebrew Scholar" w:cs="Arial Hebrew Scholar" w:hint="cs"/>
          <w:sz w:val="24"/>
          <w:szCs w:val="24"/>
        </w:rPr>
        <w:t>home and in April 2021, A2 learnt that she was working and living in Nateete since A1 chased her away from his home. In the same period, A1 reported a case of theft of his money totalling to 1,400,000/= by the victim. He subsequently led police to the vict</w:t>
      </w:r>
      <w:r w:rsidRPr="00D159A5">
        <w:rPr>
          <w:rFonts w:ascii="Arial Hebrew Scholar" w:hAnsi="Arial Hebrew Scholar" w:cs="Arial Hebrew Scholar" w:hint="cs"/>
          <w:sz w:val="24"/>
          <w:szCs w:val="24"/>
        </w:rPr>
        <w:t>im’s house to arrest her. When the police went to arrest the victim, they found A.2 at the same premises as she had gone to visit the victim.</w:t>
      </w:r>
    </w:p>
    <w:p w14:paraId="54C435DB"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A1 was arrested and upon interrogation, he informed police that A2 had allowed him to stay with the victim after h</w:t>
      </w:r>
      <w:r w:rsidRPr="00D159A5">
        <w:rPr>
          <w:rFonts w:ascii="Arial Hebrew Scholar" w:hAnsi="Arial Hebrew Scholar" w:cs="Arial Hebrew Scholar" w:hint="cs"/>
          <w:sz w:val="24"/>
          <w:szCs w:val="24"/>
        </w:rPr>
        <w:t xml:space="preserve">e had given her some items and cash. A2 was also arrested and both were charged accordingly. A1 was examined on Police Form 24A and found to be an adult of normal mental status. The victim was also medically examined and it was found that she was 16 years </w:t>
      </w:r>
      <w:r w:rsidRPr="00D159A5">
        <w:rPr>
          <w:rFonts w:ascii="Arial Hebrew Scholar" w:hAnsi="Arial Hebrew Scholar" w:cs="Arial Hebrew Scholar" w:hint="cs"/>
          <w:sz w:val="24"/>
          <w:szCs w:val="24"/>
        </w:rPr>
        <w:t>of age with a ruptured hymen.</w:t>
      </w:r>
    </w:p>
    <w:p w14:paraId="07574CCA" w14:textId="77777777" w:rsidR="00941122" w:rsidRDefault="00941122">
      <w:pPr>
        <w:spacing w:line="360" w:lineRule="auto"/>
        <w:jc w:val="both"/>
        <w:rPr>
          <w:rFonts w:ascii="Arial Hebrew Scholar" w:hAnsi="Arial Hebrew Scholar" w:cs="Arial Hebrew Scholar"/>
          <w:b/>
          <w:bCs/>
          <w:sz w:val="24"/>
          <w:szCs w:val="24"/>
        </w:rPr>
      </w:pPr>
    </w:p>
    <w:p w14:paraId="0652FF6F" w14:textId="56FB7228" w:rsidR="008D42C5" w:rsidRPr="00D159A5" w:rsidRDefault="00431678">
      <w:pPr>
        <w:spacing w:line="360" w:lineRule="auto"/>
        <w:jc w:val="both"/>
        <w:rPr>
          <w:rFonts w:ascii="Arial Hebrew Scholar" w:hAnsi="Arial Hebrew Scholar" w:cs="Arial Hebrew Scholar"/>
          <w:b/>
          <w:bCs/>
          <w:sz w:val="24"/>
          <w:szCs w:val="24"/>
        </w:rPr>
      </w:pPr>
      <w:r w:rsidRPr="00D159A5">
        <w:rPr>
          <w:rFonts w:ascii="Arial Hebrew Scholar" w:hAnsi="Arial Hebrew Scholar" w:cs="Arial Hebrew Scholar" w:hint="cs"/>
          <w:b/>
          <w:bCs/>
          <w:sz w:val="24"/>
          <w:szCs w:val="24"/>
        </w:rPr>
        <w:lastRenderedPageBreak/>
        <w:t xml:space="preserve">LIST OF EXHIBITS </w:t>
      </w:r>
    </w:p>
    <w:p w14:paraId="391DF5E1"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The following documents were identified as documents that the prosecution intends to adduce in evidence:</w:t>
      </w:r>
    </w:p>
    <w:p w14:paraId="4D6E8730" w14:textId="77777777" w:rsidR="008D42C5" w:rsidRPr="00D159A5" w:rsidRDefault="00431678">
      <w:pPr>
        <w:pStyle w:val="ListParagraph"/>
        <w:numPr>
          <w:ilvl w:val="0"/>
          <w:numId w:val="2"/>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PID1, which is the complainant’s statement made in May 2021 by Deputy Sergeant 31833, </w:t>
      </w:r>
      <w:proofErr w:type="spellStart"/>
      <w:r w:rsidRPr="00D159A5">
        <w:rPr>
          <w:rFonts w:ascii="Arial Hebrew Scholar" w:hAnsi="Arial Hebrew Scholar" w:cs="Arial Hebrew Scholar" w:hint="cs"/>
          <w:sz w:val="24"/>
          <w:szCs w:val="24"/>
        </w:rPr>
        <w:t>Alikoba</w:t>
      </w:r>
      <w:proofErr w:type="spellEnd"/>
      <w:r w:rsidRPr="00D159A5">
        <w:rPr>
          <w:rFonts w:ascii="Arial Hebrew Scholar" w:hAnsi="Arial Hebrew Scholar" w:cs="Arial Hebrew Scholar" w:hint="cs"/>
          <w:sz w:val="24"/>
          <w:szCs w:val="24"/>
        </w:rPr>
        <w:t xml:space="preserve"> Sarah and</w:t>
      </w:r>
      <w:r w:rsidRPr="00D159A5">
        <w:rPr>
          <w:rFonts w:ascii="Arial Hebrew Scholar" w:hAnsi="Arial Hebrew Scholar" w:cs="Arial Hebrew Scholar" w:hint="cs"/>
          <w:sz w:val="24"/>
          <w:szCs w:val="24"/>
        </w:rPr>
        <w:t xml:space="preserve"> which is an account of how she learnt about the case before the court;</w:t>
      </w:r>
    </w:p>
    <w:p w14:paraId="24451D19" w14:textId="77777777" w:rsidR="008D42C5" w:rsidRPr="00D159A5" w:rsidRDefault="00431678">
      <w:pPr>
        <w:pStyle w:val="ListParagraph"/>
        <w:numPr>
          <w:ilvl w:val="0"/>
          <w:numId w:val="2"/>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PID2, which is the victim’s statement made in April 2021 narrating the facts that led to this case;</w:t>
      </w:r>
    </w:p>
    <w:p w14:paraId="0A7A07B3" w14:textId="77777777" w:rsidR="008D42C5" w:rsidRPr="00D159A5" w:rsidRDefault="00431678">
      <w:pPr>
        <w:pStyle w:val="ListParagraph"/>
        <w:numPr>
          <w:ilvl w:val="0"/>
          <w:numId w:val="2"/>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PID3, which is the statement of the investigating officer - No. 62361 D/C </w:t>
      </w:r>
      <w:proofErr w:type="spellStart"/>
      <w:r w:rsidRPr="00D159A5">
        <w:rPr>
          <w:rFonts w:ascii="Arial Hebrew Scholar" w:hAnsi="Arial Hebrew Scholar" w:cs="Arial Hebrew Scholar" w:hint="cs"/>
          <w:sz w:val="24"/>
          <w:szCs w:val="24"/>
        </w:rPr>
        <w:t>Mbabazi</w:t>
      </w:r>
      <w:proofErr w:type="spellEnd"/>
      <w:r w:rsidRPr="00D159A5">
        <w:rPr>
          <w:rFonts w:ascii="Arial Hebrew Scholar" w:hAnsi="Arial Hebrew Scholar" w:cs="Arial Hebrew Scholar" w:hint="cs"/>
          <w:sz w:val="24"/>
          <w:szCs w:val="24"/>
        </w:rPr>
        <w:t xml:space="preserve"> </w:t>
      </w:r>
      <w:proofErr w:type="spellStart"/>
      <w:r w:rsidRPr="00D159A5">
        <w:rPr>
          <w:rFonts w:ascii="Arial Hebrew Scholar" w:hAnsi="Arial Hebrew Scholar" w:cs="Arial Hebrew Scholar" w:hint="cs"/>
          <w:sz w:val="24"/>
          <w:szCs w:val="24"/>
        </w:rPr>
        <w:t>Ad</w:t>
      </w:r>
      <w:r w:rsidRPr="00D159A5">
        <w:rPr>
          <w:rFonts w:ascii="Arial Hebrew Scholar" w:hAnsi="Arial Hebrew Scholar" w:cs="Arial Hebrew Scholar" w:hint="cs"/>
          <w:sz w:val="24"/>
          <w:szCs w:val="24"/>
        </w:rPr>
        <w:t>rine</w:t>
      </w:r>
      <w:proofErr w:type="spellEnd"/>
      <w:r w:rsidRPr="00D159A5">
        <w:rPr>
          <w:rFonts w:ascii="Arial Hebrew Scholar" w:hAnsi="Arial Hebrew Scholar" w:cs="Arial Hebrew Scholar" w:hint="cs"/>
          <w:sz w:val="24"/>
          <w:szCs w:val="24"/>
        </w:rPr>
        <w:t xml:space="preserve"> made in May 2021 recounting how she received instructions from D/Sgt </w:t>
      </w:r>
      <w:proofErr w:type="spellStart"/>
      <w:r w:rsidRPr="00D159A5">
        <w:rPr>
          <w:rFonts w:ascii="Arial Hebrew Scholar" w:hAnsi="Arial Hebrew Scholar" w:cs="Arial Hebrew Scholar" w:hint="cs"/>
          <w:sz w:val="24"/>
          <w:szCs w:val="24"/>
        </w:rPr>
        <w:t>Alikoba</w:t>
      </w:r>
      <w:proofErr w:type="spellEnd"/>
      <w:r w:rsidRPr="00D159A5">
        <w:rPr>
          <w:rFonts w:ascii="Arial Hebrew Scholar" w:hAnsi="Arial Hebrew Scholar" w:cs="Arial Hebrew Scholar" w:hint="cs"/>
          <w:sz w:val="24"/>
          <w:szCs w:val="24"/>
        </w:rPr>
        <w:t xml:space="preserve"> Sarah to investigate this case and the steps she took thereafter; </w:t>
      </w:r>
    </w:p>
    <w:p w14:paraId="068619AD" w14:textId="253E4400" w:rsidR="008D42C5" w:rsidRPr="00D159A5" w:rsidRDefault="00431678">
      <w:pPr>
        <w:pStyle w:val="ListParagraph"/>
        <w:numPr>
          <w:ilvl w:val="0"/>
          <w:numId w:val="2"/>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PID4(a) and PID4(b), which are A1’s plain statement and charge and caution statement made in April 2021 nar</w:t>
      </w:r>
      <w:r w:rsidRPr="00D159A5">
        <w:rPr>
          <w:rFonts w:ascii="Arial Hebrew Scholar" w:hAnsi="Arial Hebrew Scholar" w:cs="Arial Hebrew Scholar" w:hint="cs"/>
          <w:sz w:val="24"/>
          <w:szCs w:val="24"/>
        </w:rPr>
        <w:t>rating</w:t>
      </w:r>
      <w:r w:rsidRPr="00D159A5">
        <w:rPr>
          <w:rFonts w:ascii="Arial Hebrew Scholar" w:hAnsi="Arial Hebrew Scholar" w:cs="Arial Hebrew Scholar"/>
          <w:sz w:val="24"/>
          <w:szCs w:val="24"/>
          <w:lang w:val="en-US"/>
        </w:rPr>
        <w:t xml:space="preserve"> </w:t>
      </w:r>
      <w:r w:rsidRPr="00D159A5">
        <w:rPr>
          <w:rFonts w:ascii="Arial Hebrew Scholar" w:hAnsi="Arial Hebrew Scholar" w:cs="Arial Hebrew Scholar" w:hint="cs"/>
          <w:sz w:val="24"/>
          <w:szCs w:val="24"/>
        </w:rPr>
        <w:t>his side of the story concerning the charges brought against him;</w:t>
      </w:r>
    </w:p>
    <w:p w14:paraId="6193A570" w14:textId="77777777" w:rsidR="008D42C5" w:rsidRPr="00D159A5" w:rsidRDefault="00431678">
      <w:pPr>
        <w:pStyle w:val="ListParagraph"/>
        <w:numPr>
          <w:ilvl w:val="0"/>
          <w:numId w:val="2"/>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 PID5, which is A2’s plain statement made in April 2021 narrating what she knows about this case;</w:t>
      </w:r>
    </w:p>
    <w:p w14:paraId="783E9E3D" w14:textId="77777777" w:rsidR="008D42C5" w:rsidRPr="00D159A5" w:rsidRDefault="00431678">
      <w:pPr>
        <w:pStyle w:val="ListParagraph"/>
        <w:numPr>
          <w:ilvl w:val="0"/>
          <w:numId w:val="2"/>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PID6, which is a sketch plan of the crime scene drawn in April 2021 by D/C </w:t>
      </w:r>
      <w:proofErr w:type="spellStart"/>
      <w:r w:rsidRPr="00D159A5">
        <w:rPr>
          <w:rFonts w:ascii="Arial Hebrew Scholar" w:hAnsi="Arial Hebrew Scholar" w:cs="Arial Hebrew Scholar" w:hint="cs"/>
          <w:sz w:val="24"/>
          <w:szCs w:val="24"/>
        </w:rPr>
        <w:t>Mbabazi</w:t>
      </w:r>
      <w:proofErr w:type="spellEnd"/>
      <w:r w:rsidRPr="00D159A5">
        <w:rPr>
          <w:rFonts w:ascii="Arial Hebrew Scholar" w:hAnsi="Arial Hebrew Scholar" w:cs="Arial Hebrew Scholar" w:hint="cs"/>
          <w:sz w:val="24"/>
          <w:szCs w:val="24"/>
        </w:rPr>
        <w:t xml:space="preserve"> </w:t>
      </w:r>
      <w:proofErr w:type="spellStart"/>
      <w:r w:rsidRPr="00D159A5">
        <w:rPr>
          <w:rFonts w:ascii="Arial Hebrew Scholar" w:hAnsi="Arial Hebrew Scholar" w:cs="Arial Hebrew Scholar" w:hint="cs"/>
          <w:sz w:val="24"/>
          <w:szCs w:val="24"/>
        </w:rPr>
        <w:t>Adrine</w:t>
      </w:r>
      <w:proofErr w:type="spellEnd"/>
      <w:r w:rsidRPr="00D159A5">
        <w:rPr>
          <w:rFonts w:ascii="Arial Hebrew Scholar" w:hAnsi="Arial Hebrew Scholar" w:cs="Arial Hebrew Scholar" w:hint="cs"/>
          <w:sz w:val="24"/>
          <w:szCs w:val="24"/>
        </w:rPr>
        <w:t>, the investigating officer attached to this matter;</w:t>
      </w:r>
    </w:p>
    <w:p w14:paraId="15498139" w14:textId="77777777" w:rsidR="008D42C5" w:rsidRPr="00D159A5" w:rsidRDefault="00431678">
      <w:pPr>
        <w:pStyle w:val="ListParagraph"/>
        <w:numPr>
          <w:ilvl w:val="0"/>
          <w:numId w:val="2"/>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PID7, which is Police Form 3A dated 28</w:t>
      </w:r>
      <w:r w:rsidRPr="00D159A5">
        <w:rPr>
          <w:rFonts w:ascii="Arial Hebrew Scholar" w:hAnsi="Arial Hebrew Scholar" w:cs="Arial Hebrew Scholar" w:hint="cs"/>
          <w:sz w:val="24"/>
          <w:szCs w:val="24"/>
          <w:vertAlign w:val="superscript"/>
        </w:rPr>
        <w:t>th</w:t>
      </w:r>
      <w:r w:rsidRPr="00D159A5">
        <w:rPr>
          <w:rFonts w:ascii="Arial Hebrew Scholar" w:hAnsi="Arial Hebrew Scholar" w:cs="Arial Hebrew Scholar" w:hint="cs"/>
          <w:sz w:val="24"/>
          <w:szCs w:val="24"/>
        </w:rPr>
        <w:t xml:space="preserve"> April 2021 prepared by Bwanika Ahmed, the medical practitioner who examined the victim; and</w:t>
      </w:r>
    </w:p>
    <w:p w14:paraId="3FEF334F" w14:textId="77777777" w:rsidR="008D42C5" w:rsidRPr="00D159A5" w:rsidRDefault="00431678">
      <w:pPr>
        <w:pStyle w:val="ListParagraph"/>
        <w:numPr>
          <w:ilvl w:val="0"/>
          <w:numId w:val="2"/>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 PID8, which is Police Form 24A dated 18th November 2021 prepare</w:t>
      </w:r>
      <w:r w:rsidRPr="00D159A5">
        <w:rPr>
          <w:rFonts w:ascii="Arial Hebrew Scholar" w:hAnsi="Arial Hebrew Scholar" w:cs="Arial Hebrew Scholar" w:hint="cs"/>
          <w:sz w:val="24"/>
          <w:szCs w:val="24"/>
        </w:rPr>
        <w:t>d by the same Bwanika Ahmed, who also examined the accused.</w:t>
      </w:r>
    </w:p>
    <w:p w14:paraId="5690421A" w14:textId="77777777" w:rsidR="008D42C5" w:rsidRPr="00D159A5" w:rsidRDefault="00431678">
      <w:p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b/>
          <w:sz w:val="24"/>
          <w:szCs w:val="24"/>
        </w:rPr>
        <w:t>REPRESENTATION</w:t>
      </w:r>
    </w:p>
    <w:p w14:paraId="7744C891"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Mr. Richard Birivumbuka, Chief State Attorney was prosecution counsel, while the accused was represented by Mr. Geoffrey Turyamusiima on State Brief.</w:t>
      </w:r>
    </w:p>
    <w:p w14:paraId="24CF5CD0" w14:textId="77777777" w:rsidR="008D42C5" w:rsidRPr="00D159A5" w:rsidRDefault="00431678">
      <w:p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b/>
          <w:sz w:val="24"/>
          <w:szCs w:val="24"/>
        </w:rPr>
        <w:t>BURDEN AND STANDARD OF PROOF</w:t>
      </w:r>
    </w:p>
    <w:p w14:paraId="42284E09"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lastRenderedPageBreak/>
        <w:t xml:space="preserve">It is trite law that the prosecution bears the burden to prove all the elements of the offence charged, except in specific offences, which are not charged in this case. As I have already opined in my previous decisions, particularly in </w:t>
      </w:r>
      <w:r w:rsidRPr="00D159A5">
        <w:rPr>
          <w:rFonts w:ascii="Arial Hebrew Scholar" w:hAnsi="Arial Hebrew Scholar" w:cs="Arial Hebrew Scholar" w:hint="cs"/>
          <w:b/>
          <w:i/>
          <w:sz w:val="24"/>
          <w:szCs w:val="24"/>
        </w:rPr>
        <w:t>Uganda Vs Miria Rwig</w:t>
      </w:r>
      <w:r w:rsidRPr="00D159A5">
        <w:rPr>
          <w:rFonts w:ascii="Arial Hebrew Scholar" w:hAnsi="Arial Hebrew Scholar" w:cs="Arial Hebrew Scholar" w:hint="cs"/>
          <w:b/>
          <w:i/>
          <w:sz w:val="24"/>
          <w:szCs w:val="24"/>
        </w:rPr>
        <w:t xml:space="preserve">ambwa HCT-00-ICD-SC-0006-2021, </w:t>
      </w:r>
      <w:r w:rsidRPr="00D159A5">
        <w:rPr>
          <w:rFonts w:ascii="Arial Hebrew Scholar" w:hAnsi="Arial Hebrew Scholar" w:cs="Arial Hebrew Scholar" w:hint="cs"/>
          <w:sz w:val="24"/>
          <w:szCs w:val="24"/>
        </w:rPr>
        <w:t>and</w:t>
      </w:r>
      <w:r w:rsidRPr="00D159A5">
        <w:rPr>
          <w:rFonts w:ascii="Arial Hebrew Scholar" w:hAnsi="Arial Hebrew Scholar" w:cs="Arial Hebrew Scholar" w:hint="cs"/>
          <w:b/>
          <w:i/>
          <w:sz w:val="24"/>
          <w:szCs w:val="24"/>
        </w:rPr>
        <w:t xml:space="preserve"> Uganda Vs Nsungwa Rose Karamagi HCT-00-ICD-SC-0007-2021</w:t>
      </w:r>
      <w:r w:rsidRPr="00D159A5">
        <w:rPr>
          <w:rFonts w:ascii="Arial Hebrew Scholar" w:hAnsi="Arial Hebrew Scholar" w:cs="Arial Hebrew Scholar" w:hint="cs"/>
          <w:sz w:val="24"/>
          <w:szCs w:val="24"/>
        </w:rPr>
        <w:t xml:space="preserve">, the standard of proof in a pre-trial hearing is not stipulated by the ICD Rules or in the High Court </w:t>
      </w:r>
      <w:r w:rsidRPr="00D159A5">
        <w:rPr>
          <w:rFonts w:ascii="Arial Hebrew Scholar" w:hAnsi="Arial Hebrew Scholar" w:cs="Arial Hebrew Scholar" w:hint="cs"/>
          <w:b/>
          <w:i/>
          <w:sz w:val="24"/>
          <w:szCs w:val="24"/>
        </w:rPr>
        <w:t>(International Crimes Division) Practice Directions, 2011</w:t>
      </w:r>
      <w:r w:rsidRPr="00D159A5">
        <w:rPr>
          <w:rFonts w:ascii="Arial Hebrew Scholar" w:hAnsi="Arial Hebrew Scholar" w:cs="Arial Hebrew Scholar" w:hint="cs"/>
          <w:sz w:val="24"/>
          <w:szCs w:val="24"/>
        </w:rPr>
        <w:t>, whic</w:t>
      </w:r>
      <w:r w:rsidRPr="00D159A5">
        <w:rPr>
          <w:rFonts w:ascii="Arial Hebrew Scholar" w:hAnsi="Arial Hebrew Scholar" w:cs="Arial Hebrew Scholar" w:hint="cs"/>
          <w:sz w:val="24"/>
          <w:szCs w:val="24"/>
        </w:rPr>
        <w:t>h provide for trial procedure in the ICD and which should have provided for the standard that the prosecution must meet in its evidence at the pre-trial hearing, to make the indictment confirmable.</w:t>
      </w:r>
    </w:p>
    <w:p w14:paraId="1F468B22" w14:textId="77777777" w:rsidR="008D42C5" w:rsidRPr="00D159A5" w:rsidRDefault="00431678">
      <w:pPr>
        <w:pStyle w:val="ListParagraph"/>
        <w:numPr>
          <w:ilvl w:val="0"/>
          <w:numId w:val="1"/>
        </w:numPr>
        <w:spacing w:line="360" w:lineRule="auto"/>
        <w:jc w:val="both"/>
        <w:rPr>
          <w:rFonts w:ascii="Arial Hebrew Scholar" w:eastAsia="Cambria" w:hAnsi="Arial Hebrew Scholar" w:cs="Arial Hebrew Scholar"/>
          <w:sz w:val="24"/>
          <w:szCs w:val="24"/>
          <w:lang w:val="en-US"/>
        </w:rPr>
      </w:pPr>
      <w:r w:rsidRPr="00D159A5">
        <w:rPr>
          <w:rFonts w:ascii="Arial Hebrew Scholar" w:eastAsia="Cambria" w:hAnsi="Arial Hebrew Scholar" w:cs="Arial Hebrew Scholar" w:hint="cs"/>
          <w:sz w:val="24"/>
          <w:szCs w:val="24"/>
          <w:lang w:val="en-US"/>
        </w:rPr>
        <w:t>I have decided in those cases that the court would in such</w:t>
      </w:r>
      <w:r w:rsidRPr="00D159A5">
        <w:rPr>
          <w:rFonts w:ascii="Arial Hebrew Scholar" w:eastAsia="Cambria" w:hAnsi="Arial Hebrew Scholar" w:cs="Arial Hebrew Scholar" w:hint="cs"/>
          <w:sz w:val="24"/>
          <w:szCs w:val="24"/>
          <w:lang w:val="en-US"/>
        </w:rPr>
        <w:t xml:space="preserve"> circumstances apply the ICC standard, which is the standard of substantial grounds to believe that the accused committed the crimes charged, as provided for by the Rome Statute in Article 61(7). Uganda is a party to the Rome Statute and has undertaken con</w:t>
      </w:r>
      <w:r w:rsidRPr="00D159A5">
        <w:rPr>
          <w:rFonts w:ascii="Arial Hebrew Scholar" w:eastAsia="Cambria" w:hAnsi="Arial Hebrew Scholar" w:cs="Arial Hebrew Scholar" w:hint="cs"/>
          <w:sz w:val="24"/>
          <w:szCs w:val="24"/>
          <w:lang w:val="en-US"/>
        </w:rPr>
        <w:t>siderable steps to fulfil its obligations therein, including by domesticating the Rome Statute and establishing this court to try international and other serious crimes of a national and transnational nature. The application of relevant provisions of the R</w:t>
      </w:r>
      <w:r w:rsidRPr="00D159A5">
        <w:rPr>
          <w:rFonts w:ascii="Arial Hebrew Scholar" w:eastAsia="Cambria" w:hAnsi="Arial Hebrew Scholar" w:cs="Arial Hebrew Scholar" w:hint="cs"/>
          <w:sz w:val="24"/>
          <w:szCs w:val="24"/>
          <w:lang w:val="en-US"/>
        </w:rPr>
        <w:t>ome Statute and of the ICC Rules of Procedure and Evidence mutatis mutandis, by this Honourable court, in order to fill procedural gaps in the laws establishing this court, is within the powers of this court, since Uganda is bound by all its obligations un</w:t>
      </w:r>
      <w:r w:rsidRPr="00D159A5">
        <w:rPr>
          <w:rFonts w:ascii="Arial Hebrew Scholar" w:eastAsia="Cambria" w:hAnsi="Arial Hebrew Scholar" w:cs="Arial Hebrew Scholar" w:hint="cs"/>
          <w:sz w:val="24"/>
          <w:szCs w:val="24"/>
          <w:lang w:val="en-US"/>
        </w:rPr>
        <w:t>der the Rome Statute.</w:t>
      </w:r>
    </w:p>
    <w:p w14:paraId="70546559" w14:textId="77777777" w:rsidR="008D42C5" w:rsidRPr="00D159A5" w:rsidRDefault="00431678">
      <w:pPr>
        <w:pStyle w:val="ListParagraph"/>
        <w:numPr>
          <w:ilvl w:val="0"/>
          <w:numId w:val="1"/>
        </w:numPr>
        <w:spacing w:line="360" w:lineRule="auto"/>
        <w:jc w:val="both"/>
        <w:rPr>
          <w:rFonts w:ascii="Arial Hebrew Scholar" w:eastAsia="Cambria" w:hAnsi="Arial Hebrew Scholar" w:cs="Arial Hebrew Scholar"/>
          <w:sz w:val="24"/>
          <w:szCs w:val="24"/>
          <w:lang w:val="en-US"/>
        </w:rPr>
      </w:pPr>
      <w:r w:rsidRPr="00D159A5">
        <w:rPr>
          <w:rFonts w:ascii="Arial Hebrew Scholar" w:eastAsia="Cambria" w:hAnsi="Arial Hebrew Scholar" w:cs="Arial Hebrew Scholar" w:hint="cs"/>
          <w:sz w:val="24"/>
          <w:szCs w:val="24"/>
          <w:lang w:val="en-US"/>
        </w:rPr>
        <w:t>The standard of substantial grounds to believe is lower than the standard of a prima facie case, used by our courts to determine whether an accused person should offer a defence to an indictment or not, when the prosecution closes its</w:t>
      </w:r>
      <w:r w:rsidRPr="00D159A5">
        <w:rPr>
          <w:rFonts w:ascii="Arial Hebrew Scholar" w:eastAsia="Cambria" w:hAnsi="Arial Hebrew Scholar" w:cs="Arial Hebrew Scholar" w:hint="cs"/>
          <w:sz w:val="24"/>
          <w:szCs w:val="24"/>
          <w:lang w:val="en-US"/>
        </w:rPr>
        <w:t xml:space="preserve"> case. I think that applying the Rome Statute standard to this pre-trial will not thus prejudice the rights of the accused or the prosecution, if the charges are confirmed, as both parties will still have the chance to present their respective cases at the</w:t>
      </w:r>
      <w:r w:rsidRPr="00D159A5">
        <w:rPr>
          <w:rFonts w:ascii="Arial Hebrew Scholar" w:eastAsia="Cambria" w:hAnsi="Arial Hebrew Scholar" w:cs="Arial Hebrew Scholar" w:hint="cs"/>
          <w:sz w:val="24"/>
          <w:szCs w:val="24"/>
          <w:lang w:val="en-US"/>
        </w:rPr>
        <w:t xml:space="preserve"> trial of the accused. As for the prosecution, if the charges are dismissed for failing to meet the pre-trial standard of proof, the DPP has the </w:t>
      </w:r>
      <w:r w:rsidRPr="00D159A5">
        <w:rPr>
          <w:rFonts w:ascii="Arial Hebrew Scholar" w:eastAsia="Cambria" w:hAnsi="Arial Hebrew Scholar" w:cs="Arial Hebrew Scholar" w:hint="cs"/>
          <w:sz w:val="24"/>
          <w:szCs w:val="24"/>
          <w:lang w:val="en-US"/>
        </w:rPr>
        <w:lastRenderedPageBreak/>
        <w:t>chance, considering that a dismissal at this stage is not an acquittal, of directing the police to conduct furt</w:t>
      </w:r>
      <w:r w:rsidRPr="00D159A5">
        <w:rPr>
          <w:rFonts w:ascii="Arial Hebrew Scholar" w:eastAsia="Cambria" w:hAnsi="Arial Hebrew Scholar" w:cs="Arial Hebrew Scholar" w:hint="cs"/>
          <w:sz w:val="24"/>
          <w:szCs w:val="24"/>
          <w:lang w:val="en-US"/>
        </w:rPr>
        <w:t xml:space="preserve">her investigations and may present the case again to this court for pre-trial on newly obtained evidence.  </w:t>
      </w:r>
    </w:p>
    <w:p w14:paraId="70C10AE7" w14:textId="77777777" w:rsidR="008D42C5" w:rsidRPr="00D159A5" w:rsidRDefault="00431678">
      <w:pPr>
        <w:pStyle w:val="ListParagraph"/>
        <w:numPr>
          <w:ilvl w:val="0"/>
          <w:numId w:val="1"/>
        </w:numPr>
        <w:spacing w:line="360" w:lineRule="auto"/>
        <w:jc w:val="both"/>
        <w:rPr>
          <w:rFonts w:ascii="Arial Hebrew Scholar" w:eastAsia="Cambria" w:hAnsi="Arial Hebrew Scholar" w:cs="Arial Hebrew Scholar"/>
          <w:sz w:val="24"/>
          <w:szCs w:val="24"/>
          <w:lang w:val="en-US"/>
        </w:rPr>
      </w:pPr>
      <w:r w:rsidRPr="00D159A5">
        <w:rPr>
          <w:rFonts w:ascii="Arial Hebrew Scholar" w:eastAsia="Cambria" w:hAnsi="Arial Hebrew Scholar" w:cs="Arial Hebrew Scholar" w:hint="cs"/>
          <w:sz w:val="24"/>
          <w:szCs w:val="24"/>
          <w:lang w:val="en-US"/>
        </w:rPr>
        <w:t>The concept of “substantial grounds to believe”, was defined in the judgement of the European Court of Human Rights (ECHR) of 7th July 1987 in Soeri</w:t>
      </w:r>
      <w:r w:rsidRPr="00D159A5">
        <w:rPr>
          <w:rFonts w:ascii="Arial Hebrew Scholar" w:eastAsia="Cambria" w:hAnsi="Arial Hebrew Scholar" w:cs="Arial Hebrew Scholar" w:hint="cs"/>
          <w:sz w:val="24"/>
          <w:szCs w:val="24"/>
          <w:lang w:val="en-US"/>
        </w:rPr>
        <w:t xml:space="preserve">ng v. United Kingdom, Application No. 14038/88 (cited in the case of The Prosecutor Vs Thomas </w:t>
      </w:r>
      <w:proofErr w:type="spellStart"/>
      <w:r w:rsidRPr="00D159A5">
        <w:rPr>
          <w:rFonts w:ascii="Arial Hebrew Scholar" w:eastAsia="Cambria" w:hAnsi="Arial Hebrew Scholar" w:cs="Arial Hebrew Scholar" w:hint="cs"/>
          <w:sz w:val="24"/>
          <w:szCs w:val="24"/>
          <w:lang w:val="en-US"/>
        </w:rPr>
        <w:t>Lubanga</w:t>
      </w:r>
      <w:proofErr w:type="spellEnd"/>
      <w:r w:rsidRPr="00D159A5">
        <w:rPr>
          <w:rFonts w:ascii="Arial Hebrew Scholar" w:eastAsia="Cambria" w:hAnsi="Arial Hebrew Scholar" w:cs="Arial Hebrew Scholar" w:hint="cs"/>
          <w:sz w:val="24"/>
          <w:szCs w:val="24"/>
          <w:lang w:val="en-US"/>
        </w:rPr>
        <w:t xml:space="preserve"> </w:t>
      </w:r>
      <w:proofErr w:type="spellStart"/>
      <w:r w:rsidRPr="00D159A5">
        <w:rPr>
          <w:rFonts w:ascii="Arial Hebrew Scholar" w:eastAsia="Cambria" w:hAnsi="Arial Hebrew Scholar" w:cs="Arial Hebrew Scholar" w:hint="cs"/>
          <w:sz w:val="24"/>
          <w:szCs w:val="24"/>
          <w:lang w:val="en-US"/>
        </w:rPr>
        <w:t>Dyilo</w:t>
      </w:r>
      <w:proofErr w:type="spellEnd"/>
      <w:r w:rsidRPr="00D159A5">
        <w:rPr>
          <w:rFonts w:ascii="Arial Hebrew Scholar" w:eastAsia="Cambria" w:hAnsi="Arial Hebrew Scholar" w:cs="Arial Hebrew Scholar" w:hint="cs"/>
          <w:sz w:val="24"/>
          <w:szCs w:val="24"/>
          <w:lang w:val="en-US"/>
        </w:rPr>
        <w:t>, ICC-01/04-01/06-803-tEN 14-05-2007 1/157 SL PT) as meaning that “substantial grounds have been shown for believing”. The joint dissenting opinion a</w:t>
      </w:r>
      <w:r w:rsidRPr="00D159A5">
        <w:rPr>
          <w:rFonts w:ascii="Arial Hebrew Scholar" w:eastAsia="Cambria" w:hAnsi="Arial Hebrew Scholar" w:cs="Arial Hebrew Scholar" w:hint="cs"/>
          <w:sz w:val="24"/>
          <w:szCs w:val="24"/>
          <w:lang w:val="en-US"/>
        </w:rPr>
        <w:t xml:space="preserve">ppended to the judgement in </w:t>
      </w:r>
      <w:proofErr w:type="spellStart"/>
      <w:r w:rsidRPr="00D159A5">
        <w:rPr>
          <w:rFonts w:ascii="Arial Hebrew Scholar" w:eastAsia="Cambria" w:hAnsi="Arial Hebrew Scholar" w:cs="Arial Hebrew Scholar" w:hint="cs"/>
          <w:sz w:val="24"/>
          <w:szCs w:val="24"/>
          <w:lang w:val="en-US"/>
        </w:rPr>
        <w:t>Mamatkulov</w:t>
      </w:r>
      <w:proofErr w:type="spellEnd"/>
      <w:r w:rsidRPr="00D159A5">
        <w:rPr>
          <w:rFonts w:ascii="Arial Hebrew Scholar" w:eastAsia="Cambria" w:hAnsi="Arial Hebrew Scholar" w:cs="Arial Hebrew Scholar" w:hint="cs"/>
          <w:sz w:val="24"/>
          <w:szCs w:val="24"/>
          <w:lang w:val="en-US"/>
        </w:rPr>
        <w:t xml:space="preserve"> and </w:t>
      </w:r>
      <w:proofErr w:type="spellStart"/>
      <w:r w:rsidRPr="00D159A5">
        <w:rPr>
          <w:rFonts w:ascii="Arial Hebrew Scholar" w:eastAsia="Cambria" w:hAnsi="Arial Hebrew Scholar" w:cs="Arial Hebrew Scholar" w:hint="cs"/>
          <w:sz w:val="24"/>
          <w:szCs w:val="24"/>
          <w:lang w:val="en-US"/>
        </w:rPr>
        <w:t>Askarov</w:t>
      </w:r>
      <w:proofErr w:type="spellEnd"/>
      <w:r w:rsidRPr="00D159A5">
        <w:rPr>
          <w:rFonts w:ascii="Arial Hebrew Scholar" w:eastAsia="Cambria" w:hAnsi="Arial Hebrew Scholar" w:cs="Arial Hebrew Scholar" w:hint="cs"/>
          <w:sz w:val="24"/>
          <w:szCs w:val="24"/>
          <w:lang w:val="en-US"/>
        </w:rPr>
        <w:t xml:space="preserve"> v. Turkey, of 4</w:t>
      </w:r>
      <w:r w:rsidRPr="00D159A5">
        <w:rPr>
          <w:rFonts w:ascii="Arial Hebrew Scholar" w:eastAsia="Cambria" w:hAnsi="Arial Hebrew Scholar" w:cs="Arial Hebrew Scholar"/>
          <w:sz w:val="24"/>
          <w:szCs w:val="24"/>
          <w:vertAlign w:val="superscript"/>
          <w:lang w:val="en-US"/>
        </w:rPr>
        <w:t>th</w:t>
      </w:r>
      <w:r w:rsidRPr="00D159A5">
        <w:rPr>
          <w:rFonts w:ascii="Arial Hebrew Scholar" w:eastAsia="Cambria" w:hAnsi="Arial Hebrew Scholar" w:cs="Arial Hebrew Scholar"/>
          <w:sz w:val="24"/>
          <w:szCs w:val="24"/>
          <w:lang w:val="en-US"/>
        </w:rPr>
        <w:t xml:space="preserve"> </w:t>
      </w:r>
      <w:r w:rsidRPr="00D159A5">
        <w:rPr>
          <w:rFonts w:ascii="Arial Hebrew Scholar" w:eastAsia="Cambria" w:hAnsi="Arial Hebrew Scholar" w:cs="Arial Hebrew Scholar" w:hint="cs"/>
          <w:sz w:val="24"/>
          <w:szCs w:val="24"/>
          <w:lang w:val="en-US"/>
        </w:rPr>
        <w:t xml:space="preserve">February 2005, (Applications Nos. 46827/99 and 46951/99) by Judges </w:t>
      </w:r>
      <w:proofErr w:type="spellStart"/>
      <w:r w:rsidRPr="00D159A5">
        <w:rPr>
          <w:rFonts w:ascii="Arial Hebrew Scholar" w:eastAsia="Cambria" w:hAnsi="Arial Hebrew Scholar" w:cs="Arial Hebrew Scholar" w:hint="cs"/>
          <w:sz w:val="24"/>
          <w:szCs w:val="24"/>
          <w:lang w:val="en-US"/>
        </w:rPr>
        <w:t>Bratza</w:t>
      </w:r>
      <w:proofErr w:type="spellEnd"/>
      <w:r w:rsidRPr="00D159A5">
        <w:rPr>
          <w:rFonts w:ascii="Arial Hebrew Scholar" w:eastAsia="Cambria" w:hAnsi="Arial Hebrew Scholar" w:cs="Arial Hebrew Scholar" w:hint="cs"/>
          <w:sz w:val="24"/>
          <w:szCs w:val="24"/>
          <w:lang w:val="en-US"/>
        </w:rPr>
        <w:t xml:space="preserve">, </w:t>
      </w:r>
      <w:proofErr w:type="spellStart"/>
      <w:r w:rsidRPr="00D159A5">
        <w:rPr>
          <w:rFonts w:ascii="Arial Hebrew Scholar" w:eastAsia="Cambria" w:hAnsi="Arial Hebrew Scholar" w:cs="Arial Hebrew Scholar" w:hint="cs"/>
          <w:sz w:val="24"/>
          <w:szCs w:val="24"/>
          <w:lang w:val="en-US"/>
        </w:rPr>
        <w:t>Bonello</w:t>
      </w:r>
      <w:proofErr w:type="spellEnd"/>
      <w:r w:rsidRPr="00D159A5">
        <w:rPr>
          <w:rFonts w:ascii="Arial Hebrew Scholar" w:eastAsia="Cambria" w:hAnsi="Arial Hebrew Scholar" w:cs="Arial Hebrew Scholar" w:hint="cs"/>
          <w:sz w:val="24"/>
          <w:szCs w:val="24"/>
          <w:lang w:val="en-US"/>
        </w:rPr>
        <w:t xml:space="preserve"> and </w:t>
      </w:r>
      <w:proofErr w:type="spellStart"/>
      <w:r w:rsidRPr="00D159A5">
        <w:rPr>
          <w:rFonts w:ascii="Arial Hebrew Scholar" w:eastAsia="Cambria" w:hAnsi="Arial Hebrew Scholar" w:cs="Arial Hebrew Scholar" w:hint="cs"/>
          <w:sz w:val="24"/>
          <w:szCs w:val="24"/>
          <w:lang w:val="en-US"/>
        </w:rPr>
        <w:t>Hedigan</w:t>
      </w:r>
      <w:proofErr w:type="spellEnd"/>
      <w:r w:rsidRPr="00D159A5">
        <w:rPr>
          <w:rFonts w:ascii="Arial Hebrew Scholar" w:eastAsia="Cambria" w:hAnsi="Arial Hebrew Scholar" w:cs="Arial Hebrew Scholar" w:hint="cs"/>
          <w:sz w:val="24"/>
          <w:szCs w:val="24"/>
          <w:lang w:val="en-US"/>
        </w:rPr>
        <w:t xml:space="preserve"> was quoted, in which “substantial grounds to believe” were defined as “strong grounds for be</w:t>
      </w:r>
      <w:r w:rsidRPr="00D159A5">
        <w:rPr>
          <w:rFonts w:ascii="Arial Hebrew Scholar" w:eastAsia="Cambria" w:hAnsi="Arial Hebrew Scholar" w:cs="Arial Hebrew Scholar" w:hint="cs"/>
          <w:sz w:val="24"/>
          <w:szCs w:val="24"/>
          <w:lang w:val="en-US"/>
        </w:rPr>
        <w:t>lieving”.</w:t>
      </w:r>
    </w:p>
    <w:p w14:paraId="38CC3E9F" w14:textId="77777777" w:rsidR="008D42C5" w:rsidRPr="00D159A5" w:rsidRDefault="00431678">
      <w:pPr>
        <w:pStyle w:val="ListParagraph"/>
        <w:numPr>
          <w:ilvl w:val="0"/>
          <w:numId w:val="1"/>
        </w:numPr>
        <w:spacing w:line="360" w:lineRule="auto"/>
        <w:jc w:val="both"/>
        <w:rPr>
          <w:rFonts w:ascii="Arial Hebrew Scholar" w:eastAsia="Cambria" w:hAnsi="Arial Hebrew Scholar" w:cs="Arial Hebrew Scholar"/>
          <w:sz w:val="24"/>
          <w:szCs w:val="24"/>
          <w:lang w:val="en-US"/>
        </w:rPr>
      </w:pPr>
      <w:r w:rsidRPr="00D159A5">
        <w:rPr>
          <w:rFonts w:ascii="Arial Hebrew Scholar" w:eastAsia="Cambria" w:hAnsi="Arial Hebrew Scholar" w:cs="Arial Hebrew Scholar" w:hint="cs"/>
          <w:sz w:val="24"/>
          <w:szCs w:val="24"/>
          <w:lang w:val="en-US"/>
        </w:rPr>
        <w:t xml:space="preserve">The ICC Pre-trial Chamber II in its decision of 9th December 2021 on the confirmation of charges against </w:t>
      </w:r>
      <w:proofErr w:type="spellStart"/>
      <w:r w:rsidRPr="00D159A5">
        <w:rPr>
          <w:rFonts w:ascii="Arial Hebrew Scholar" w:eastAsia="Cambria" w:hAnsi="Arial Hebrew Scholar" w:cs="Arial Hebrew Scholar" w:hint="cs"/>
          <w:sz w:val="24"/>
          <w:szCs w:val="24"/>
          <w:lang w:val="en-US"/>
        </w:rPr>
        <w:t>Mahamat</w:t>
      </w:r>
      <w:proofErr w:type="spellEnd"/>
      <w:r w:rsidRPr="00D159A5">
        <w:rPr>
          <w:rFonts w:ascii="Arial Hebrew Scholar" w:eastAsia="Cambria" w:hAnsi="Arial Hebrew Scholar" w:cs="Arial Hebrew Scholar" w:hint="cs"/>
          <w:sz w:val="24"/>
          <w:szCs w:val="24"/>
          <w:lang w:val="en-US"/>
        </w:rPr>
        <w:t xml:space="preserve"> Said Abdel </w:t>
      </w:r>
      <w:proofErr w:type="spellStart"/>
      <w:r w:rsidRPr="00D159A5">
        <w:rPr>
          <w:rFonts w:ascii="Arial Hebrew Scholar" w:eastAsia="Cambria" w:hAnsi="Arial Hebrew Scholar" w:cs="Arial Hebrew Scholar" w:hint="cs"/>
          <w:sz w:val="24"/>
          <w:szCs w:val="24"/>
          <w:lang w:val="en-US"/>
        </w:rPr>
        <w:t>Kani</w:t>
      </w:r>
      <w:proofErr w:type="spellEnd"/>
      <w:r w:rsidRPr="00D159A5">
        <w:rPr>
          <w:rFonts w:ascii="Arial Hebrew Scholar" w:eastAsia="Cambria" w:hAnsi="Arial Hebrew Scholar" w:cs="Arial Hebrew Scholar" w:hint="cs"/>
          <w:sz w:val="24"/>
          <w:szCs w:val="24"/>
          <w:lang w:val="en-US"/>
        </w:rPr>
        <w:t>, ICC-01/14-01/21, under paragraph 38 held that the evidentiary standard applicable at this stage of the proceedings r</w:t>
      </w:r>
      <w:r w:rsidRPr="00D159A5">
        <w:rPr>
          <w:rFonts w:ascii="Arial Hebrew Scholar" w:eastAsia="Cambria" w:hAnsi="Arial Hebrew Scholar" w:cs="Arial Hebrew Scholar" w:hint="cs"/>
          <w:sz w:val="24"/>
          <w:szCs w:val="24"/>
          <w:lang w:val="en-US"/>
        </w:rPr>
        <w:t xml:space="preserve">equires the existence of substantial grounds to believe that the person committed the crimes charged. This is a lower standard than that required at trial, and is met as soon as the prosecution offers concrete and tangible proof demonstrating a clear line </w:t>
      </w:r>
      <w:r w:rsidRPr="00D159A5">
        <w:rPr>
          <w:rFonts w:ascii="Arial Hebrew Scholar" w:eastAsia="Cambria" w:hAnsi="Arial Hebrew Scholar" w:cs="Arial Hebrew Scholar" w:hint="cs"/>
          <w:sz w:val="24"/>
          <w:szCs w:val="24"/>
          <w:lang w:val="en-US"/>
        </w:rPr>
        <w:t>of reasoning underpinning the specific allegations. [Emphasis mine]</w:t>
      </w:r>
    </w:p>
    <w:p w14:paraId="0E8B3999" w14:textId="77777777" w:rsidR="008D42C5" w:rsidRPr="00D159A5" w:rsidRDefault="00431678">
      <w:pPr>
        <w:pStyle w:val="ListParagraph"/>
        <w:numPr>
          <w:ilvl w:val="0"/>
          <w:numId w:val="1"/>
        </w:numPr>
        <w:spacing w:line="360" w:lineRule="auto"/>
        <w:jc w:val="both"/>
        <w:rPr>
          <w:rFonts w:ascii="Arial Hebrew Scholar" w:eastAsia="Cambria" w:hAnsi="Arial Hebrew Scholar" w:cs="Arial Hebrew Scholar"/>
          <w:sz w:val="24"/>
          <w:szCs w:val="24"/>
          <w:lang w:val="en-US"/>
        </w:rPr>
      </w:pPr>
      <w:r w:rsidRPr="00D159A5">
        <w:rPr>
          <w:rFonts w:ascii="Arial Hebrew Scholar" w:eastAsia="Cambria" w:hAnsi="Arial Hebrew Scholar" w:cs="Arial Hebrew Scholar" w:hint="cs"/>
          <w:sz w:val="24"/>
          <w:szCs w:val="24"/>
          <w:lang w:val="en-US"/>
        </w:rPr>
        <w:t xml:space="preserve">Furthermore, while evaluating evidence presented before it, the role of the court  was stated in the case of </w:t>
      </w:r>
      <w:proofErr w:type="spellStart"/>
      <w:r w:rsidRPr="00D159A5">
        <w:rPr>
          <w:rFonts w:ascii="Arial Hebrew Scholar" w:eastAsia="Cambria" w:hAnsi="Arial Hebrew Scholar" w:cs="Arial Hebrew Scholar" w:hint="cs"/>
          <w:sz w:val="24"/>
          <w:szCs w:val="24"/>
          <w:lang w:val="en-US"/>
        </w:rPr>
        <w:t>Mahamat</w:t>
      </w:r>
      <w:proofErr w:type="spellEnd"/>
      <w:r w:rsidRPr="00D159A5">
        <w:rPr>
          <w:rFonts w:ascii="Arial Hebrew Scholar" w:eastAsia="Cambria" w:hAnsi="Arial Hebrew Scholar" w:cs="Arial Hebrew Scholar" w:hint="cs"/>
          <w:sz w:val="24"/>
          <w:szCs w:val="24"/>
          <w:lang w:val="en-US"/>
        </w:rPr>
        <w:t xml:space="preserve"> Said Abdel </w:t>
      </w:r>
      <w:proofErr w:type="spellStart"/>
      <w:r w:rsidRPr="00D159A5">
        <w:rPr>
          <w:rFonts w:ascii="Arial Hebrew Scholar" w:eastAsia="Cambria" w:hAnsi="Arial Hebrew Scholar" w:cs="Arial Hebrew Scholar" w:hint="cs"/>
          <w:sz w:val="24"/>
          <w:szCs w:val="24"/>
          <w:lang w:val="en-US"/>
        </w:rPr>
        <w:t>Kani</w:t>
      </w:r>
      <w:proofErr w:type="spellEnd"/>
      <w:r w:rsidRPr="00D159A5">
        <w:rPr>
          <w:rFonts w:ascii="Arial Hebrew Scholar" w:eastAsia="Cambria" w:hAnsi="Arial Hebrew Scholar" w:cs="Arial Hebrew Scholar" w:hint="cs"/>
          <w:sz w:val="24"/>
          <w:szCs w:val="24"/>
          <w:lang w:val="en-US"/>
        </w:rPr>
        <w:t>, supra, under paragraph 40, as follows: “to avoid any p</w:t>
      </w:r>
      <w:r w:rsidRPr="00D159A5">
        <w:rPr>
          <w:rFonts w:ascii="Arial Hebrew Scholar" w:eastAsia="Cambria" w:hAnsi="Arial Hebrew Scholar" w:cs="Arial Hebrew Scholar" w:hint="cs"/>
          <w:sz w:val="24"/>
          <w:szCs w:val="24"/>
          <w:lang w:val="en-US"/>
        </w:rPr>
        <w:t>re-determination of issues or pre-adjudication regarding the probative value of evidence, the decision must only address what the Chamber considers necessary and sufficient for its determination on the charges – namely, whether there is sufficient evidence</w:t>
      </w:r>
      <w:r w:rsidRPr="00D159A5">
        <w:rPr>
          <w:rFonts w:ascii="Arial Hebrew Scholar" w:eastAsia="Cambria" w:hAnsi="Arial Hebrew Scholar" w:cs="Arial Hebrew Scholar" w:hint="cs"/>
          <w:sz w:val="24"/>
          <w:szCs w:val="24"/>
          <w:lang w:val="en-US"/>
        </w:rPr>
        <w:t xml:space="preserve"> to establish substantial grounds to believe that the accused committed the crimes charged and therefore that the case brought by the Prosecution warrants a trial.”</w:t>
      </w:r>
    </w:p>
    <w:p w14:paraId="0E2D6246" w14:textId="77777777" w:rsidR="008D42C5" w:rsidRPr="00D159A5" w:rsidRDefault="00431678">
      <w:pPr>
        <w:pStyle w:val="ListParagraph"/>
        <w:numPr>
          <w:ilvl w:val="0"/>
          <w:numId w:val="1"/>
        </w:numPr>
        <w:spacing w:line="360" w:lineRule="auto"/>
        <w:jc w:val="both"/>
        <w:rPr>
          <w:rFonts w:ascii="Arial Hebrew Scholar" w:eastAsia="Cambria" w:hAnsi="Arial Hebrew Scholar" w:cs="Arial Hebrew Scholar"/>
          <w:sz w:val="24"/>
          <w:szCs w:val="24"/>
          <w:lang w:val="en-US"/>
        </w:rPr>
      </w:pPr>
      <w:r w:rsidRPr="00D159A5">
        <w:rPr>
          <w:rFonts w:ascii="Arial Hebrew Scholar" w:eastAsia="Cambria" w:hAnsi="Arial Hebrew Scholar" w:cs="Arial Hebrew Scholar" w:hint="cs"/>
          <w:sz w:val="24"/>
          <w:szCs w:val="24"/>
          <w:lang w:val="en-US"/>
        </w:rPr>
        <w:lastRenderedPageBreak/>
        <w:t xml:space="preserve"> The Pre-trial chamber II further stated that the specific and limited function of the conf</w:t>
      </w:r>
      <w:r w:rsidRPr="00D159A5">
        <w:rPr>
          <w:rFonts w:ascii="Arial Hebrew Scholar" w:eastAsia="Cambria" w:hAnsi="Arial Hebrew Scholar" w:cs="Arial Hebrew Scholar" w:hint="cs"/>
          <w:sz w:val="24"/>
          <w:szCs w:val="24"/>
          <w:lang w:val="en-US"/>
        </w:rPr>
        <w:t xml:space="preserve">irmation proceedings also calls for a style and structure of the decision under Article 61(7) of the Statute which is as simple and straightforward as possible; this also with a view to meaningfully implement the principle that the confirmation hearing is </w:t>
      </w:r>
      <w:r w:rsidRPr="00D159A5">
        <w:rPr>
          <w:rFonts w:ascii="Arial Hebrew Scholar" w:eastAsia="Cambria" w:hAnsi="Arial Hebrew Scholar" w:cs="Arial Hebrew Scholar" w:hint="cs"/>
          <w:sz w:val="24"/>
          <w:szCs w:val="24"/>
          <w:lang w:val="en-US"/>
        </w:rPr>
        <w:t xml:space="preserve">not, nor should be seen or become, a ‘mini-trial’ or ‘a trial before the trial.’ (See paragraph 42 of the </w:t>
      </w:r>
      <w:proofErr w:type="spellStart"/>
      <w:r w:rsidRPr="00D159A5">
        <w:rPr>
          <w:rFonts w:ascii="Arial Hebrew Scholar" w:eastAsia="Cambria" w:hAnsi="Arial Hebrew Scholar" w:cs="Arial Hebrew Scholar" w:hint="cs"/>
          <w:sz w:val="24"/>
          <w:szCs w:val="24"/>
          <w:lang w:val="en-US"/>
        </w:rPr>
        <w:t>Mahamat</w:t>
      </w:r>
      <w:proofErr w:type="spellEnd"/>
      <w:r w:rsidRPr="00D159A5">
        <w:rPr>
          <w:rFonts w:ascii="Arial Hebrew Scholar" w:eastAsia="Cambria" w:hAnsi="Arial Hebrew Scholar" w:cs="Arial Hebrew Scholar" w:hint="cs"/>
          <w:sz w:val="24"/>
          <w:szCs w:val="24"/>
          <w:lang w:val="en-US"/>
        </w:rPr>
        <w:t xml:space="preserve"> Said Abdel </w:t>
      </w:r>
      <w:proofErr w:type="spellStart"/>
      <w:r w:rsidRPr="00D159A5">
        <w:rPr>
          <w:rFonts w:ascii="Arial Hebrew Scholar" w:eastAsia="Cambria" w:hAnsi="Arial Hebrew Scholar" w:cs="Arial Hebrew Scholar" w:hint="cs"/>
          <w:sz w:val="24"/>
          <w:szCs w:val="24"/>
          <w:lang w:val="en-US"/>
        </w:rPr>
        <w:t>Kani</w:t>
      </w:r>
      <w:proofErr w:type="spellEnd"/>
      <w:r w:rsidRPr="00D159A5">
        <w:rPr>
          <w:rFonts w:ascii="Arial Hebrew Scholar" w:eastAsia="Cambria" w:hAnsi="Arial Hebrew Scholar" w:cs="Arial Hebrew Scholar" w:hint="cs"/>
          <w:sz w:val="24"/>
          <w:szCs w:val="24"/>
          <w:lang w:val="en-US"/>
        </w:rPr>
        <w:t xml:space="preserve"> decision).</w:t>
      </w:r>
    </w:p>
    <w:p w14:paraId="7E1FDA0A"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eastAsia="Times New Roman" w:hAnsi="Arial Hebrew Scholar" w:cs="Arial Hebrew Scholar" w:hint="cs"/>
          <w:bCs/>
          <w:sz w:val="24"/>
          <w:szCs w:val="24"/>
        </w:rPr>
        <w:t>Consequently, I must determine whether the evidence disclosed by the prosecution in this case is sufficiently stron</w:t>
      </w:r>
      <w:r w:rsidRPr="00D159A5">
        <w:rPr>
          <w:rFonts w:ascii="Arial Hebrew Scholar" w:eastAsia="Times New Roman" w:hAnsi="Arial Hebrew Scholar" w:cs="Arial Hebrew Scholar" w:hint="cs"/>
          <w:bCs/>
          <w:sz w:val="24"/>
          <w:szCs w:val="24"/>
        </w:rPr>
        <w:t xml:space="preserve">g to move me to confirm the charges and present the accused to the Trial Court for the hearing of the said evidence. Clearly, the standard of </w:t>
      </w:r>
      <w:r w:rsidRPr="00D159A5">
        <w:rPr>
          <w:rFonts w:ascii="Arial Hebrew Scholar" w:eastAsia="Times New Roman" w:hAnsi="Arial Hebrew Scholar" w:cs="Arial Hebrew Scholar" w:hint="cs"/>
          <w:b/>
          <w:bCs/>
          <w:sz w:val="24"/>
          <w:szCs w:val="24"/>
        </w:rPr>
        <w:t>substantial grounds to believe</w:t>
      </w:r>
      <w:r w:rsidRPr="00D159A5">
        <w:rPr>
          <w:rFonts w:ascii="Arial Hebrew Scholar" w:eastAsia="Times New Roman" w:hAnsi="Arial Hebrew Scholar" w:cs="Arial Hebrew Scholar" w:hint="cs"/>
          <w:bCs/>
          <w:sz w:val="24"/>
          <w:szCs w:val="24"/>
        </w:rPr>
        <w:t xml:space="preserve"> is a lesser one than the standard of </w:t>
      </w:r>
      <w:r w:rsidRPr="00D159A5">
        <w:rPr>
          <w:rFonts w:ascii="Arial Hebrew Scholar" w:eastAsia="Times New Roman" w:hAnsi="Arial Hebrew Scholar" w:cs="Arial Hebrew Scholar" w:hint="cs"/>
          <w:b/>
          <w:bCs/>
          <w:sz w:val="24"/>
          <w:szCs w:val="24"/>
        </w:rPr>
        <w:t>prima facie case</w:t>
      </w:r>
      <w:r w:rsidRPr="00D159A5">
        <w:rPr>
          <w:rFonts w:ascii="Arial Hebrew Scholar" w:eastAsia="Times New Roman" w:hAnsi="Arial Hebrew Scholar" w:cs="Arial Hebrew Scholar" w:hint="cs"/>
          <w:bCs/>
          <w:sz w:val="24"/>
          <w:szCs w:val="24"/>
        </w:rPr>
        <w:t xml:space="preserve"> that is required by courts to put an accused person to his/her defence.</w:t>
      </w:r>
    </w:p>
    <w:p w14:paraId="26FC9DD5" w14:textId="77777777" w:rsidR="008D42C5" w:rsidRPr="00D159A5" w:rsidRDefault="00431678">
      <w:p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b/>
          <w:sz w:val="24"/>
          <w:szCs w:val="24"/>
        </w:rPr>
        <w:t xml:space="preserve"> FINAL SUBMISSIONS ON CONFIRMATION OF CHARGES </w:t>
      </w:r>
    </w:p>
    <w:p w14:paraId="443FB2F2"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b/>
          <w:iCs/>
          <w:sz w:val="24"/>
          <w:szCs w:val="24"/>
        </w:rPr>
      </w:pPr>
      <w:r w:rsidRPr="00D159A5">
        <w:rPr>
          <w:rFonts w:ascii="Arial Hebrew Scholar" w:hAnsi="Arial Hebrew Scholar" w:cs="Arial Hebrew Scholar" w:hint="cs"/>
          <w:sz w:val="24"/>
          <w:szCs w:val="24"/>
        </w:rPr>
        <w:t>State counsel filed his submissions in support of confirmation of the charges on 19</w:t>
      </w:r>
      <w:r w:rsidRPr="00D159A5">
        <w:rPr>
          <w:rFonts w:ascii="Arial Hebrew Scholar" w:hAnsi="Arial Hebrew Scholar" w:cs="Arial Hebrew Scholar" w:hint="cs"/>
          <w:sz w:val="24"/>
          <w:szCs w:val="24"/>
          <w:vertAlign w:val="superscript"/>
        </w:rPr>
        <w:t>th</w:t>
      </w:r>
      <w:r w:rsidRPr="00D159A5">
        <w:rPr>
          <w:rFonts w:ascii="Arial Hebrew Scholar" w:hAnsi="Arial Hebrew Scholar" w:cs="Arial Hebrew Scholar" w:hint="cs"/>
          <w:sz w:val="24"/>
          <w:szCs w:val="24"/>
        </w:rPr>
        <w:t xml:space="preserve"> October 2023. On 20</w:t>
      </w:r>
      <w:r w:rsidRPr="00D159A5">
        <w:rPr>
          <w:rFonts w:ascii="Arial Hebrew Scholar" w:hAnsi="Arial Hebrew Scholar" w:cs="Arial Hebrew Scholar" w:hint="cs"/>
          <w:sz w:val="24"/>
          <w:szCs w:val="24"/>
          <w:vertAlign w:val="superscript"/>
        </w:rPr>
        <w:t>th</w:t>
      </w:r>
      <w:r w:rsidRPr="00D159A5">
        <w:rPr>
          <w:rFonts w:ascii="Arial Hebrew Scholar" w:hAnsi="Arial Hebrew Scholar" w:cs="Arial Hebrew Scholar" w:hint="cs"/>
          <w:sz w:val="24"/>
          <w:szCs w:val="24"/>
        </w:rPr>
        <w:t xml:space="preserve"> October 2023, defence counse</w:t>
      </w:r>
      <w:r w:rsidRPr="00D159A5">
        <w:rPr>
          <w:rFonts w:ascii="Arial Hebrew Scholar" w:hAnsi="Arial Hebrew Scholar" w:cs="Arial Hebrew Scholar" w:hint="cs"/>
          <w:sz w:val="24"/>
          <w:szCs w:val="24"/>
        </w:rPr>
        <w:t>l prayed for one week’s adjournment to allow him submit his reply to the prosecution’s submissions.  Court instructed the defence to file its reply on 30</w:t>
      </w:r>
      <w:r w:rsidRPr="00D159A5">
        <w:rPr>
          <w:rFonts w:ascii="Arial Hebrew Scholar" w:hAnsi="Arial Hebrew Scholar" w:cs="Arial Hebrew Scholar" w:hint="cs"/>
          <w:sz w:val="24"/>
          <w:szCs w:val="24"/>
          <w:vertAlign w:val="superscript"/>
        </w:rPr>
        <w:t>th</w:t>
      </w:r>
      <w:r w:rsidRPr="00D159A5">
        <w:rPr>
          <w:rFonts w:ascii="Arial Hebrew Scholar" w:hAnsi="Arial Hebrew Scholar" w:cs="Arial Hebrew Scholar" w:hint="cs"/>
          <w:sz w:val="24"/>
          <w:szCs w:val="24"/>
        </w:rPr>
        <w:t xml:space="preserve"> October 2023, and the prosecution to file its rejoinder if any, by 6</w:t>
      </w:r>
      <w:r w:rsidRPr="00D159A5">
        <w:rPr>
          <w:rFonts w:ascii="Arial Hebrew Scholar" w:hAnsi="Arial Hebrew Scholar" w:cs="Arial Hebrew Scholar" w:hint="cs"/>
          <w:sz w:val="24"/>
          <w:szCs w:val="24"/>
          <w:vertAlign w:val="superscript"/>
        </w:rPr>
        <w:t>th</w:t>
      </w:r>
      <w:r w:rsidRPr="00D159A5">
        <w:rPr>
          <w:rFonts w:ascii="Arial Hebrew Scholar" w:hAnsi="Arial Hebrew Scholar" w:cs="Arial Hebrew Scholar" w:hint="cs"/>
          <w:sz w:val="24"/>
          <w:szCs w:val="24"/>
        </w:rPr>
        <w:t xml:space="preserve"> November 2023. Defence counse</w:t>
      </w:r>
      <w:r w:rsidRPr="00D159A5">
        <w:rPr>
          <w:rFonts w:ascii="Arial Hebrew Scholar" w:hAnsi="Arial Hebrew Scholar" w:cs="Arial Hebrew Scholar" w:hint="cs"/>
          <w:sz w:val="24"/>
          <w:szCs w:val="24"/>
        </w:rPr>
        <w:t>l did not file its reply. Regardless of that fact, this court will proceed to pronounce itself on the charges.</w:t>
      </w:r>
    </w:p>
    <w:p w14:paraId="5AC0BB17" w14:textId="77777777" w:rsidR="008D42C5" w:rsidRPr="00D159A5" w:rsidRDefault="00431678">
      <w:pPr>
        <w:spacing w:line="360" w:lineRule="auto"/>
        <w:jc w:val="both"/>
        <w:rPr>
          <w:rFonts w:ascii="Arial Hebrew Scholar" w:hAnsi="Arial Hebrew Scholar" w:cs="Arial Hebrew Scholar"/>
          <w:b/>
          <w:iCs/>
          <w:sz w:val="24"/>
          <w:szCs w:val="24"/>
        </w:rPr>
      </w:pPr>
      <w:r w:rsidRPr="00D159A5">
        <w:rPr>
          <w:rFonts w:ascii="Arial Hebrew Scholar" w:hAnsi="Arial Hebrew Scholar" w:cs="Arial Hebrew Scholar" w:hint="cs"/>
          <w:b/>
          <w:iCs/>
          <w:sz w:val="24"/>
          <w:szCs w:val="24"/>
        </w:rPr>
        <w:t>ARGUMENTS FOR THE STATE</w:t>
      </w:r>
    </w:p>
    <w:p w14:paraId="2ED63EA4"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Regarding the first charge,</w:t>
      </w:r>
      <w:r w:rsidRPr="00D159A5">
        <w:rPr>
          <w:rFonts w:ascii="Arial Hebrew Scholar" w:hAnsi="Arial Hebrew Scholar" w:cs="Arial Hebrew Scholar" w:hint="cs"/>
          <w:b/>
          <w:i/>
          <w:sz w:val="24"/>
          <w:szCs w:val="24"/>
        </w:rPr>
        <w:t xml:space="preserve"> </w:t>
      </w:r>
      <w:r w:rsidRPr="00D159A5">
        <w:rPr>
          <w:rFonts w:ascii="Arial Hebrew Scholar" w:hAnsi="Arial Hebrew Scholar" w:cs="Arial Hebrew Scholar" w:hint="cs"/>
          <w:sz w:val="24"/>
          <w:szCs w:val="24"/>
        </w:rPr>
        <w:t xml:space="preserve">Mr. Richard Birivumbuka submitted that the elements of the offence of aggravated trafficking </w:t>
      </w:r>
      <w:r w:rsidRPr="00D159A5">
        <w:rPr>
          <w:rFonts w:ascii="Arial Hebrew Scholar" w:hAnsi="Arial Hebrew Scholar" w:cs="Arial Hebrew Scholar" w:hint="cs"/>
          <w:sz w:val="24"/>
          <w:szCs w:val="24"/>
        </w:rPr>
        <w:t>in persons are:</w:t>
      </w:r>
    </w:p>
    <w:p w14:paraId="6C2DF8E2" w14:textId="77777777" w:rsidR="008D42C5" w:rsidRPr="00D159A5" w:rsidRDefault="00431678">
      <w:pPr>
        <w:pStyle w:val="ListParagraph"/>
        <w:numPr>
          <w:ilvl w:val="0"/>
          <w:numId w:val="3"/>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The fact of transportation or transfer or harbouring, confinement or receipt of a victim</w:t>
      </w:r>
    </w:p>
    <w:p w14:paraId="3AB1F81A" w14:textId="77777777" w:rsidR="008D42C5" w:rsidRPr="00D159A5" w:rsidRDefault="00431678">
      <w:pPr>
        <w:pStyle w:val="ListParagraph"/>
        <w:numPr>
          <w:ilvl w:val="0"/>
          <w:numId w:val="3"/>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The use of the means of deception or force;</w:t>
      </w:r>
    </w:p>
    <w:p w14:paraId="5887DCFA" w14:textId="77777777" w:rsidR="008D42C5" w:rsidRPr="00D159A5" w:rsidRDefault="00431678">
      <w:pPr>
        <w:pStyle w:val="ListParagraph"/>
        <w:numPr>
          <w:ilvl w:val="0"/>
          <w:numId w:val="3"/>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lastRenderedPageBreak/>
        <w:t>The fact that the purpose of the above acts was sexual exploitation;</w:t>
      </w:r>
    </w:p>
    <w:p w14:paraId="6F35535C" w14:textId="77777777" w:rsidR="008D42C5" w:rsidRPr="00D159A5" w:rsidRDefault="00431678">
      <w:pPr>
        <w:pStyle w:val="ListParagraph"/>
        <w:numPr>
          <w:ilvl w:val="0"/>
          <w:numId w:val="3"/>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The fact that victim is a child; and </w:t>
      </w:r>
    </w:p>
    <w:p w14:paraId="6BCBE9E1" w14:textId="77777777" w:rsidR="008D42C5" w:rsidRPr="00D159A5" w:rsidRDefault="00431678">
      <w:pPr>
        <w:pStyle w:val="ListParagraph"/>
        <w:numPr>
          <w:ilvl w:val="0"/>
          <w:numId w:val="3"/>
        </w:numPr>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The participation of the accused persons.</w:t>
      </w:r>
    </w:p>
    <w:p w14:paraId="08D84784"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 xml:space="preserve">Concerning the first element of transportation or transfer or harbouring or confinement or receipt of the victim, counsel submitted that the disclosed evidence in exhibits PID1, PID2, PID3, PID4(a) and (b) and PID5 establishes the element. </w:t>
      </w:r>
    </w:p>
    <w:p w14:paraId="6C3C4048"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On the ingredie</w:t>
      </w:r>
      <w:r w:rsidRPr="00D159A5">
        <w:rPr>
          <w:rFonts w:ascii="Arial Hebrew Scholar" w:hAnsi="Arial Hebrew Scholar" w:cs="Arial Hebrew Scholar" w:hint="cs"/>
          <w:sz w:val="24"/>
          <w:szCs w:val="24"/>
        </w:rPr>
        <w:t>nts of deception or use of force and the purpose of sexual exploitation, counsel submitted that the disclosed evidence in exhibits PID1, PID2, PID3, PID4(a) and (b) and PID5 adequately proves those elements to the required standard.</w:t>
      </w:r>
    </w:p>
    <w:p w14:paraId="5E7B063C"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Regarding the age of th</w:t>
      </w:r>
      <w:r w:rsidRPr="00D159A5">
        <w:rPr>
          <w:rFonts w:ascii="Arial Hebrew Scholar" w:hAnsi="Arial Hebrew Scholar" w:cs="Arial Hebrew Scholar" w:hint="cs"/>
          <w:sz w:val="24"/>
          <w:szCs w:val="24"/>
        </w:rPr>
        <w:t xml:space="preserve">e victim, Mr. Richard Birivumbuka submitted that exhibits PID1, PID2, PID3, PID7 show that the victim was a child below 18 years at the time of the alleged crimes.  </w:t>
      </w:r>
    </w:p>
    <w:p w14:paraId="30AB2435" w14:textId="11EF63DA"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On the element of participation of the accused, counsel submitted that proof of the same i</w:t>
      </w:r>
      <w:r w:rsidRPr="00D159A5">
        <w:rPr>
          <w:rFonts w:ascii="Arial Hebrew Scholar" w:hAnsi="Arial Hebrew Scholar" w:cs="Arial Hebrew Scholar" w:hint="cs"/>
          <w:sz w:val="24"/>
          <w:szCs w:val="24"/>
        </w:rPr>
        <w:t>s</w:t>
      </w:r>
      <w:r w:rsidRPr="00D159A5">
        <w:rPr>
          <w:rFonts w:ascii="Arial Hebrew Scholar" w:hAnsi="Arial Hebrew Scholar" w:cs="Arial Hebrew Scholar"/>
          <w:sz w:val="24"/>
          <w:szCs w:val="24"/>
          <w:lang w:val="en-US"/>
        </w:rPr>
        <w:t xml:space="preserve"> </w:t>
      </w:r>
      <w:r w:rsidRPr="00D159A5">
        <w:rPr>
          <w:rFonts w:ascii="Arial Hebrew Scholar" w:hAnsi="Arial Hebrew Scholar" w:cs="Arial Hebrew Scholar" w:hint="cs"/>
          <w:sz w:val="24"/>
          <w:szCs w:val="24"/>
        </w:rPr>
        <w:t xml:space="preserve">disclosed </w:t>
      </w:r>
      <w:r w:rsidRPr="00D159A5">
        <w:rPr>
          <w:rFonts w:ascii="Arial Hebrew Scholar" w:hAnsi="Arial Hebrew Scholar" w:cs="Arial Hebrew Scholar"/>
          <w:sz w:val="24"/>
          <w:szCs w:val="24"/>
          <w:lang w:val="en-US"/>
        </w:rPr>
        <w:t xml:space="preserve">in </w:t>
      </w:r>
      <w:r w:rsidRPr="00D159A5">
        <w:rPr>
          <w:rFonts w:ascii="Arial Hebrew Scholar" w:hAnsi="Arial Hebrew Scholar" w:cs="Arial Hebrew Scholar" w:hint="cs"/>
          <w:sz w:val="24"/>
          <w:szCs w:val="24"/>
        </w:rPr>
        <w:t xml:space="preserve">exhibits PID1, PID2, PID3, PID4(a) and (b) and PID5. </w:t>
      </w:r>
    </w:p>
    <w:p w14:paraId="3098DB1F"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Mr. Richard Birivumbuka then submitted that substantial grounds to believe that the offence of aggravated trafficking in persons was committed by the accused persons have been established</w:t>
      </w:r>
      <w:r w:rsidRPr="00D159A5">
        <w:rPr>
          <w:rFonts w:ascii="Arial Hebrew Scholar" w:hAnsi="Arial Hebrew Scholar" w:cs="Arial Hebrew Scholar" w:hint="cs"/>
          <w:sz w:val="24"/>
          <w:szCs w:val="24"/>
        </w:rPr>
        <w:t xml:space="preserve"> by the prosecution and he prayed that the said charge is confirmed.</w:t>
      </w:r>
    </w:p>
    <w:p w14:paraId="731B143E"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Regarding the 2</w:t>
      </w:r>
      <w:r w:rsidRPr="00D159A5">
        <w:rPr>
          <w:rFonts w:ascii="Arial Hebrew Scholar" w:hAnsi="Arial Hebrew Scholar" w:cs="Arial Hebrew Scholar" w:hint="cs"/>
          <w:sz w:val="24"/>
          <w:szCs w:val="24"/>
          <w:vertAlign w:val="superscript"/>
        </w:rPr>
        <w:t>nd</w:t>
      </w:r>
      <w:r w:rsidRPr="00D159A5">
        <w:rPr>
          <w:rFonts w:ascii="Arial Hebrew Scholar" w:hAnsi="Arial Hebrew Scholar" w:cs="Arial Hebrew Scholar" w:hint="cs"/>
          <w:sz w:val="24"/>
          <w:szCs w:val="24"/>
        </w:rPr>
        <w:t xml:space="preserve"> charge of Aggravated Defilement contrary to </w:t>
      </w:r>
      <w:r w:rsidRPr="00D159A5">
        <w:rPr>
          <w:rFonts w:ascii="Arial Hebrew Scholar" w:hAnsi="Arial Hebrew Scholar" w:cs="Arial Hebrew Scholar" w:hint="cs"/>
          <w:b/>
          <w:i/>
          <w:sz w:val="24"/>
          <w:szCs w:val="24"/>
        </w:rPr>
        <w:t>Section 129(3) and 4(a)of the Penal Code Act</w:t>
      </w:r>
      <w:r w:rsidRPr="00D159A5">
        <w:rPr>
          <w:rFonts w:ascii="Arial Hebrew Scholar" w:hAnsi="Arial Hebrew Scholar" w:cs="Arial Hebrew Scholar" w:hint="cs"/>
          <w:sz w:val="24"/>
          <w:szCs w:val="24"/>
        </w:rPr>
        <w:t>, Mr. Richard Birivumbuka submitted that the following are the elements of the of</w:t>
      </w:r>
      <w:r w:rsidRPr="00D159A5">
        <w:rPr>
          <w:rFonts w:ascii="Arial Hebrew Scholar" w:hAnsi="Arial Hebrew Scholar" w:cs="Arial Hebrew Scholar" w:hint="cs"/>
          <w:sz w:val="24"/>
          <w:szCs w:val="24"/>
        </w:rPr>
        <w:t>fence that must be established to the required standard:</w:t>
      </w:r>
    </w:p>
    <w:p w14:paraId="70E48283" w14:textId="77777777" w:rsidR="008D42C5" w:rsidRPr="00D159A5" w:rsidRDefault="00431678">
      <w:pPr>
        <w:pStyle w:val="ListParagraph"/>
        <w:numPr>
          <w:ilvl w:val="0"/>
          <w:numId w:val="4"/>
        </w:numPr>
        <w:tabs>
          <w:tab w:val="left" w:pos="1701"/>
          <w:tab w:val="left" w:pos="1843"/>
        </w:tabs>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The fact that the victim is a child below the age of 14 years; </w:t>
      </w:r>
    </w:p>
    <w:p w14:paraId="096FBC53" w14:textId="77777777" w:rsidR="008D42C5" w:rsidRPr="00D159A5" w:rsidRDefault="00431678">
      <w:pPr>
        <w:pStyle w:val="ListParagraph"/>
        <w:numPr>
          <w:ilvl w:val="0"/>
          <w:numId w:val="4"/>
        </w:numPr>
        <w:tabs>
          <w:tab w:val="left" w:pos="1701"/>
        </w:tabs>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The fact that a sexual act </w:t>
      </w:r>
      <w:r w:rsidRPr="00D159A5">
        <w:rPr>
          <w:rFonts w:ascii="Arial Hebrew Scholar" w:hAnsi="Arial Hebrew Scholar" w:cs="Arial Hebrew Scholar" w:hint="cs"/>
          <w:sz w:val="24"/>
          <w:szCs w:val="24"/>
          <w:lang w:val="en-US"/>
        </w:rPr>
        <w:t>with the victim</w:t>
      </w:r>
      <w:r w:rsidRPr="00D159A5">
        <w:rPr>
          <w:rFonts w:ascii="Arial Hebrew Scholar" w:hAnsi="Arial Hebrew Scholar" w:cs="Arial Hebrew Scholar" w:hint="cs"/>
          <w:sz w:val="24"/>
          <w:szCs w:val="24"/>
        </w:rPr>
        <w:t xml:space="preserve"> and</w:t>
      </w:r>
    </w:p>
    <w:p w14:paraId="1E9882D0" w14:textId="77777777" w:rsidR="008D42C5" w:rsidRPr="00D159A5" w:rsidRDefault="00431678">
      <w:pPr>
        <w:pStyle w:val="ListParagraph"/>
        <w:numPr>
          <w:ilvl w:val="0"/>
          <w:numId w:val="4"/>
        </w:numPr>
        <w:tabs>
          <w:tab w:val="left" w:pos="1701"/>
        </w:tabs>
        <w:spacing w:line="360" w:lineRule="auto"/>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The fact that the accused participated in the commission of the sexual act.</w:t>
      </w:r>
    </w:p>
    <w:p w14:paraId="5BDF240D"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lastRenderedPageBreak/>
        <w:t>On the eleme</w:t>
      </w:r>
      <w:r w:rsidRPr="00D159A5">
        <w:rPr>
          <w:rFonts w:ascii="Arial Hebrew Scholar" w:hAnsi="Arial Hebrew Scholar" w:cs="Arial Hebrew Scholar" w:hint="cs"/>
          <w:sz w:val="24"/>
          <w:szCs w:val="24"/>
        </w:rPr>
        <w:t>nt of age, Mr. Birivumbuka submitted that the disclosed evidence in exhibits PID1, PID2, PID3, PID5 and PID7 shows that the victim was below 18 years of age at the time of the offence.</w:t>
      </w:r>
    </w:p>
    <w:p w14:paraId="1A76F34C"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In respect of the ingredient of</w:t>
      </w:r>
      <w:r w:rsidRPr="00D159A5">
        <w:rPr>
          <w:rFonts w:ascii="Arial Hebrew Scholar" w:hAnsi="Arial Hebrew Scholar" w:cs="Arial Hebrew Scholar" w:hint="cs"/>
          <w:sz w:val="24"/>
          <w:szCs w:val="24"/>
          <w:lang w:val="en-US"/>
        </w:rPr>
        <w:t xml:space="preserve"> a sexual act with the victim</w:t>
      </w:r>
      <w:r w:rsidRPr="00D159A5">
        <w:rPr>
          <w:rFonts w:ascii="Arial Hebrew Scholar" w:hAnsi="Arial Hebrew Scholar" w:cs="Arial Hebrew Scholar" w:hint="cs"/>
          <w:sz w:val="24"/>
          <w:szCs w:val="24"/>
        </w:rPr>
        <w:t>, Mr Birivu</w:t>
      </w:r>
      <w:r w:rsidRPr="00D159A5">
        <w:rPr>
          <w:rFonts w:ascii="Arial Hebrew Scholar" w:hAnsi="Arial Hebrew Scholar" w:cs="Arial Hebrew Scholar" w:hint="cs"/>
          <w:sz w:val="24"/>
          <w:szCs w:val="24"/>
        </w:rPr>
        <w:t xml:space="preserve">mbuka submitted that prosecution evidence in exhibits PID1, PID2, PID3, PID4(a) and (b) and PID5 and PID7 proves satisfactorily that </w:t>
      </w:r>
      <w:r w:rsidRPr="00D159A5">
        <w:rPr>
          <w:rFonts w:ascii="Arial Hebrew Scholar" w:hAnsi="Arial Hebrew Scholar" w:cs="Arial Hebrew Scholar" w:hint="cs"/>
          <w:sz w:val="24"/>
          <w:szCs w:val="24"/>
          <w:lang w:val="en-US"/>
        </w:rPr>
        <w:t>a sexual act was performed with the victim</w:t>
      </w:r>
      <w:r w:rsidRPr="00D159A5">
        <w:rPr>
          <w:rFonts w:ascii="Arial Hebrew Scholar" w:hAnsi="Arial Hebrew Scholar" w:cs="Arial Hebrew Scholar" w:hint="cs"/>
          <w:sz w:val="24"/>
          <w:szCs w:val="24"/>
        </w:rPr>
        <w:t xml:space="preserve">. </w:t>
      </w:r>
    </w:p>
    <w:p w14:paraId="606065A7" w14:textId="77777777" w:rsidR="008D42C5" w:rsidRPr="00D159A5" w:rsidRDefault="00431678">
      <w:pPr>
        <w:pStyle w:val="ListParagraph"/>
        <w:numPr>
          <w:ilvl w:val="0"/>
          <w:numId w:val="1"/>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And for participation of the accused, state counsel submitted that disclosed e</w:t>
      </w:r>
      <w:r w:rsidRPr="00D159A5">
        <w:rPr>
          <w:rFonts w:ascii="Arial Hebrew Scholar" w:hAnsi="Arial Hebrew Scholar" w:cs="Arial Hebrew Scholar" w:hint="cs"/>
          <w:sz w:val="24"/>
          <w:szCs w:val="24"/>
        </w:rPr>
        <w:t>vidence in exhibits PID1, PID2, PID3, PID4(a) and (b) and PID5 established the fact that the accused participated in the commission of the sexual act alleged.</w:t>
      </w:r>
    </w:p>
    <w:p w14:paraId="6D28969A" w14:textId="77777777" w:rsidR="008D42C5" w:rsidRPr="00D159A5" w:rsidRDefault="00431678">
      <w:pPr>
        <w:spacing w:line="360" w:lineRule="auto"/>
        <w:jc w:val="both"/>
        <w:rPr>
          <w:rFonts w:ascii="Arial Hebrew Scholar" w:hAnsi="Arial Hebrew Scholar" w:cs="Arial Hebrew Scholar"/>
          <w:b/>
          <w:bCs/>
          <w:sz w:val="24"/>
          <w:szCs w:val="24"/>
        </w:rPr>
      </w:pPr>
      <w:r w:rsidRPr="00D159A5">
        <w:rPr>
          <w:rFonts w:ascii="Arial Hebrew Scholar" w:hAnsi="Arial Hebrew Scholar" w:cs="Arial Hebrew Scholar" w:hint="cs"/>
          <w:b/>
          <w:bCs/>
          <w:sz w:val="24"/>
          <w:szCs w:val="24"/>
        </w:rPr>
        <w:t>DETERMINATION</w:t>
      </w:r>
    </w:p>
    <w:p w14:paraId="4926711B" w14:textId="77777777" w:rsidR="008D42C5" w:rsidRPr="00D159A5" w:rsidRDefault="00431678">
      <w:pPr>
        <w:spacing w:line="360" w:lineRule="auto"/>
        <w:jc w:val="both"/>
        <w:rPr>
          <w:rFonts w:ascii="Arial Hebrew Scholar" w:hAnsi="Arial Hebrew Scholar" w:cs="Arial Hebrew Scholar"/>
          <w:b/>
          <w:bCs/>
          <w:i/>
          <w:iCs/>
          <w:sz w:val="24"/>
          <w:szCs w:val="24"/>
        </w:rPr>
      </w:pPr>
      <w:r w:rsidRPr="00D159A5">
        <w:rPr>
          <w:rFonts w:ascii="Arial Hebrew Scholar" w:hAnsi="Arial Hebrew Scholar" w:cs="Arial Hebrew Scholar" w:hint="cs"/>
          <w:b/>
          <w:bCs/>
          <w:i/>
          <w:iCs/>
          <w:sz w:val="24"/>
          <w:szCs w:val="24"/>
        </w:rPr>
        <w:t xml:space="preserve">COUNT 1: Aggravated Trafficking in Children Contrary to Section 3(1)(a) of the </w:t>
      </w:r>
      <w:r w:rsidRPr="00D159A5">
        <w:rPr>
          <w:rFonts w:ascii="Arial Hebrew Scholar" w:hAnsi="Arial Hebrew Scholar" w:cs="Arial Hebrew Scholar" w:hint="cs"/>
          <w:b/>
          <w:bCs/>
          <w:i/>
          <w:iCs/>
          <w:sz w:val="24"/>
          <w:szCs w:val="24"/>
        </w:rPr>
        <w:t>PTIPA, 2009</w:t>
      </w:r>
    </w:p>
    <w:p w14:paraId="62CDE6A8" w14:textId="77777777" w:rsidR="008D42C5" w:rsidRPr="00D159A5" w:rsidRDefault="00431678">
      <w:pPr>
        <w:pStyle w:val="ListParagraph"/>
        <w:numPr>
          <w:ilvl w:val="0"/>
          <w:numId w:val="1"/>
        </w:numPr>
        <w:spacing w:line="360" w:lineRule="auto"/>
        <w:ind w:left="2180" w:hanging="1080"/>
        <w:jc w:val="both"/>
        <w:rPr>
          <w:rFonts w:ascii="Arial Hebrew Scholar" w:hAnsi="Arial Hebrew Scholar" w:cs="Arial Hebrew Scholar"/>
          <w:strike/>
          <w:sz w:val="24"/>
          <w:szCs w:val="24"/>
        </w:rPr>
      </w:pPr>
      <w:r w:rsidRPr="00D159A5">
        <w:rPr>
          <w:rFonts w:ascii="Arial Hebrew Scholar" w:hAnsi="Arial Hebrew Scholar" w:cs="Arial Hebrew Scholar" w:hint="cs"/>
          <w:b/>
          <w:bCs/>
          <w:i/>
          <w:iCs/>
          <w:sz w:val="24"/>
          <w:szCs w:val="24"/>
        </w:rPr>
        <w:t xml:space="preserve">Section 3(1) of the PTIPA </w:t>
      </w:r>
      <w:r w:rsidRPr="00D159A5">
        <w:rPr>
          <w:rFonts w:ascii="Arial Hebrew Scholar" w:hAnsi="Arial Hebrew Scholar" w:cs="Arial Hebrew Scholar" w:hint="cs"/>
          <w:sz w:val="24"/>
          <w:szCs w:val="24"/>
        </w:rPr>
        <w:t>provides that a person commits an offence who:</w:t>
      </w:r>
    </w:p>
    <w:p w14:paraId="1016B0AC" w14:textId="77777777" w:rsidR="008D42C5" w:rsidRPr="00D159A5" w:rsidRDefault="00431678">
      <w:pPr>
        <w:pStyle w:val="ListParagraph"/>
        <w:numPr>
          <w:ilvl w:val="0"/>
          <w:numId w:val="5"/>
        </w:numPr>
        <w:spacing w:line="360" w:lineRule="auto"/>
        <w:ind w:right="521"/>
        <w:jc w:val="both"/>
        <w:rPr>
          <w:rFonts w:ascii="Arial Hebrew Scholar" w:hAnsi="Arial Hebrew Scholar" w:cs="Arial Hebrew Scholar"/>
          <w:sz w:val="24"/>
          <w:szCs w:val="24"/>
        </w:rPr>
      </w:pPr>
      <w:r w:rsidRPr="00D159A5">
        <w:rPr>
          <w:rFonts w:ascii="Arial Hebrew Scholar" w:hAnsi="Arial Hebrew Scholar" w:cs="Arial Hebrew Scholar" w:hint="cs"/>
          <w:i/>
          <w:sz w:val="24"/>
          <w:szCs w:val="24"/>
        </w:rPr>
        <w:t>“recruits, transports, transfers, harbours or receives a person, by means</w:t>
      </w:r>
      <w:r w:rsidRPr="00D159A5">
        <w:rPr>
          <w:rFonts w:ascii="Arial Hebrew Scholar" w:hAnsi="Arial Hebrew Scholar" w:cs="Arial Hebrew Scholar" w:hint="cs"/>
          <w:sz w:val="24"/>
          <w:szCs w:val="24"/>
        </w:rPr>
        <w:t xml:space="preserve"> </w:t>
      </w:r>
      <w:r w:rsidRPr="00D159A5">
        <w:rPr>
          <w:rFonts w:ascii="Arial Hebrew Scholar" w:hAnsi="Arial Hebrew Scholar" w:cs="Arial Hebrew Scholar" w:hint="cs"/>
          <w:i/>
          <w:sz w:val="24"/>
          <w:szCs w:val="24"/>
        </w:rPr>
        <w:t>of the threat or use of force or other forms of coercion, of abduction, of fraud, of deception, o</w:t>
      </w:r>
      <w:r w:rsidRPr="00D159A5">
        <w:rPr>
          <w:rFonts w:ascii="Arial Hebrew Scholar" w:hAnsi="Arial Hebrew Scholar" w:cs="Arial Hebrew Scholar" w:hint="cs"/>
          <w:i/>
          <w:sz w:val="24"/>
          <w:szCs w:val="24"/>
        </w:rPr>
        <w:t>f the abuse of power or of a position of vulnerability or of the giving or receiving of payments or benefits to achieve the consent of a person having control over another person for the purpose of exploitation.”</w:t>
      </w:r>
    </w:p>
    <w:p w14:paraId="518470B4" w14:textId="77777777" w:rsidR="008D42C5" w:rsidRPr="00D159A5" w:rsidRDefault="00431678">
      <w:pPr>
        <w:pStyle w:val="ListParagraph"/>
        <w:numPr>
          <w:ilvl w:val="0"/>
          <w:numId w:val="1"/>
        </w:numPr>
        <w:spacing w:line="360" w:lineRule="auto"/>
        <w:ind w:left="2180" w:hanging="1080"/>
        <w:jc w:val="both"/>
        <w:rPr>
          <w:rFonts w:ascii="Arial Hebrew Scholar" w:hAnsi="Arial Hebrew Scholar" w:cs="Arial Hebrew Scholar"/>
          <w:strike/>
          <w:sz w:val="24"/>
          <w:szCs w:val="24"/>
        </w:rPr>
      </w:pPr>
      <w:r w:rsidRPr="00D159A5">
        <w:rPr>
          <w:rFonts w:ascii="Arial Hebrew Scholar" w:eastAsia="Cambria" w:hAnsi="Arial Hebrew Scholar" w:cs="Arial Hebrew Scholar" w:hint="cs"/>
          <w:b/>
          <w:i/>
          <w:sz w:val="24"/>
          <w:szCs w:val="24"/>
          <w:lang w:val="en-US"/>
        </w:rPr>
        <w:t>Section 5</w:t>
      </w:r>
      <w:r w:rsidRPr="00D159A5">
        <w:rPr>
          <w:rFonts w:ascii="Arial Hebrew Scholar" w:eastAsia="Cambria" w:hAnsi="Arial Hebrew Scholar" w:cs="Arial Hebrew Scholar" w:hint="cs"/>
          <w:b/>
          <w:i/>
          <w:spacing w:val="-15"/>
          <w:sz w:val="24"/>
          <w:szCs w:val="24"/>
          <w:lang w:val="en-US"/>
        </w:rPr>
        <w:t xml:space="preserve"> </w:t>
      </w:r>
      <w:r w:rsidRPr="00D159A5">
        <w:rPr>
          <w:rFonts w:ascii="Arial Hebrew Scholar" w:eastAsia="Cambria" w:hAnsi="Arial Hebrew Scholar" w:cs="Arial Hebrew Scholar" w:hint="cs"/>
          <w:b/>
          <w:i/>
          <w:sz w:val="24"/>
          <w:szCs w:val="24"/>
          <w:lang w:val="en-US"/>
        </w:rPr>
        <w:t>(a)</w:t>
      </w:r>
      <w:r w:rsidRPr="00D159A5">
        <w:rPr>
          <w:rFonts w:ascii="Arial Hebrew Scholar" w:eastAsia="Cambria" w:hAnsi="Arial Hebrew Scholar" w:cs="Arial Hebrew Scholar" w:hint="cs"/>
          <w:b/>
          <w:i/>
          <w:spacing w:val="-15"/>
          <w:sz w:val="24"/>
          <w:szCs w:val="24"/>
          <w:lang w:val="en-US"/>
        </w:rPr>
        <w:t xml:space="preserve"> </w:t>
      </w:r>
      <w:r w:rsidRPr="00D159A5">
        <w:rPr>
          <w:rFonts w:ascii="Arial Hebrew Scholar" w:eastAsia="Cambria" w:hAnsi="Arial Hebrew Scholar" w:cs="Arial Hebrew Scholar" w:hint="cs"/>
          <w:b/>
          <w:i/>
          <w:sz w:val="24"/>
          <w:szCs w:val="24"/>
          <w:lang w:val="en-US"/>
        </w:rPr>
        <w:t>of the PTIPA,</w:t>
      </w:r>
      <w:r w:rsidRPr="00D159A5">
        <w:rPr>
          <w:rFonts w:ascii="Arial Hebrew Scholar" w:eastAsia="Cambria" w:hAnsi="Arial Hebrew Scholar" w:cs="Arial Hebrew Scholar" w:hint="cs"/>
          <w:b/>
          <w:i/>
          <w:spacing w:val="-15"/>
          <w:sz w:val="24"/>
          <w:szCs w:val="24"/>
          <w:lang w:val="en-US"/>
        </w:rPr>
        <w:t xml:space="preserve"> </w:t>
      </w:r>
      <w:r w:rsidRPr="00D159A5">
        <w:rPr>
          <w:rFonts w:ascii="Arial Hebrew Scholar" w:eastAsia="Cambria" w:hAnsi="Arial Hebrew Scholar" w:cs="Arial Hebrew Scholar" w:hint="cs"/>
          <w:b/>
          <w:i/>
          <w:sz w:val="24"/>
          <w:szCs w:val="24"/>
          <w:lang w:val="en-US"/>
        </w:rPr>
        <w:t>2009</w:t>
      </w:r>
      <w:r w:rsidRPr="00D159A5">
        <w:rPr>
          <w:rFonts w:ascii="Arial Hebrew Scholar" w:eastAsia="Cambria" w:hAnsi="Arial Hebrew Scholar" w:cs="Arial Hebrew Scholar" w:hint="cs"/>
          <w:b/>
          <w:i/>
          <w:spacing w:val="-15"/>
          <w:sz w:val="24"/>
          <w:szCs w:val="24"/>
          <w:lang w:val="en-US"/>
        </w:rPr>
        <w:t xml:space="preserve"> </w:t>
      </w:r>
      <w:r w:rsidRPr="00D159A5">
        <w:rPr>
          <w:rFonts w:ascii="Arial Hebrew Scholar" w:eastAsia="Cambria" w:hAnsi="Arial Hebrew Scholar" w:cs="Arial Hebrew Scholar" w:hint="cs"/>
          <w:sz w:val="24"/>
          <w:szCs w:val="24"/>
          <w:lang w:val="en-US"/>
        </w:rPr>
        <w:t>which is t</w:t>
      </w:r>
      <w:r w:rsidRPr="00D159A5">
        <w:rPr>
          <w:rFonts w:ascii="Arial Hebrew Scholar" w:eastAsia="Cambria" w:hAnsi="Arial Hebrew Scholar" w:cs="Arial Hebrew Scholar" w:hint="cs"/>
          <w:sz w:val="24"/>
          <w:szCs w:val="24"/>
          <w:lang w:val="en-US"/>
        </w:rPr>
        <w:t xml:space="preserve">he second provision of the law under which the accused is charged, provides that a person commits the offence of aggravated trafficking in children if he or she does any of the acts in </w:t>
      </w:r>
      <w:r w:rsidRPr="00D159A5">
        <w:rPr>
          <w:rFonts w:ascii="Arial Hebrew Scholar" w:eastAsia="Cambria" w:hAnsi="Arial Hebrew Scholar" w:cs="Arial Hebrew Scholar" w:hint="cs"/>
          <w:b/>
          <w:i/>
          <w:sz w:val="24"/>
          <w:szCs w:val="24"/>
          <w:lang w:val="en-US"/>
        </w:rPr>
        <w:t>Section 3</w:t>
      </w:r>
      <w:r w:rsidRPr="00D159A5">
        <w:rPr>
          <w:rFonts w:ascii="Arial Hebrew Scholar" w:eastAsia="Cambria" w:hAnsi="Arial Hebrew Scholar" w:cs="Arial Hebrew Scholar" w:hint="cs"/>
          <w:sz w:val="24"/>
          <w:szCs w:val="24"/>
          <w:lang w:val="en-US"/>
        </w:rPr>
        <w:t xml:space="preserve"> in relation to a child. </w:t>
      </w:r>
    </w:p>
    <w:p w14:paraId="60E48866" w14:textId="77777777" w:rsidR="008D42C5" w:rsidRPr="00D159A5" w:rsidRDefault="00431678">
      <w:pPr>
        <w:pStyle w:val="ListParagraph"/>
        <w:numPr>
          <w:ilvl w:val="0"/>
          <w:numId w:val="1"/>
        </w:numPr>
        <w:spacing w:line="360" w:lineRule="auto"/>
        <w:ind w:left="2180" w:hanging="1080"/>
        <w:jc w:val="both"/>
        <w:rPr>
          <w:rFonts w:ascii="Arial Hebrew Scholar" w:hAnsi="Arial Hebrew Scholar" w:cs="Arial Hebrew Scholar"/>
          <w:strike/>
          <w:sz w:val="24"/>
          <w:szCs w:val="24"/>
        </w:rPr>
      </w:pPr>
      <w:r w:rsidRPr="00D159A5">
        <w:rPr>
          <w:rFonts w:ascii="Arial Hebrew Scholar" w:eastAsia="Cambria" w:hAnsi="Arial Hebrew Scholar" w:cs="Arial Hebrew Scholar" w:hint="cs"/>
          <w:b/>
          <w:i/>
          <w:sz w:val="24"/>
          <w:szCs w:val="24"/>
          <w:lang w:val="en-US"/>
        </w:rPr>
        <w:lastRenderedPageBreak/>
        <w:t xml:space="preserve">Section 4(a) of the PTIPA, 2009 </w:t>
      </w:r>
      <w:r w:rsidRPr="00D159A5">
        <w:rPr>
          <w:rFonts w:ascii="Arial Hebrew Scholar" w:eastAsia="Cambria" w:hAnsi="Arial Hebrew Scholar" w:cs="Arial Hebrew Scholar" w:hint="cs"/>
          <w:sz w:val="24"/>
          <w:szCs w:val="24"/>
          <w:lang w:val="en-US"/>
        </w:rPr>
        <w:t xml:space="preserve">provides that a person commits the offence of aggravated trafficking where the victim of the trafficking is a child. </w:t>
      </w:r>
    </w:p>
    <w:p w14:paraId="3A51972F" w14:textId="77777777" w:rsidR="008D42C5" w:rsidRPr="00D159A5" w:rsidRDefault="00431678">
      <w:pPr>
        <w:pStyle w:val="ListParagraph"/>
        <w:numPr>
          <w:ilvl w:val="0"/>
          <w:numId w:val="1"/>
        </w:numPr>
        <w:spacing w:line="360" w:lineRule="auto"/>
        <w:ind w:left="2180" w:hanging="1080"/>
        <w:jc w:val="both"/>
        <w:rPr>
          <w:rFonts w:ascii="Arial Hebrew Scholar" w:hAnsi="Arial Hebrew Scholar" w:cs="Arial Hebrew Scholar"/>
          <w:strike/>
          <w:sz w:val="24"/>
          <w:szCs w:val="24"/>
        </w:rPr>
      </w:pPr>
      <w:r w:rsidRPr="00D159A5">
        <w:rPr>
          <w:rFonts w:ascii="Arial Hebrew Scholar" w:eastAsia="Cambria" w:hAnsi="Arial Hebrew Scholar" w:cs="Arial Hebrew Scholar" w:hint="cs"/>
          <w:b/>
          <w:i/>
          <w:sz w:val="24"/>
          <w:szCs w:val="24"/>
          <w:lang w:val="en-US"/>
        </w:rPr>
        <w:t>Section 2 (a) of the PTIPA, 2009</w:t>
      </w:r>
      <w:r w:rsidRPr="00D159A5">
        <w:rPr>
          <w:rFonts w:ascii="Arial Hebrew Scholar" w:eastAsia="Cambria" w:hAnsi="Arial Hebrew Scholar" w:cs="Arial Hebrew Scholar" w:hint="cs"/>
          <w:b/>
          <w:i/>
          <w:spacing w:val="-1"/>
          <w:sz w:val="24"/>
          <w:szCs w:val="24"/>
          <w:lang w:val="en-US"/>
        </w:rPr>
        <w:t xml:space="preserve"> </w:t>
      </w:r>
      <w:r w:rsidRPr="00D159A5">
        <w:rPr>
          <w:rFonts w:ascii="Arial Hebrew Scholar" w:eastAsia="Cambria" w:hAnsi="Arial Hebrew Scholar" w:cs="Arial Hebrew Scholar" w:hint="cs"/>
          <w:sz w:val="24"/>
          <w:szCs w:val="24"/>
          <w:lang w:val="en-US"/>
        </w:rPr>
        <w:t>defines a child as a person below the age of 18 years.</w:t>
      </w:r>
    </w:p>
    <w:p w14:paraId="6721AFA7" w14:textId="77777777" w:rsidR="008D42C5" w:rsidRPr="00D159A5" w:rsidRDefault="00431678">
      <w:pPr>
        <w:pStyle w:val="ListParagraph"/>
        <w:numPr>
          <w:ilvl w:val="0"/>
          <w:numId w:val="1"/>
        </w:numPr>
        <w:spacing w:line="360" w:lineRule="auto"/>
        <w:ind w:left="2180" w:hanging="1080"/>
        <w:jc w:val="both"/>
        <w:rPr>
          <w:rFonts w:ascii="Arial Hebrew Scholar" w:hAnsi="Arial Hebrew Scholar" w:cs="Arial Hebrew Scholar"/>
          <w:strike/>
          <w:sz w:val="24"/>
          <w:szCs w:val="24"/>
        </w:rPr>
      </w:pPr>
      <w:r w:rsidRPr="00D159A5">
        <w:rPr>
          <w:rFonts w:ascii="Arial Hebrew Scholar" w:eastAsia="Cambria" w:hAnsi="Arial Hebrew Scholar" w:cs="Arial Hebrew Scholar" w:hint="cs"/>
          <w:sz w:val="24"/>
          <w:szCs w:val="24"/>
          <w:lang w:val="en-US"/>
        </w:rPr>
        <w:t xml:space="preserve">In this case before me, the following elements to </w:t>
      </w:r>
      <w:r w:rsidRPr="00D159A5">
        <w:rPr>
          <w:rFonts w:ascii="Arial Hebrew Scholar" w:eastAsia="Cambria" w:hAnsi="Arial Hebrew Scholar" w:cs="Arial Hebrew Scholar" w:hint="cs"/>
          <w:sz w:val="24"/>
          <w:szCs w:val="24"/>
          <w:lang w:val="en-US"/>
        </w:rPr>
        <w:t>be established by the prosecution to prove substantial grounds to believe that the accused persons committed the crime charged are:</w:t>
      </w:r>
    </w:p>
    <w:p w14:paraId="125C81BF" w14:textId="77777777" w:rsidR="008D42C5" w:rsidRPr="00D159A5" w:rsidRDefault="00431678">
      <w:pPr>
        <w:pStyle w:val="ListParagraph"/>
        <w:numPr>
          <w:ilvl w:val="0"/>
          <w:numId w:val="6"/>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The act of recruiting, or transporting, or transporting, or transferring or harbouring or receiving the victim;</w:t>
      </w:r>
    </w:p>
    <w:p w14:paraId="01EA3B55" w14:textId="77777777" w:rsidR="008D42C5" w:rsidRPr="00D159A5" w:rsidRDefault="00431678">
      <w:pPr>
        <w:pStyle w:val="ListParagraph"/>
        <w:numPr>
          <w:ilvl w:val="0"/>
          <w:numId w:val="6"/>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The means of</w:t>
      </w:r>
      <w:r w:rsidRPr="00D159A5">
        <w:rPr>
          <w:rFonts w:ascii="Arial Hebrew Scholar" w:hAnsi="Arial Hebrew Scholar" w:cs="Arial Hebrew Scholar" w:hint="cs"/>
          <w:sz w:val="24"/>
          <w:szCs w:val="24"/>
        </w:rPr>
        <w:t xml:space="preserve"> deception or abuse of power or position of vulnerability of the victim;</w:t>
      </w:r>
    </w:p>
    <w:p w14:paraId="11F2CF2C" w14:textId="77777777" w:rsidR="008D42C5" w:rsidRPr="00D159A5" w:rsidRDefault="00431678">
      <w:pPr>
        <w:pStyle w:val="ListParagraph"/>
        <w:numPr>
          <w:ilvl w:val="0"/>
          <w:numId w:val="6"/>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The purpose of exploitation of the victim;</w:t>
      </w:r>
    </w:p>
    <w:p w14:paraId="2B0293AB" w14:textId="77777777" w:rsidR="008D42C5" w:rsidRPr="00D159A5" w:rsidRDefault="00431678">
      <w:pPr>
        <w:pStyle w:val="ListParagraph"/>
        <w:numPr>
          <w:ilvl w:val="0"/>
          <w:numId w:val="6"/>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The aggravated factor of the victim being a child; and,</w:t>
      </w:r>
    </w:p>
    <w:p w14:paraId="1CE7D8F2" w14:textId="77777777" w:rsidR="008D42C5" w:rsidRPr="00D159A5" w:rsidRDefault="00431678">
      <w:pPr>
        <w:pStyle w:val="ListParagraph"/>
        <w:numPr>
          <w:ilvl w:val="0"/>
          <w:numId w:val="6"/>
        </w:numPr>
        <w:spacing w:line="360" w:lineRule="auto"/>
        <w:jc w:val="both"/>
        <w:rPr>
          <w:rFonts w:ascii="Arial Hebrew Scholar" w:hAnsi="Arial Hebrew Scholar" w:cs="Arial Hebrew Scholar"/>
          <w:strike/>
          <w:sz w:val="24"/>
          <w:szCs w:val="24"/>
        </w:rPr>
      </w:pPr>
      <w:r w:rsidRPr="00D159A5">
        <w:rPr>
          <w:rFonts w:ascii="Arial Hebrew Scholar" w:hAnsi="Arial Hebrew Scholar" w:cs="Arial Hebrew Scholar" w:hint="cs"/>
          <w:sz w:val="24"/>
          <w:szCs w:val="24"/>
        </w:rPr>
        <w:t>The participation of the accused in the commission of any of the acts or means or pu</w:t>
      </w:r>
      <w:r w:rsidRPr="00D159A5">
        <w:rPr>
          <w:rFonts w:ascii="Arial Hebrew Scholar" w:hAnsi="Arial Hebrew Scholar" w:cs="Arial Hebrew Scholar" w:hint="cs"/>
          <w:sz w:val="24"/>
          <w:szCs w:val="24"/>
        </w:rPr>
        <w:t>rpose of trafficking complained of.</w:t>
      </w:r>
    </w:p>
    <w:p w14:paraId="057A7CE1" w14:textId="77777777" w:rsidR="008D42C5" w:rsidRPr="00D159A5" w:rsidRDefault="00431678">
      <w:pPr>
        <w:pStyle w:val="ListParagraph"/>
        <w:numPr>
          <w:ilvl w:val="0"/>
          <w:numId w:val="1"/>
        </w:numPr>
        <w:spacing w:line="360" w:lineRule="auto"/>
        <w:ind w:left="2158" w:hanging="1058"/>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The Court of Appeal in upholding the conviction of the accused in the case of </w:t>
      </w:r>
      <w:proofErr w:type="spellStart"/>
      <w:r w:rsidRPr="00D159A5">
        <w:rPr>
          <w:rFonts w:ascii="Arial Hebrew Scholar" w:hAnsi="Arial Hebrew Scholar" w:cs="Arial Hebrew Scholar" w:hint="cs"/>
          <w:b/>
          <w:i/>
          <w:sz w:val="24"/>
          <w:szCs w:val="24"/>
        </w:rPr>
        <w:t>Umutoni</w:t>
      </w:r>
      <w:proofErr w:type="spellEnd"/>
      <w:r w:rsidRPr="00D159A5">
        <w:rPr>
          <w:rFonts w:ascii="Arial Hebrew Scholar" w:hAnsi="Arial Hebrew Scholar" w:cs="Arial Hebrew Scholar" w:hint="cs"/>
          <w:b/>
          <w:i/>
          <w:sz w:val="24"/>
          <w:szCs w:val="24"/>
        </w:rPr>
        <w:t xml:space="preserve"> v Uganda, Criminal Appeal 855/2014 (2019) UGCA 147</w:t>
      </w:r>
      <w:r w:rsidRPr="00D159A5">
        <w:rPr>
          <w:rFonts w:ascii="Arial Hebrew Scholar" w:hAnsi="Arial Hebrew Scholar" w:cs="Arial Hebrew Scholar" w:hint="cs"/>
          <w:sz w:val="24"/>
          <w:szCs w:val="24"/>
        </w:rPr>
        <w:t xml:space="preserve"> confirmed that, where the charge is aggravated trafficking in persons under </w:t>
      </w:r>
      <w:r w:rsidRPr="00D159A5">
        <w:rPr>
          <w:rFonts w:ascii="Arial Hebrew Scholar" w:hAnsi="Arial Hebrew Scholar" w:cs="Arial Hebrew Scholar" w:hint="cs"/>
          <w:b/>
          <w:i/>
          <w:sz w:val="24"/>
          <w:szCs w:val="24"/>
        </w:rPr>
        <w:t>Section</w:t>
      </w:r>
      <w:r w:rsidRPr="00D159A5">
        <w:rPr>
          <w:rFonts w:ascii="Arial Hebrew Scholar" w:hAnsi="Arial Hebrew Scholar" w:cs="Arial Hebrew Scholar" w:hint="cs"/>
          <w:b/>
          <w:i/>
          <w:sz w:val="24"/>
          <w:szCs w:val="24"/>
        </w:rPr>
        <w:t xml:space="preserve"> 3 </w:t>
      </w:r>
      <w:r w:rsidRPr="00D159A5">
        <w:rPr>
          <w:rFonts w:ascii="Arial Hebrew Scholar" w:hAnsi="Arial Hebrew Scholar" w:cs="Arial Hebrew Scholar" w:hint="cs"/>
          <w:sz w:val="24"/>
          <w:szCs w:val="24"/>
        </w:rPr>
        <w:t>and either</w:t>
      </w:r>
      <w:r w:rsidRPr="00D159A5">
        <w:rPr>
          <w:rFonts w:ascii="Arial Hebrew Scholar" w:hAnsi="Arial Hebrew Scholar" w:cs="Arial Hebrew Scholar" w:hint="cs"/>
          <w:b/>
          <w:i/>
          <w:sz w:val="24"/>
          <w:szCs w:val="24"/>
        </w:rPr>
        <w:t xml:space="preserve"> Section 4 or 5, of the PTIPA,</w:t>
      </w:r>
      <w:r w:rsidRPr="00D159A5">
        <w:rPr>
          <w:rFonts w:ascii="Arial Hebrew Scholar" w:hAnsi="Arial Hebrew Scholar" w:cs="Arial Hebrew Scholar" w:hint="cs"/>
          <w:sz w:val="24"/>
          <w:szCs w:val="24"/>
        </w:rPr>
        <w:t xml:space="preserve"> the offence has five major elements: the act, the means, and the purpose set out in </w:t>
      </w:r>
      <w:r w:rsidRPr="00D159A5">
        <w:rPr>
          <w:rFonts w:ascii="Arial Hebrew Scholar" w:hAnsi="Arial Hebrew Scholar" w:cs="Arial Hebrew Scholar" w:hint="cs"/>
          <w:b/>
          <w:i/>
          <w:sz w:val="24"/>
          <w:szCs w:val="24"/>
        </w:rPr>
        <w:t>Section 3</w:t>
      </w:r>
      <w:r w:rsidRPr="00D159A5">
        <w:rPr>
          <w:rFonts w:ascii="Arial Hebrew Scholar" w:hAnsi="Arial Hebrew Scholar" w:cs="Arial Hebrew Scholar" w:hint="cs"/>
          <w:sz w:val="24"/>
          <w:szCs w:val="24"/>
        </w:rPr>
        <w:t xml:space="preserve">; the participation of the accused; and the relevant aggravating factor from either </w:t>
      </w:r>
      <w:r w:rsidRPr="00D159A5">
        <w:rPr>
          <w:rFonts w:ascii="Arial Hebrew Scholar" w:hAnsi="Arial Hebrew Scholar" w:cs="Arial Hebrew Scholar" w:hint="cs"/>
          <w:b/>
          <w:sz w:val="24"/>
          <w:szCs w:val="24"/>
        </w:rPr>
        <w:t>Section 4</w:t>
      </w:r>
      <w:r w:rsidRPr="00D159A5">
        <w:rPr>
          <w:rFonts w:ascii="Arial Hebrew Scholar" w:hAnsi="Arial Hebrew Scholar" w:cs="Arial Hebrew Scholar" w:hint="cs"/>
          <w:sz w:val="24"/>
          <w:szCs w:val="24"/>
        </w:rPr>
        <w:t xml:space="preserve"> or </w:t>
      </w:r>
      <w:r w:rsidRPr="00D159A5">
        <w:rPr>
          <w:rFonts w:ascii="Arial Hebrew Scholar" w:hAnsi="Arial Hebrew Scholar" w:cs="Arial Hebrew Scholar" w:hint="cs"/>
          <w:b/>
          <w:i/>
          <w:sz w:val="24"/>
          <w:szCs w:val="24"/>
        </w:rPr>
        <w:t>Section 5 of the Act</w:t>
      </w:r>
      <w:r w:rsidRPr="00D159A5">
        <w:rPr>
          <w:rFonts w:ascii="Arial Hebrew Scholar" w:hAnsi="Arial Hebrew Scholar" w:cs="Arial Hebrew Scholar" w:hint="cs"/>
          <w:sz w:val="24"/>
          <w:szCs w:val="24"/>
        </w:rPr>
        <w:t>.</w:t>
      </w:r>
    </w:p>
    <w:p w14:paraId="471589B9" w14:textId="3F060A78" w:rsidR="008D42C5" w:rsidRPr="00D159A5" w:rsidRDefault="00431678">
      <w:pPr>
        <w:pStyle w:val="ListParagraph"/>
        <w:numPr>
          <w:ilvl w:val="0"/>
          <w:numId w:val="1"/>
        </w:numPr>
        <w:spacing w:line="360" w:lineRule="auto"/>
        <w:ind w:left="2158" w:hanging="1058"/>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Regarding the first element, it can be established from the victim and A1’s </w:t>
      </w:r>
      <w:proofErr w:type="spellStart"/>
      <w:r w:rsidR="00941122">
        <w:rPr>
          <w:rFonts w:ascii="Arial Hebrew Scholar" w:hAnsi="Arial Hebrew Scholar" w:cs="Arial Hebrew Scholar"/>
          <w:sz w:val="24"/>
          <w:szCs w:val="24"/>
        </w:rPr>
        <w:t>plai</w:t>
      </w:r>
      <w:bookmarkStart w:id="0" w:name="_GoBack"/>
      <w:bookmarkEnd w:id="0"/>
      <w:proofErr w:type="spellEnd"/>
      <w:r w:rsidR="00941122">
        <w:rPr>
          <w:rFonts w:ascii="Arial Hebrew Scholar" w:hAnsi="Arial Hebrew Scholar" w:cs="Arial Hebrew Scholar"/>
          <w:sz w:val="24"/>
          <w:szCs w:val="24"/>
          <w:lang w:val="en-US"/>
        </w:rPr>
        <w:t>n</w:t>
      </w:r>
      <w:r w:rsidR="00D159A5" w:rsidRPr="00D159A5">
        <w:rPr>
          <w:rFonts w:ascii="Arial Hebrew Scholar" w:hAnsi="Arial Hebrew Scholar" w:cs="Arial Hebrew Scholar"/>
          <w:sz w:val="24"/>
          <w:szCs w:val="24"/>
          <w:lang w:val="en-US"/>
        </w:rPr>
        <w:t xml:space="preserve"> and</w:t>
      </w:r>
      <w:r w:rsidRPr="00D159A5">
        <w:rPr>
          <w:rFonts w:ascii="Arial Hebrew Scholar" w:hAnsi="Arial Hebrew Scholar" w:cs="Arial Hebrew Scholar" w:hint="cs"/>
          <w:sz w:val="24"/>
          <w:szCs w:val="24"/>
        </w:rPr>
        <w:t xml:space="preserve"> charge and caution statements that A1 received and harboured the victim. I do note that from the statement of the victim and A1’s statements, the victim on her own accord left A2’s home to cohabit with A1. This is however irrelevant, as </w:t>
      </w:r>
      <w:r w:rsidRPr="00D159A5">
        <w:rPr>
          <w:rFonts w:ascii="Arial Hebrew Scholar" w:hAnsi="Arial Hebrew Scholar" w:cs="Arial Hebrew Scholar" w:hint="cs"/>
          <w:b/>
          <w:i/>
          <w:sz w:val="24"/>
          <w:szCs w:val="24"/>
        </w:rPr>
        <w:t>Section 3(4) of</w:t>
      </w:r>
      <w:r w:rsidRPr="00D159A5">
        <w:rPr>
          <w:rFonts w:ascii="Arial Hebrew Scholar" w:hAnsi="Arial Hebrew Scholar" w:cs="Arial Hebrew Scholar" w:hint="cs"/>
          <w:b/>
          <w:i/>
          <w:sz w:val="24"/>
          <w:szCs w:val="24"/>
        </w:rPr>
        <w:t xml:space="preserve"> the PTIPA</w:t>
      </w:r>
      <w:r w:rsidRPr="00D159A5">
        <w:rPr>
          <w:rFonts w:ascii="Arial Hebrew Scholar" w:hAnsi="Arial Hebrew Scholar" w:cs="Arial Hebrew Scholar" w:hint="cs"/>
          <w:sz w:val="24"/>
          <w:szCs w:val="24"/>
        </w:rPr>
        <w:t xml:space="preserve"> provides that the consent of the victim of trafficking or if a child, the </w:t>
      </w:r>
      <w:r w:rsidRPr="00D159A5">
        <w:rPr>
          <w:rFonts w:ascii="Arial Hebrew Scholar" w:hAnsi="Arial Hebrew Scholar" w:cs="Arial Hebrew Scholar" w:hint="cs"/>
          <w:sz w:val="24"/>
          <w:szCs w:val="24"/>
        </w:rPr>
        <w:lastRenderedPageBreak/>
        <w:t xml:space="preserve">consent of their parents or guardians to the acts of exploitation shall not be relevant. </w:t>
      </w:r>
    </w:p>
    <w:p w14:paraId="20514AB6" w14:textId="77777777" w:rsidR="008D42C5" w:rsidRPr="00D159A5" w:rsidRDefault="00431678">
      <w:pPr>
        <w:pStyle w:val="ListParagraph"/>
        <w:numPr>
          <w:ilvl w:val="0"/>
          <w:numId w:val="1"/>
        </w:numPr>
        <w:spacing w:line="360" w:lineRule="auto"/>
        <w:ind w:left="2158" w:hanging="1058"/>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As for A2, the victim’s statement and A1’s plain and charge and caution statement</w:t>
      </w:r>
      <w:r w:rsidRPr="00D159A5">
        <w:rPr>
          <w:rFonts w:ascii="Arial Hebrew Scholar" w:hAnsi="Arial Hebrew Scholar" w:cs="Arial Hebrew Scholar" w:hint="cs"/>
          <w:sz w:val="24"/>
          <w:szCs w:val="24"/>
        </w:rPr>
        <w:t>s show that A2 transferred the victim into the custody of A1. I think that this element is sufficiently established for the purpose of confirming the said the charge.</w:t>
      </w:r>
    </w:p>
    <w:p w14:paraId="69ABED0D" w14:textId="77777777" w:rsidR="008D42C5" w:rsidRPr="00D159A5" w:rsidRDefault="00431678">
      <w:pPr>
        <w:pStyle w:val="ListParagraph"/>
        <w:numPr>
          <w:ilvl w:val="0"/>
          <w:numId w:val="1"/>
        </w:numPr>
        <w:spacing w:line="360" w:lineRule="auto"/>
        <w:ind w:left="2158" w:hanging="1058"/>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Concerning the second element of the means of deception or abuse of power or of position </w:t>
      </w:r>
      <w:r w:rsidRPr="00D159A5">
        <w:rPr>
          <w:rFonts w:ascii="Arial Hebrew Scholar" w:hAnsi="Arial Hebrew Scholar" w:cs="Arial Hebrew Scholar" w:hint="cs"/>
          <w:sz w:val="24"/>
          <w:szCs w:val="24"/>
        </w:rPr>
        <w:t xml:space="preserve">of vulnerability having been used to recruit, or transport, or transfer, or harbour or receive the victim, this court takes note of the submissions of the prosecution, but shall not delve into them because of the provisions of </w:t>
      </w:r>
      <w:r w:rsidRPr="00D159A5">
        <w:rPr>
          <w:rFonts w:ascii="Arial Hebrew Scholar" w:hAnsi="Arial Hebrew Scholar" w:cs="Arial Hebrew Scholar" w:hint="cs"/>
          <w:b/>
          <w:i/>
          <w:sz w:val="24"/>
          <w:szCs w:val="24"/>
        </w:rPr>
        <w:t>Section 3(3) of the PTIPA, 20</w:t>
      </w:r>
      <w:r w:rsidRPr="00D159A5">
        <w:rPr>
          <w:rFonts w:ascii="Arial Hebrew Scholar" w:hAnsi="Arial Hebrew Scholar" w:cs="Arial Hebrew Scholar" w:hint="cs"/>
          <w:b/>
          <w:i/>
          <w:sz w:val="24"/>
          <w:szCs w:val="24"/>
        </w:rPr>
        <w:t>09</w:t>
      </w:r>
      <w:r w:rsidRPr="00D159A5">
        <w:rPr>
          <w:rFonts w:ascii="Arial Hebrew Scholar" w:hAnsi="Arial Hebrew Scholar" w:cs="Arial Hebrew Scholar" w:hint="cs"/>
          <w:sz w:val="24"/>
          <w:szCs w:val="24"/>
        </w:rPr>
        <w:t xml:space="preserve">, which stipulate that the recruitment, transportation, transfer, harbouring or receipt of a child for the purpose of exploitation shall constitute “trafficking in persons” </w:t>
      </w:r>
      <w:r w:rsidRPr="00D159A5">
        <w:rPr>
          <w:rFonts w:ascii="Arial Hebrew Scholar" w:hAnsi="Arial Hebrew Scholar" w:cs="Arial Hebrew Scholar" w:hint="cs"/>
          <w:i/>
          <w:sz w:val="24"/>
          <w:szCs w:val="24"/>
          <w:u w:val="single"/>
        </w:rPr>
        <w:t>even if this does not involve any of the means</w:t>
      </w:r>
      <w:r w:rsidRPr="00D159A5">
        <w:rPr>
          <w:rFonts w:ascii="Arial Hebrew Scholar" w:hAnsi="Arial Hebrew Scholar" w:cs="Arial Hebrew Scholar" w:hint="cs"/>
          <w:sz w:val="24"/>
          <w:szCs w:val="24"/>
        </w:rPr>
        <w:t xml:space="preserve"> set forth in </w:t>
      </w:r>
      <w:r w:rsidRPr="00D159A5">
        <w:rPr>
          <w:rFonts w:ascii="Arial Hebrew Scholar" w:hAnsi="Arial Hebrew Scholar" w:cs="Arial Hebrew Scholar" w:hint="cs"/>
          <w:b/>
          <w:i/>
          <w:sz w:val="24"/>
          <w:szCs w:val="24"/>
        </w:rPr>
        <w:t>Section 3(1)</w:t>
      </w:r>
      <w:r w:rsidRPr="00D159A5">
        <w:rPr>
          <w:rFonts w:ascii="Arial Hebrew Scholar" w:hAnsi="Arial Hebrew Scholar" w:cs="Arial Hebrew Scholar" w:hint="cs"/>
          <w:sz w:val="24"/>
          <w:szCs w:val="24"/>
        </w:rPr>
        <w:t xml:space="preserve"> of that </w:t>
      </w:r>
      <w:r w:rsidRPr="00D159A5">
        <w:rPr>
          <w:rFonts w:ascii="Arial Hebrew Scholar" w:hAnsi="Arial Hebrew Scholar" w:cs="Arial Hebrew Scholar" w:hint="cs"/>
          <w:sz w:val="24"/>
          <w:szCs w:val="24"/>
        </w:rPr>
        <w:t>Act.</w:t>
      </w:r>
      <w:r w:rsidRPr="00D159A5">
        <w:rPr>
          <w:rFonts w:ascii="Arial Hebrew Scholar" w:hAnsi="Arial Hebrew Scholar" w:cs="Arial Hebrew Scholar" w:hint="cs"/>
          <w:strike/>
          <w:sz w:val="24"/>
          <w:szCs w:val="24"/>
        </w:rPr>
        <w:t xml:space="preserve"> </w:t>
      </w:r>
      <w:r w:rsidRPr="00D159A5">
        <w:rPr>
          <w:rFonts w:ascii="Arial Hebrew Scholar" w:hAnsi="Arial Hebrew Scholar" w:cs="Arial Hebrew Scholar" w:hint="cs"/>
          <w:sz w:val="24"/>
          <w:szCs w:val="24"/>
        </w:rPr>
        <w:t xml:space="preserve">Having found that there is sufficient evidence to establish substantial grounds to believe that the victim was a child, </w:t>
      </w:r>
      <w:r w:rsidRPr="00D159A5">
        <w:rPr>
          <w:rFonts w:ascii="Arial Hebrew Scholar" w:eastAsia="Cambria" w:hAnsi="Arial Hebrew Scholar" w:cs="Arial Hebrew Scholar" w:hint="cs"/>
          <w:sz w:val="24"/>
          <w:szCs w:val="24"/>
          <w:lang w:val="en-US"/>
        </w:rPr>
        <w:t>there is no need to adduce evidence to prove the element of the means of deception or abuse of power or position of vulnerability o</w:t>
      </w:r>
      <w:r w:rsidRPr="00D159A5">
        <w:rPr>
          <w:rFonts w:ascii="Arial Hebrew Scholar" w:eastAsia="Cambria" w:hAnsi="Arial Hebrew Scholar" w:cs="Arial Hebrew Scholar" w:hint="cs"/>
          <w:sz w:val="24"/>
          <w:szCs w:val="24"/>
          <w:lang w:val="en-US"/>
        </w:rPr>
        <w:t>f the victim.</w:t>
      </w:r>
    </w:p>
    <w:p w14:paraId="03B1E9C3" w14:textId="77777777" w:rsidR="008D42C5" w:rsidRPr="00D159A5" w:rsidRDefault="00431678">
      <w:pPr>
        <w:pStyle w:val="ListParagraph"/>
        <w:numPr>
          <w:ilvl w:val="0"/>
          <w:numId w:val="1"/>
        </w:numPr>
        <w:spacing w:line="360" w:lineRule="auto"/>
        <w:ind w:left="2158" w:hanging="1058"/>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This takes me to the element of the victim’s age. In the case of </w:t>
      </w:r>
      <w:r w:rsidRPr="00D159A5">
        <w:rPr>
          <w:rFonts w:ascii="Arial Hebrew Scholar" w:hAnsi="Arial Hebrew Scholar" w:cs="Arial Hebrew Scholar" w:hint="cs"/>
          <w:b/>
          <w:i/>
          <w:sz w:val="24"/>
          <w:szCs w:val="24"/>
        </w:rPr>
        <w:t>Uganda v. Kagoro Godfrey HC Criminal Session Case No. 141 of 2002</w:t>
      </w:r>
      <w:r w:rsidRPr="00D159A5">
        <w:rPr>
          <w:rFonts w:ascii="Arial Hebrew Scholar" w:hAnsi="Arial Hebrew Scholar" w:cs="Arial Hebrew Scholar" w:hint="cs"/>
          <w:sz w:val="24"/>
          <w:szCs w:val="24"/>
        </w:rPr>
        <w:t>,</w:t>
      </w:r>
      <w:r w:rsidRPr="00D159A5">
        <w:rPr>
          <w:rFonts w:ascii="Arial Hebrew Scholar" w:hAnsi="Arial Hebrew Scholar" w:cs="Arial Hebrew Scholar" w:hint="cs"/>
          <w:b/>
          <w:i/>
          <w:sz w:val="24"/>
          <w:szCs w:val="24"/>
        </w:rPr>
        <w:t xml:space="preserve"> </w:t>
      </w:r>
      <w:r w:rsidRPr="00D159A5">
        <w:rPr>
          <w:rFonts w:ascii="Arial Hebrew Scholar" w:hAnsi="Arial Hebrew Scholar" w:cs="Arial Hebrew Scholar" w:hint="cs"/>
          <w:sz w:val="24"/>
          <w:szCs w:val="24"/>
        </w:rPr>
        <w:t>it was held that age can be proved by the production of one’s birth certificate, testimony of the parents or t</w:t>
      </w:r>
      <w:r w:rsidRPr="00D159A5">
        <w:rPr>
          <w:rFonts w:ascii="Arial Hebrew Scholar" w:hAnsi="Arial Hebrew Scholar" w:cs="Arial Hebrew Scholar" w:hint="cs"/>
          <w:sz w:val="24"/>
          <w:szCs w:val="24"/>
        </w:rPr>
        <w:t xml:space="preserve">he court’s own observation by common sense assessment. It is also trite law that age can be proved by medical evidence. According to PID7 (Police Form 3A), the victim was 16 years old at the time when she was examined, which would ideally place her at the </w:t>
      </w:r>
      <w:r w:rsidRPr="00D159A5">
        <w:rPr>
          <w:rFonts w:ascii="Arial Hebrew Scholar" w:hAnsi="Arial Hebrew Scholar" w:cs="Arial Hebrew Scholar" w:hint="cs"/>
          <w:sz w:val="24"/>
          <w:szCs w:val="24"/>
        </w:rPr>
        <w:t xml:space="preserve">age of 12 years when she started living with A1 in 2017. It is my considered view therefore that the prosecution has adduced sufficient </w:t>
      </w:r>
      <w:r w:rsidRPr="00D159A5">
        <w:rPr>
          <w:rFonts w:ascii="Arial Hebrew Scholar" w:hAnsi="Arial Hebrew Scholar" w:cs="Arial Hebrew Scholar" w:hint="cs"/>
          <w:sz w:val="24"/>
          <w:szCs w:val="24"/>
        </w:rPr>
        <w:lastRenderedPageBreak/>
        <w:t>evidence to establish substantial grounds to believe that that victim was a child.</w:t>
      </w:r>
    </w:p>
    <w:p w14:paraId="5B618FBE" w14:textId="77777777" w:rsidR="008D42C5" w:rsidRPr="00D159A5" w:rsidRDefault="00431678">
      <w:pPr>
        <w:pStyle w:val="ListParagraph"/>
        <w:numPr>
          <w:ilvl w:val="0"/>
          <w:numId w:val="1"/>
        </w:numPr>
        <w:spacing w:line="360" w:lineRule="auto"/>
        <w:ind w:left="2158" w:hanging="1058"/>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 xml:space="preserve">As for the element of the purpose of </w:t>
      </w:r>
      <w:r w:rsidRPr="00D159A5">
        <w:rPr>
          <w:rFonts w:ascii="Arial Hebrew Scholar" w:hAnsi="Arial Hebrew Scholar" w:cs="Arial Hebrew Scholar" w:hint="cs"/>
          <w:sz w:val="24"/>
          <w:szCs w:val="24"/>
        </w:rPr>
        <w:t xml:space="preserve">trafficking the victim, which in this case is sexual exploitation, I think that the statements adduced by the prosecution establish it to the required standard. Sexual exploitation is defined under </w:t>
      </w:r>
      <w:r w:rsidRPr="00D159A5">
        <w:rPr>
          <w:rFonts w:ascii="Arial Hebrew Scholar" w:hAnsi="Arial Hebrew Scholar" w:cs="Arial Hebrew Scholar" w:hint="cs"/>
          <w:b/>
          <w:i/>
          <w:sz w:val="24"/>
          <w:szCs w:val="24"/>
        </w:rPr>
        <w:t>Section 2(o) of the PTIPA 2009</w:t>
      </w:r>
      <w:r w:rsidRPr="00D159A5">
        <w:rPr>
          <w:rFonts w:ascii="Arial Hebrew Scholar" w:hAnsi="Arial Hebrew Scholar" w:cs="Arial Hebrew Scholar" w:hint="cs"/>
          <w:sz w:val="24"/>
          <w:szCs w:val="24"/>
        </w:rPr>
        <w:t xml:space="preserve"> as:</w:t>
      </w:r>
    </w:p>
    <w:p w14:paraId="48D444D0" w14:textId="77777777" w:rsidR="008D42C5" w:rsidRPr="00D159A5" w:rsidRDefault="00431678">
      <w:pPr>
        <w:pStyle w:val="ListParagraph"/>
        <w:spacing w:line="360" w:lineRule="auto"/>
        <w:ind w:left="2127"/>
        <w:jc w:val="both"/>
        <w:rPr>
          <w:rFonts w:ascii="Arial Hebrew Scholar" w:hAnsi="Arial Hebrew Scholar" w:cs="Arial Hebrew Scholar"/>
          <w:i/>
          <w:sz w:val="24"/>
          <w:szCs w:val="24"/>
        </w:rPr>
      </w:pPr>
      <w:r w:rsidRPr="00D159A5">
        <w:rPr>
          <w:rFonts w:ascii="Arial Hebrew Scholar" w:hAnsi="Arial Hebrew Scholar" w:cs="Arial Hebrew Scholar" w:hint="cs"/>
          <w:i/>
          <w:sz w:val="24"/>
          <w:szCs w:val="24"/>
        </w:rPr>
        <w:t>“the use of a person in</w:t>
      </w:r>
      <w:r w:rsidRPr="00D159A5">
        <w:rPr>
          <w:rFonts w:ascii="Arial Hebrew Scholar" w:hAnsi="Arial Hebrew Scholar" w:cs="Arial Hebrew Scholar" w:hint="cs"/>
          <w:i/>
          <w:sz w:val="24"/>
          <w:szCs w:val="24"/>
        </w:rPr>
        <w:t xml:space="preserve"> prostitution, sex tourism, pornography, the production of pornographic materials, or </w:t>
      </w:r>
      <w:r w:rsidRPr="00D159A5">
        <w:rPr>
          <w:rFonts w:ascii="Arial Hebrew Scholar" w:hAnsi="Arial Hebrew Scholar" w:cs="Arial Hebrew Scholar" w:hint="cs"/>
          <w:b/>
          <w:i/>
          <w:sz w:val="24"/>
          <w:szCs w:val="24"/>
        </w:rPr>
        <w:t xml:space="preserve">the use of a person for sexual intercourse </w:t>
      </w:r>
      <w:r w:rsidRPr="00D159A5">
        <w:rPr>
          <w:rFonts w:ascii="Arial Hebrew Scholar" w:hAnsi="Arial Hebrew Scholar" w:cs="Arial Hebrew Scholar" w:hint="cs"/>
          <w:i/>
          <w:sz w:val="24"/>
          <w:szCs w:val="24"/>
        </w:rPr>
        <w:t>or other lascivious conduct.”</w:t>
      </w:r>
    </w:p>
    <w:p w14:paraId="1260C2C5" w14:textId="77777777" w:rsidR="008D42C5" w:rsidRPr="00D159A5" w:rsidRDefault="00431678">
      <w:pPr>
        <w:pStyle w:val="ListParagraph"/>
        <w:numPr>
          <w:ilvl w:val="0"/>
          <w:numId w:val="1"/>
        </w:numPr>
        <w:spacing w:line="360" w:lineRule="auto"/>
        <w:ind w:left="2158" w:hanging="1058"/>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According to the statements of the victim, A1 and A2, the victim was cohabiting with A1 and conce</w:t>
      </w:r>
      <w:r w:rsidRPr="00D159A5">
        <w:rPr>
          <w:rFonts w:ascii="Arial Hebrew Scholar" w:hAnsi="Arial Hebrew Scholar" w:cs="Arial Hebrew Scholar" w:hint="cs"/>
          <w:sz w:val="24"/>
          <w:szCs w:val="24"/>
        </w:rPr>
        <w:t>ived a baby who died at birth. The prosecution has adduced sufficient evidence to prove this element to the required standard.</w:t>
      </w:r>
    </w:p>
    <w:p w14:paraId="251CC5ED" w14:textId="77777777" w:rsidR="008D42C5" w:rsidRPr="00D159A5" w:rsidRDefault="00431678">
      <w:pPr>
        <w:pStyle w:val="ListParagraph"/>
        <w:numPr>
          <w:ilvl w:val="0"/>
          <w:numId w:val="1"/>
        </w:numPr>
        <w:spacing w:line="360" w:lineRule="auto"/>
        <w:ind w:left="2158" w:hanging="1058"/>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By virtue of my discussion above, I find that there are substantial grounds to believe that the accused persons committed the off</w:t>
      </w:r>
      <w:r w:rsidRPr="00D159A5">
        <w:rPr>
          <w:rFonts w:ascii="Arial Hebrew Scholar" w:hAnsi="Arial Hebrew Scholar" w:cs="Arial Hebrew Scholar" w:hint="cs"/>
          <w:sz w:val="24"/>
          <w:szCs w:val="24"/>
        </w:rPr>
        <w:t xml:space="preserve">ence of aggravated trafficking in persons as they have been charged. </w:t>
      </w:r>
    </w:p>
    <w:p w14:paraId="5BE1DE14" w14:textId="77777777" w:rsidR="008D42C5" w:rsidRPr="00D159A5" w:rsidRDefault="00431678">
      <w:pPr>
        <w:spacing w:line="360" w:lineRule="auto"/>
        <w:jc w:val="both"/>
        <w:rPr>
          <w:rFonts w:ascii="Arial Hebrew Scholar" w:hAnsi="Arial Hebrew Scholar" w:cs="Arial Hebrew Scholar"/>
          <w:b/>
          <w:i/>
          <w:sz w:val="24"/>
          <w:szCs w:val="24"/>
        </w:rPr>
      </w:pPr>
      <w:r w:rsidRPr="00D159A5">
        <w:rPr>
          <w:rFonts w:ascii="Arial Hebrew Scholar" w:hAnsi="Arial Hebrew Scholar" w:cs="Arial Hebrew Scholar" w:hint="cs"/>
          <w:b/>
          <w:i/>
          <w:sz w:val="24"/>
          <w:szCs w:val="24"/>
        </w:rPr>
        <w:t>Count 2: Aggravated Defilement Contrary to Section 129(3) and 4(a) of the Penal Code Act, Cap 120.</w:t>
      </w:r>
    </w:p>
    <w:p w14:paraId="03117BF6" w14:textId="5DF938A8" w:rsidR="008D42C5" w:rsidRPr="00D159A5" w:rsidRDefault="00431678">
      <w:pPr>
        <w:pStyle w:val="ListParagraph"/>
        <w:numPr>
          <w:ilvl w:val="0"/>
          <w:numId w:val="1"/>
        </w:numPr>
        <w:spacing w:line="360" w:lineRule="auto"/>
        <w:ind w:left="2180" w:hanging="1080"/>
        <w:jc w:val="both"/>
        <w:rPr>
          <w:rFonts w:ascii="Arial Hebrew Scholar" w:hAnsi="Arial Hebrew Scholar" w:cs="Arial Hebrew Scholar"/>
          <w:sz w:val="24"/>
          <w:szCs w:val="24"/>
          <w:lang w:val="en-US"/>
        </w:rPr>
      </w:pPr>
      <w:r w:rsidRPr="00D159A5">
        <w:rPr>
          <w:rFonts w:ascii="Arial Hebrew Scholar" w:hAnsi="Arial Hebrew Scholar" w:cs="Arial Hebrew Scholar" w:hint="cs"/>
          <w:sz w:val="24"/>
          <w:szCs w:val="24"/>
          <w:lang w:val="en-US"/>
        </w:rPr>
        <w:t xml:space="preserve">I agree with the ingredients of this offence as listed by state counsel, which </w:t>
      </w:r>
      <w:r w:rsidR="00D159A5" w:rsidRPr="00D159A5">
        <w:rPr>
          <w:rFonts w:ascii="Arial Hebrew Scholar" w:hAnsi="Arial Hebrew Scholar" w:cs="Arial Hebrew Scholar"/>
          <w:sz w:val="24"/>
          <w:szCs w:val="24"/>
          <w:lang w:val="en-US"/>
        </w:rPr>
        <w:t>are:</w:t>
      </w:r>
    </w:p>
    <w:p w14:paraId="50CD45E9" w14:textId="77777777" w:rsidR="008D42C5" w:rsidRPr="00D159A5" w:rsidRDefault="00431678">
      <w:pPr>
        <w:pStyle w:val="ListParagraph"/>
        <w:numPr>
          <w:ilvl w:val="0"/>
          <w:numId w:val="7"/>
        </w:numPr>
        <w:spacing w:line="360" w:lineRule="auto"/>
        <w:jc w:val="both"/>
        <w:rPr>
          <w:rFonts w:ascii="Arial Hebrew Scholar" w:hAnsi="Arial Hebrew Scholar" w:cs="Arial Hebrew Scholar"/>
          <w:sz w:val="24"/>
          <w:szCs w:val="24"/>
          <w:lang w:val="en-US"/>
        </w:rPr>
      </w:pPr>
      <w:r w:rsidRPr="00D159A5">
        <w:rPr>
          <w:rFonts w:ascii="Arial Hebrew Scholar" w:hAnsi="Arial Hebrew Scholar" w:cs="Arial Hebrew Scholar" w:hint="cs"/>
          <w:sz w:val="24"/>
          <w:szCs w:val="24"/>
          <w:lang w:val="en-US"/>
        </w:rPr>
        <w:t>The fact that the victim was below 14 years of age</w:t>
      </w:r>
    </w:p>
    <w:p w14:paraId="6DFFE8AA" w14:textId="77777777" w:rsidR="008D42C5" w:rsidRPr="00D159A5" w:rsidRDefault="00431678">
      <w:pPr>
        <w:pStyle w:val="ListParagraph"/>
        <w:numPr>
          <w:ilvl w:val="0"/>
          <w:numId w:val="7"/>
        </w:numPr>
        <w:spacing w:line="360" w:lineRule="auto"/>
        <w:jc w:val="both"/>
        <w:rPr>
          <w:rFonts w:ascii="Arial Hebrew Scholar" w:hAnsi="Arial Hebrew Scholar" w:cs="Arial Hebrew Scholar"/>
          <w:sz w:val="24"/>
          <w:szCs w:val="24"/>
          <w:lang w:val="en-US"/>
        </w:rPr>
      </w:pPr>
      <w:r w:rsidRPr="00D159A5">
        <w:rPr>
          <w:rFonts w:ascii="Arial Hebrew Scholar" w:hAnsi="Arial Hebrew Scholar" w:cs="Arial Hebrew Scholar" w:hint="cs"/>
          <w:sz w:val="24"/>
          <w:szCs w:val="24"/>
          <w:lang w:val="en-US"/>
        </w:rPr>
        <w:t>The fact that there was a sexual act performed with the victim.</w:t>
      </w:r>
    </w:p>
    <w:p w14:paraId="0D8DBD9E" w14:textId="77777777" w:rsidR="008D42C5" w:rsidRPr="00D159A5" w:rsidRDefault="00431678">
      <w:pPr>
        <w:pStyle w:val="ListParagraph"/>
        <w:numPr>
          <w:ilvl w:val="0"/>
          <w:numId w:val="7"/>
        </w:numPr>
        <w:spacing w:line="360" w:lineRule="auto"/>
        <w:jc w:val="both"/>
        <w:rPr>
          <w:rFonts w:ascii="Arial Hebrew Scholar" w:hAnsi="Arial Hebrew Scholar" w:cs="Arial Hebrew Scholar"/>
          <w:sz w:val="24"/>
          <w:szCs w:val="24"/>
          <w:lang w:val="en-US"/>
        </w:rPr>
      </w:pPr>
      <w:r w:rsidRPr="00D159A5">
        <w:rPr>
          <w:rFonts w:ascii="Arial Hebrew Scholar" w:hAnsi="Arial Hebrew Scholar" w:cs="Arial Hebrew Scholar" w:hint="cs"/>
          <w:sz w:val="24"/>
          <w:szCs w:val="24"/>
          <w:lang w:val="en-US"/>
        </w:rPr>
        <w:t>The fact that it was the accused who committed the offence.</w:t>
      </w:r>
    </w:p>
    <w:p w14:paraId="11B0139E" w14:textId="77777777" w:rsidR="008D42C5" w:rsidRPr="00D159A5" w:rsidRDefault="00431678">
      <w:pPr>
        <w:pStyle w:val="ListParagraph"/>
        <w:numPr>
          <w:ilvl w:val="0"/>
          <w:numId w:val="1"/>
        </w:numPr>
        <w:spacing w:line="360" w:lineRule="auto"/>
        <w:ind w:left="2158" w:hanging="1058"/>
        <w:jc w:val="both"/>
        <w:rPr>
          <w:rFonts w:ascii="Arial Hebrew Scholar" w:eastAsia="Times New Roman" w:hAnsi="Arial Hebrew Scholar" w:cs="Arial Hebrew Scholar"/>
          <w:sz w:val="24"/>
          <w:szCs w:val="24"/>
        </w:rPr>
      </w:pPr>
      <w:r w:rsidRPr="00D159A5">
        <w:rPr>
          <w:rFonts w:ascii="Arial Hebrew Scholar" w:eastAsia="Times New Roman" w:hAnsi="Arial Hebrew Scholar" w:cs="Arial Hebrew Scholar" w:hint="cs"/>
          <w:sz w:val="24"/>
          <w:szCs w:val="24"/>
        </w:rPr>
        <w:t>The evidence on the age of the victim has already been discussed above. The same is true regarding the performance of a sexual act with the victim, which evidence I have examined in my discussion on the element of sexual exploitation under the first count.</w:t>
      </w:r>
      <w:r w:rsidRPr="00D159A5">
        <w:rPr>
          <w:rFonts w:ascii="Arial Hebrew Scholar" w:eastAsia="Times New Roman" w:hAnsi="Arial Hebrew Scholar" w:cs="Arial Hebrew Scholar" w:hint="cs"/>
          <w:sz w:val="24"/>
          <w:szCs w:val="24"/>
        </w:rPr>
        <w:t xml:space="preserve"> Similarly, the element of participation of the accused in the commission of aggravated defilement </w:t>
      </w:r>
      <w:r w:rsidRPr="00D159A5">
        <w:rPr>
          <w:rFonts w:ascii="Arial Hebrew Scholar" w:eastAsia="Times New Roman" w:hAnsi="Arial Hebrew Scholar" w:cs="Arial Hebrew Scholar" w:hint="cs"/>
          <w:sz w:val="24"/>
          <w:szCs w:val="24"/>
        </w:rPr>
        <w:lastRenderedPageBreak/>
        <w:t>has been covered in my consideration of the evidence on his participation in the commission of count 1. Consequently, I find that the prosecution has adduced</w:t>
      </w:r>
      <w:r w:rsidRPr="00D159A5">
        <w:rPr>
          <w:rFonts w:ascii="Arial Hebrew Scholar" w:eastAsia="Times New Roman" w:hAnsi="Arial Hebrew Scholar" w:cs="Arial Hebrew Scholar" w:hint="cs"/>
          <w:sz w:val="24"/>
          <w:szCs w:val="24"/>
        </w:rPr>
        <w:t xml:space="preserve"> sufficient evidence to establish substantial grounds to believe that the accused committed the offence of aggravated defilement contrary to </w:t>
      </w:r>
      <w:r w:rsidRPr="00D159A5">
        <w:rPr>
          <w:rFonts w:ascii="Arial Hebrew Scholar" w:eastAsia="Times New Roman" w:hAnsi="Arial Hebrew Scholar" w:cs="Arial Hebrew Scholar" w:hint="cs"/>
          <w:b/>
          <w:i/>
          <w:sz w:val="24"/>
          <w:szCs w:val="24"/>
        </w:rPr>
        <w:t>Section 129(3) and 4(a) of the Penal Code Act, Cap 120.</w:t>
      </w:r>
    </w:p>
    <w:p w14:paraId="2AED573C" w14:textId="77777777" w:rsidR="008D42C5" w:rsidRPr="00D159A5" w:rsidRDefault="008D42C5">
      <w:pPr>
        <w:pStyle w:val="ListParagraph"/>
        <w:spacing w:line="360" w:lineRule="auto"/>
        <w:ind w:left="1418"/>
        <w:jc w:val="both"/>
        <w:rPr>
          <w:rFonts w:ascii="Arial Hebrew Scholar" w:eastAsia="Times New Roman" w:hAnsi="Arial Hebrew Scholar" w:cs="Arial Hebrew Scholar"/>
          <w:sz w:val="24"/>
          <w:szCs w:val="24"/>
        </w:rPr>
      </w:pPr>
    </w:p>
    <w:p w14:paraId="6E387388" w14:textId="77777777" w:rsidR="008D42C5" w:rsidRPr="00D159A5" w:rsidRDefault="00431678">
      <w:pPr>
        <w:pStyle w:val="ListParagraph"/>
        <w:numPr>
          <w:ilvl w:val="0"/>
          <w:numId w:val="1"/>
        </w:numPr>
        <w:spacing w:line="360" w:lineRule="auto"/>
        <w:ind w:left="2180" w:hanging="1080"/>
        <w:jc w:val="both"/>
        <w:rPr>
          <w:rFonts w:ascii="Arial Hebrew Scholar" w:hAnsi="Arial Hebrew Scholar" w:cs="Arial Hebrew Scholar"/>
          <w:sz w:val="24"/>
          <w:szCs w:val="24"/>
          <w:lang w:val="en-US"/>
        </w:rPr>
      </w:pPr>
      <w:r w:rsidRPr="00D159A5">
        <w:rPr>
          <w:rFonts w:ascii="Arial Hebrew Scholar" w:eastAsia="Times New Roman" w:hAnsi="Arial Hebrew Scholar" w:cs="Arial Hebrew Scholar" w:hint="cs"/>
          <w:sz w:val="24"/>
          <w:szCs w:val="24"/>
        </w:rPr>
        <w:t>In the result, I confirm both count</w:t>
      </w:r>
      <w:r w:rsidRPr="00D159A5">
        <w:rPr>
          <w:rFonts w:ascii="Arial Hebrew Scholar" w:eastAsia="Times New Roman" w:hAnsi="Arial Hebrew Scholar" w:cs="Arial Hebrew Scholar"/>
          <w:sz w:val="24"/>
          <w:szCs w:val="24"/>
          <w:lang w:val="en-US"/>
        </w:rPr>
        <w:t xml:space="preserve"> </w:t>
      </w:r>
      <w:r w:rsidRPr="00D159A5">
        <w:rPr>
          <w:rFonts w:ascii="Arial Hebrew Scholar" w:eastAsia="Times New Roman" w:hAnsi="Arial Hebrew Scholar" w:cs="Arial Hebrew Scholar" w:hint="cs"/>
          <w:sz w:val="24"/>
          <w:szCs w:val="24"/>
        </w:rPr>
        <w:t>1 and count 2 of the i</w:t>
      </w:r>
      <w:r w:rsidRPr="00D159A5">
        <w:rPr>
          <w:rFonts w:ascii="Arial Hebrew Scholar" w:eastAsia="Times New Roman" w:hAnsi="Arial Hebrew Scholar" w:cs="Arial Hebrew Scholar" w:hint="cs"/>
          <w:sz w:val="24"/>
          <w:szCs w:val="24"/>
        </w:rPr>
        <w:t>ndictment.</w:t>
      </w:r>
    </w:p>
    <w:p w14:paraId="06B52757" w14:textId="77777777" w:rsidR="008D42C5" w:rsidRPr="00D159A5" w:rsidRDefault="008D42C5">
      <w:pPr>
        <w:spacing w:line="360" w:lineRule="auto"/>
        <w:ind w:left="360"/>
        <w:jc w:val="both"/>
        <w:rPr>
          <w:rFonts w:ascii="Arial Hebrew Scholar" w:hAnsi="Arial Hebrew Scholar" w:cs="Arial Hebrew Scholar"/>
          <w:sz w:val="24"/>
          <w:szCs w:val="24"/>
          <w:lang w:val="en-US"/>
        </w:rPr>
      </w:pPr>
    </w:p>
    <w:p w14:paraId="6EB2DCB1" w14:textId="77777777" w:rsidR="008D42C5" w:rsidRPr="00D159A5" w:rsidRDefault="00431678">
      <w:pPr>
        <w:spacing w:line="360" w:lineRule="auto"/>
        <w:ind w:left="360"/>
        <w:jc w:val="both"/>
        <w:rPr>
          <w:rFonts w:ascii="Arial Hebrew Scholar" w:hAnsi="Arial Hebrew Scholar" w:cs="Arial Hebrew Scholar"/>
          <w:sz w:val="24"/>
          <w:szCs w:val="24"/>
          <w:lang w:val="en-US"/>
        </w:rPr>
      </w:pPr>
      <w:r w:rsidRPr="00D159A5">
        <w:rPr>
          <w:rFonts w:ascii="Arial Hebrew Scholar" w:hAnsi="Arial Hebrew Scholar" w:cs="Arial Hebrew Scholar" w:hint="cs"/>
          <w:sz w:val="24"/>
          <w:szCs w:val="24"/>
          <w:lang w:val="en-US"/>
        </w:rPr>
        <w:t>I so order.</w:t>
      </w:r>
    </w:p>
    <w:p w14:paraId="5EC952F5" w14:textId="77777777" w:rsidR="008D42C5" w:rsidRPr="00D159A5" w:rsidRDefault="008D42C5">
      <w:pPr>
        <w:spacing w:line="360" w:lineRule="auto"/>
        <w:ind w:left="360"/>
        <w:jc w:val="both"/>
        <w:rPr>
          <w:rFonts w:ascii="Arial Hebrew Scholar" w:hAnsi="Arial Hebrew Scholar" w:cs="Arial Hebrew Scholar"/>
          <w:sz w:val="24"/>
          <w:szCs w:val="24"/>
          <w:lang w:val="en-US"/>
        </w:rPr>
      </w:pPr>
    </w:p>
    <w:p w14:paraId="6C806721" w14:textId="77777777" w:rsidR="008D42C5" w:rsidRPr="00D159A5" w:rsidRDefault="008D42C5">
      <w:pPr>
        <w:spacing w:line="360" w:lineRule="auto"/>
        <w:ind w:left="360"/>
        <w:jc w:val="both"/>
        <w:rPr>
          <w:rFonts w:ascii="Arial Hebrew Scholar" w:hAnsi="Arial Hebrew Scholar" w:cs="Arial Hebrew Scholar"/>
          <w:sz w:val="24"/>
          <w:szCs w:val="24"/>
          <w:lang w:val="en-US"/>
        </w:rPr>
      </w:pPr>
    </w:p>
    <w:p w14:paraId="15014CEF" w14:textId="77777777" w:rsidR="008D42C5" w:rsidRPr="00D159A5" w:rsidRDefault="008D42C5">
      <w:pPr>
        <w:spacing w:line="360" w:lineRule="auto"/>
        <w:ind w:left="360"/>
        <w:jc w:val="both"/>
        <w:rPr>
          <w:rFonts w:ascii="Arial Hebrew Scholar" w:hAnsi="Arial Hebrew Scholar" w:cs="Arial Hebrew Scholar"/>
          <w:sz w:val="24"/>
          <w:szCs w:val="24"/>
          <w:lang w:val="en-US"/>
        </w:rPr>
      </w:pPr>
    </w:p>
    <w:p w14:paraId="6DF12EAF" w14:textId="77777777" w:rsidR="008D42C5" w:rsidRPr="00D159A5" w:rsidRDefault="00431678">
      <w:pPr>
        <w:spacing w:after="0" w:line="360" w:lineRule="auto"/>
        <w:ind w:left="360"/>
        <w:jc w:val="both"/>
        <w:rPr>
          <w:rFonts w:ascii="Arial Hebrew Scholar" w:hAnsi="Arial Hebrew Scholar" w:cs="Arial Hebrew Scholar"/>
          <w:sz w:val="24"/>
          <w:szCs w:val="24"/>
        </w:rPr>
      </w:pPr>
      <w:r w:rsidRPr="00D159A5">
        <w:rPr>
          <w:rFonts w:ascii="Arial Hebrew Scholar" w:hAnsi="Arial Hebrew Scholar" w:cs="Arial Hebrew Scholar" w:hint="cs"/>
          <w:sz w:val="24"/>
          <w:szCs w:val="24"/>
        </w:rPr>
        <w:t>Susan Okalany</w:t>
      </w:r>
    </w:p>
    <w:p w14:paraId="5898E2D0" w14:textId="77777777" w:rsidR="008D42C5" w:rsidRPr="00D159A5" w:rsidRDefault="00431678">
      <w:pPr>
        <w:spacing w:after="0" w:line="360" w:lineRule="auto"/>
        <w:ind w:firstLine="360"/>
        <w:jc w:val="both"/>
        <w:rPr>
          <w:rFonts w:ascii="Arial Hebrew Scholar" w:hAnsi="Arial Hebrew Scholar" w:cs="Arial Hebrew Scholar"/>
          <w:b/>
          <w:sz w:val="24"/>
          <w:szCs w:val="24"/>
        </w:rPr>
      </w:pPr>
      <w:r w:rsidRPr="00D159A5">
        <w:rPr>
          <w:rFonts w:ascii="Arial Hebrew Scholar" w:hAnsi="Arial Hebrew Scholar" w:cs="Arial Hebrew Scholar" w:hint="cs"/>
          <w:b/>
          <w:sz w:val="24"/>
          <w:szCs w:val="24"/>
        </w:rPr>
        <w:t>JUDGE</w:t>
      </w:r>
    </w:p>
    <w:p w14:paraId="7C422D7C" w14:textId="77777777" w:rsidR="008D42C5" w:rsidRPr="00D159A5" w:rsidRDefault="00431678">
      <w:pPr>
        <w:spacing w:after="0" w:line="360" w:lineRule="auto"/>
        <w:ind w:firstLine="360"/>
        <w:jc w:val="both"/>
        <w:rPr>
          <w:rFonts w:ascii="Arial Hebrew Scholar" w:hAnsi="Arial Hebrew Scholar" w:cs="Arial Hebrew Scholar"/>
          <w:b/>
          <w:sz w:val="24"/>
          <w:szCs w:val="24"/>
          <w:lang w:val="en-US"/>
        </w:rPr>
      </w:pPr>
      <w:r w:rsidRPr="00D159A5">
        <w:rPr>
          <w:rFonts w:ascii="Arial Hebrew Scholar" w:hAnsi="Arial Hebrew Scholar" w:cs="Arial Hebrew Scholar" w:hint="cs"/>
          <w:b/>
          <w:sz w:val="24"/>
          <w:szCs w:val="24"/>
        </w:rPr>
        <w:t>20/11/2023</w:t>
      </w:r>
    </w:p>
    <w:sectPr w:rsidR="008D42C5" w:rsidRPr="00D159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59A0" w14:textId="77777777" w:rsidR="00431678" w:rsidRDefault="00431678">
      <w:pPr>
        <w:spacing w:line="240" w:lineRule="auto"/>
      </w:pPr>
      <w:r>
        <w:separator/>
      </w:r>
    </w:p>
  </w:endnote>
  <w:endnote w:type="continuationSeparator" w:id="0">
    <w:p w14:paraId="3B6BCC46" w14:textId="77777777" w:rsidR="00431678" w:rsidRDefault="00431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Hebrew Scholar">
    <w:altName w:val="Times New Roman"/>
    <w:charset w:val="B1"/>
    <w:family w:val="auto"/>
    <w:pitch w:val="variable"/>
    <w:sig w:usb0="00000000"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19D5" w14:textId="5F10937A" w:rsidR="008D42C5" w:rsidRDefault="00431678">
    <w:pPr>
      <w:pStyle w:val="Footer"/>
      <w:jc w:val="right"/>
    </w:pPr>
    <w:r>
      <w:fldChar w:fldCharType="begin"/>
    </w:r>
    <w:r>
      <w:instrText xml:space="preserve"> PAGE   \* MERGEFORMAT </w:instrText>
    </w:r>
    <w:r>
      <w:fldChar w:fldCharType="separate"/>
    </w:r>
    <w:r w:rsidR="00E04E04">
      <w:rPr>
        <w:noProof/>
      </w:rPr>
      <w:t>12</w:t>
    </w:r>
    <w:r>
      <w:fldChar w:fldCharType="end"/>
    </w:r>
  </w:p>
  <w:p w14:paraId="1573E2D6" w14:textId="77777777" w:rsidR="008D42C5" w:rsidRDefault="008D42C5">
    <w:pPr>
      <w:pStyle w:val="Footer"/>
    </w:pPr>
  </w:p>
  <w:p w14:paraId="19D1F925" w14:textId="77777777" w:rsidR="008D42C5" w:rsidRDefault="008D42C5"/>
  <w:p w14:paraId="274FCC45" w14:textId="77777777" w:rsidR="008D42C5" w:rsidRDefault="008D42C5"/>
  <w:p w14:paraId="3B5C4603" w14:textId="77777777" w:rsidR="008D42C5" w:rsidRDefault="008D42C5"/>
  <w:p w14:paraId="5DF6BDD9" w14:textId="77777777" w:rsidR="008D42C5" w:rsidRDefault="008D42C5"/>
  <w:p w14:paraId="5DDE2916" w14:textId="77777777" w:rsidR="008D42C5" w:rsidRDefault="008D42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9F63" w14:textId="77777777" w:rsidR="00431678" w:rsidRDefault="00431678">
      <w:pPr>
        <w:spacing w:after="0"/>
      </w:pPr>
      <w:r>
        <w:separator/>
      </w:r>
    </w:p>
  </w:footnote>
  <w:footnote w:type="continuationSeparator" w:id="0">
    <w:p w14:paraId="74450087" w14:textId="77777777" w:rsidR="00431678" w:rsidRDefault="0043167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ind w:left="1440" w:hanging="360"/>
      </w:pPr>
      <w:rPr>
        <w:rFonts w:ascii="Times New Roman" w:hAnsi="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000005"/>
    <w:multiLevelType w:val="multilevel"/>
    <w:tmpl w:val="00000005"/>
    <w:lvl w:ilvl="0">
      <w:start w:val="1"/>
      <w:numFmt w:val="decimal"/>
      <w:lvlText w:val="[%1]"/>
      <w:lvlJc w:val="left"/>
      <w:pPr>
        <w:ind w:left="1460" w:hanging="360"/>
      </w:pPr>
      <w:rPr>
        <w:rFonts w:hint="default"/>
        <w:b w:val="0"/>
        <w:bCs/>
        <w:i w:val="0"/>
        <w:i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6"/>
    <w:multiLevelType w:val="multilevel"/>
    <w:tmpl w:val="000000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0000008"/>
    <w:multiLevelType w:val="multilevel"/>
    <w:tmpl w:val="00000008"/>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 w15:restartNumberingAfterBreak="0">
    <w:nsid w:val="00000009"/>
    <w:multiLevelType w:val="multilevel"/>
    <w:tmpl w:val="00000009"/>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 w15:restartNumberingAfterBreak="0">
    <w:nsid w:val="0000000E"/>
    <w:multiLevelType w:val="multilevel"/>
    <w:tmpl w:val="0000000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0000012"/>
    <w:multiLevelType w:val="multilevel"/>
    <w:tmpl w:val="0000001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9F"/>
    <w:rsid w:val="00090A63"/>
    <w:rsid w:val="00136955"/>
    <w:rsid w:val="001D3062"/>
    <w:rsid w:val="00431678"/>
    <w:rsid w:val="005F3D9D"/>
    <w:rsid w:val="008D42C5"/>
    <w:rsid w:val="00941122"/>
    <w:rsid w:val="00A61C93"/>
    <w:rsid w:val="00CA1D71"/>
    <w:rsid w:val="00D159A5"/>
    <w:rsid w:val="00D92F9F"/>
    <w:rsid w:val="00DA0526"/>
    <w:rsid w:val="00E04E04"/>
    <w:rsid w:val="00E701EF"/>
    <w:rsid w:val="00E74BFC"/>
    <w:rsid w:val="0ABD092B"/>
    <w:rsid w:val="0EC56247"/>
    <w:rsid w:val="201E69BF"/>
    <w:rsid w:val="22715F0F"/>
    <w:rsid w:val="26613C06"/>
    <w:rsid w:val="2D71149A"/>
    <w:rsid w:val="34B13101"/>
    <w:rsid w:val="35D65462"/>
    <w:rsid w:val="489F12B3"/>
    <w:rsid w:val="4EE86F74"/>
    <w:rsid w:val="5F053371"/>
    <w:rsid w:val="66B06886"/>
    <w:rsid w:val="71E722EB"/>
    <w:rsid w:val="76DA690B"/>
    <w:rsid w:val="77035551"/>
    <w:rsid w:val="79500F4C"/>
    <w:rsid w:val="7A2C1281"/>
    <w:rsid w:val="7A8A38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FCB2"/>
  <w15:docId w15:val="{4428751D-CBE8-0F4D-A880-89585DAB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lang w:val="en-U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B3F1-2A3D-455B-8828-6F551467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dc:creator>
  <cp:lastModifiedBy>Administrator</cp:lastModifiedBy>
  <cp:revision>2</cp:revision>
  <dcterms:created xsi:type="dcterms:W3CDTF">2024-03-21T18:00:00Z</dcterms:created>
  <dcterms:modified xsi:type="dcterms:W3CDTF">2024-03-21T18:00:00Z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a6a241dd1a174c64b7954dd5e69b224d</vt:lpwstr>
  </property>
  <property fmtid="{D5CDD505-2E9C-101B-9397-08002B2CF9AE}" pid="3" name="KSOProductBuildVer">
    <vt:lpwstr>2057-12.2.0.13306</vt:lpwstr>
  </property>
</Properties>
</file>